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2E7B" w14:textId="77777777" w:rsidR="000E7BCB" w:rsidRDefault="000E7BCB"/>
    <w:p w14:paraId="2A3CEA5E" w14:textId="77777777" w:rsidR="000E7BCB" w:rsidRDefault="000E7BCB"/>
    <w:p w14:paraId="7DF7EF23" w14:textId="77777777" w:rsidR="000E7BCB" w:rsidRDefault="000E7BCB"/>
    <w:p w14:paraId="2B9E0D7F" w14:textId="77777777" w:rsidR="000E7BCB" w:rsidRDefault="00A620E4">
      <w:pPr>
        <w:jc w:val="center"/>
      </w:pPr>
      <w:r>
        <w:rPr>
          <w:noProof/>
        </w:rPr>
        <w:drawing>
          <wp:inline distT="0" distB="0" distL="0" distR="0" wp14:anchorId="134DE989" wp14:editId="2F04DC5A">
            <wp:extent cx="1129030" cy="1288415"/>
            <wp:effectExtent l="0" t="0" r="0" b="0"/>
            <wp:docPr id="5" name="image2.jpg" descr="Description: stema_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stema_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288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789DAC" w14:textId="77777777" w:rsidR="000E7BCB" w:rsidRDefault="00A620E4">
      <w:pPr>
        <w:jc w:val="center"/>
        <w:rPr>
          <w:b/>
        </w:rPr>
      </w:pPr>
      <w:r>
        <w:rPr>
          <w:b/>
        </w:rPr>
        <w:t>–</w:t>
      </w:r>
    </w:p>
    <w:p w14:paraId="5345B5D6" w14:textId="77777777" w:rsidR="000E7BCB" w:rsidRDefault="00A620E4">
      <w:pPr>
        <w:jc w:val="center"/>
        <w:rPr>
          <w:b/>
        </w:rPr>
      </w:pPr>
      <w:r>
        <w:rPr>
          <w:b/>
        </w:rPr>
        <w:t>REPUBLIKA E KOSOVËS / REPUBLIKA KOSOVA / REPUBLIC OF KOSOVO</w:t>
      </w:r>
    </w:p>
    <w:p w14:paraId="345DB13A" w14:textId="77777777" w:rsidR="000E7BCB" w:rsidRDefault="00A620E4">
      <w:pPr>
        <w:jc w:val="center"/>
        <w:rPr>
          <w:b/>
        </w:rPr>
      </w:pPr>
      <w:r>
        <w:rPr>
          <w:b/>
        </w:rPr>
        <w:t>QEVERIA E KOSOVËS / VLADA KOSOVA/ GOVERNMENT OF KOSOVA</w:t>
      </w:r>
    </w:p>
    <w:p w14:paraId="0964D9C9" w14:textId="77777777" w:rsidR="000E7BCB" w:rsidRDefault="000E7BCB">
      <w:pPr>
        <w:jc w:val="center"/>
        <w:rPr>
          <w:b/>
        </w:rPr>
      </w:pPr>
    </w:p>
    <w:p w14:paraId="7D03B414" w14:textId="77777777" w:rsidR="000E7BCB" w:rsidRDefault="00A620E4">
      <w:pPr>
        <w:jc w:val="center"/>
        <w:rPr>
          <w:b/>
        </w:rPr>
      </w:pPr>
      <w:r>
        <w:rPr>
          <w:b/>
        </w:rPr>
        <w:t>KOMISIONI EKZEKUTIV PËR THEMELIMIN E FONDIT SOVRAN / IZVRŠNA KOMISIJA ZA USPOSTAVLJENJE SUVERENOG FONDA / EXECUTIVE COMMISSION FOR THE ESTABLISHMENT OF THE SOVEREIGN FUND</w:t>
      </w:r>
    </w:p>
    <w:p w14:paraId="12206F16" w14:textId="77777777" w:rsidR="000E7BCB" w:rsidRDefault="000E7BCB">
      <w:pPr>
        <w:jc w:val="center"/>
        <w:rPr>
          <w:b/>
        </w:rPr>
      </w:pPr>
    </w:p>
    <w:p w14:paraId="01525060" w14:textId="77777777" w:rsidR="000E7BCB" w:rsidRDefault="00A620E4">
      <w:pPr>
        <w:jc w:val="center"/>
        <w:rPr>
          <w:b/>
        </w:rPr>
      </w:pPr>
      <w:r>
        <w:rPr>
          <w:b/>
        </w:rPr>
        <w:t>GRUPI PUNUES / RADNA GRUPA / WORKING GROUP</w:t>
      </w:r>
    </w:p>
    <w:p w14:paraId="4DE21AE3" w14:textId="77777777" w:rsidR="000E7BCB" w:rsidRDefault="000E7BCB">
      <w:pPr>
        <w:jc w:val="center"/>
        <w:rPr>
          <w:b/>
        </w:rPr>
      </w:pPr>
    </w:p>
    <w:p w14:paraId="762E5027" w14:textId="77777777" w:rsidR="000E7BCB" w:rsidRDefault="000E7BCB">
      <w:pPr>
        <w:jc w:val="center"/>
        <w:rPr>
          <w:b/>
        </w:rPr>
      </w:pPr>
    </w:p>
    <w:p w14:paraId="69C5DDBA" w14:textId="77777777" w:rsidR="000E7BCB" w:rsidRDefault="000E7BCB">
      <w:pPr>
        <w:jc w:val="center"/>
        <w:rPr>
          <w:b/>
        </w:rPr>
      </w:pPr>
    </w:p>
    <w:p w14:paraId="66D8289F" w14:textId="77777777" w:rsidR="000E7BCB" w:rsidRDefault="000E7BCB">
      <w:pPr>
        <w:jc w:val="center"/>
        <w:rPr>
          <w:b/>
        </w:rPr>
      </w:pPr>
    </w:p>
    <w:p w14:paraId="0D9B45DD" w14:textId="77777777" w:rsidR="000E7BCB" w:rsidRDefault="000E7BCB">
      <w:pPr>
        <w:jc w:val="center"/>
        <w:rPr>
          <w:b/>
        </w:rPr>
      </w:pPr>
    </w:p>
    <w:p w14:paraId="18D3EA8E" w14:textId="77777777" w:rsidR="000E7BCB" w:rsidRDefault="000E7BCB">
      <w:pPr>
        <w:jc w:val="center"/>
        <w:rPr>
          <w:b/>
        </w:rPr>
      </w:pPr>
    </w:p>
    <w:p w14:paraId="14DA1711" w14:textId="77777777" w:rsidR="000E7BCB" w:rsidRDefault="000E7BCB">
      <w:pPr>
        <w:jc w:val="center"/>
        <w:rPr>
          <w:b/>
        </w:rPr>
      </w:pPr>
    </w:p>
    <w:p w14:paraId="0DB3939D" w14:textId="77777777" w:rsidR="000E7BCB" w:rsidRDefault="000E7BCB">
      <w:pPr>
        <w:jc w:val="center"/>
        <w:rPr>
          <w:b/>
        </w:rPr>
      </w:pPr>
    </w:p>
    <w:p w14:paraId="3D32967F" w14:textId="77777777" w:rsidR="000E7BCB" w:rsidRDefault="000E7BCB">
      <w:pPr>
        <w:jc w:val="center"/>
        <w:rPr>
          <w:b/>
        </w:rPr>
      </w:pPr>
    </w:p>
    <w:p w14:paraId="58C46345" w14:textId="77777777" w:rsidR="000E7BCB" w:rsidRDefault="000E7BCB">
      <w:pPr>
        <w:jc w:val="center"/>
        <w:rPr>
          <w:b/>
        </w:rPr>
      </w:pPr>
    </w:p>
    <w:p w14:paraId="012145CE" w14:textId="77777777" w:rsidR="000E7BCB" w:rsidRDefault="000E7BCB">
      <w:pPr>
        <w:jc w:val="center"/>
        <w:rPr>
          <w:b/>
        </w:rPr>
      </w:pPr>
    </w:p>
    <w:p w14:paraId="747FAD59" w14:textId="77777777" w:rsidR="000E7BCB" w:rsidRDefault="00A620E4">
      <w:pPr>
        <w:jc w:val="center"/>
        <w:rPr>
          <w:b/>
        </w:rPr>
      </w:pPr>
      <w:r>
        <w:rPr>
          <w:b/>
        </w:rPr>
        <w:t>KONCEPT DOKUMENTI</w:t>
      </w:r>
    </w:p>
    <w:p w14:paraId="612A3467" w14:textId="77777777" w:rsidR="000E7BCB" w:rsidRDefault="00A620E4">
      <w:pPr>
        <w:jc w:val="center"/>
        <w:rPr>
          <w:b/>
        </w:rPr>
      </w:pP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Themelimin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Fondit</w:t>
      </w:r>
      <w:proofErr w:type="spellEnd"/>
      <w:r>
        <w:rPr>
          <w:b/>
        </w:rPr>
        <w:t xml:space="preserve"> Sovran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Republikës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Kosovës</w:t>
      </w:r>
      <w:proofErr w:type="spellEnd"/>
    </w:p>
    <w:p w14:paraId="2B294F93" w14:textId="77777777" w:rsidR="000E7BCB" w:rsidRDefault="000E7BCB">
      <w:pPr>
        <w:jc w:val="center"/>
        <w:rPr>
          <w:b/>
        </w:rPr>
      </w:pPr>
    </w:p>
    <w:p w14:paraId="6ADE936A" w14:textId="77777777" w:rsidR="000E7BCB" w:rsidRDefault="000E7BCB">
      <w:pPr>
        <w:jc w:val="center"/>
        <w:rPr>
          <w:b/>
        </w:rPr>
      </w:pPr>
    </w:p>
    <w:p w14:paraId="77CA419D" w14:textId="77777777" w:rsidR="000E7BCB" w:rsidRDefault="000E7BCB">
      <w:pPr>
        <w:jc w:val="center"/>
        <w:rPr>
          <w:b/>
        </w:rPr>
      </w:pPr>
    </w:p>
    <w:p w14:paraId="25442AD5" w14:textId="77777777" w:rsidR="000E7BCB" w:rsidRDefault="000E7BCB">
      <w:pPr>
        <w:jc w:val="center"/>
        <w:rPr>
          <w:b/>
        </w:rPr>
      </w:pPr>
    </w:p>
    <w:p w14:paraId="432BFE87" w14:textId="77777777" w:rsidR="000E7BCB" w:rsidRDefault="000E7BCB">
      <w:pPr>
        <w:jc w:val="center"/>
        <w:rPr>
          <w:b/>
        </w:rPr>
      </w:pPr>
    </w:p>
    <w:p w14:paraId="09D05005" w14:textId="77777777" w:rsidR="000E7BCB" w:rsidRDefault="000E7BCB">
      <w:pPr>
        <w:jc w:val="center"/>
        <w:rPr>
          <w:b/>
        </w:rPr>
      </w:pPr>
    </w:p>
    <w:p w14:paraId="179A9487" w14:textId="77777777" w:rsidR="000E7BCB" w:rsidRDefault="000E7BCB">
      <w:pPr>
        <w:jc w:val="center"/>
        <w:rPr>
          <w:b/>
        </w:rPr>
      </w:pPr>
    </w:p>
    <w:p w14:paraId="2040C82D" w14:textId="77777777" w:rsidR="000E7BCB" w:rsidRDefault="000E7BCB">
      <w:pPr>
        <w:jc w:val="center"/>
        <w:rPr>
          <w:b/>
        </w:rPr>
      </w:pPr>
    </w:p>
    <w:p w14:paraId="704C249C" w14:textId="77777777" w:rsidR="000E7BCB" w:rsidRDefault="000E7BCB">
      <w:pPr>
        <w:jc w:val="center"/>
        <w:rPr>
          <w:b/>
        </w:rPr>
      </w:pPr>
    </w:p>
    <w:p w14:paraId="342572B4" w14:textId="77777777" w:rsidR="000E7BCB" w:rsidRDefault="000E7BCB">
      <w:pPr>
        <w:jc w:val="center"/>
        <w:rPr>
          <w:b/>
        </w:rPr>
      </w:pPr>
    </w:p>
    <w:p w14:paraId="1BAE2AF3" w14:textId="77777777" w:rsidR="000E7BCB" w:rsidRDefault="00A620E4">
      <w:pPr>
        <w:jc w:val="center"/>
      </w:pPr>
      <w:proofErr w:type="spellStart"/>
      <w:r>
        <w:rPr>
          <w:b/>
        </w:rPr>
        <w:t>Janar</w:t>
      </w:r>
      <w:proofErr w:type="spellEnd"/>
      <w:r>
        <w:rPr>
          <w:b/>
        </w:rPr>
        <w:t xml:space="preserve"> 2022</w:t>
      </w:r>
    </w:p>
    <w:p w14:paraId="03B271AA" w14:textId="77777777" w:rsidR="000E7BCB" w:rsidRDefault="000E7BCB"/>
    <w:p w14:paraId="6FBF41E0" w14:textId="77777777" w:rsidR="000E7BCB" w:rsidRDefault="00A620E4">
      <w:pPr>
        <w:rPr>
          <w:b/>
        </w:rPr>
      </w:pPr>
      <w:r>
        <w:br w:type="page"/>
      </w:r>
      <w:r>
        <w:rPr>
          <w:b/>
        </w:rPr>
        <w:lastRenderedPageBreak/>
        <w:t>PËRMBAJTJA</w:t>
      </w:r>
    </w:p>
    <w:p w14:paraId="174F1448" w14:textId="77777777" w:rsidR="000E7BCB" w:rsidRDefault="000E7BCB"/>
    <w:p w14:paraId="4FC9C2D5" w14:textId="77777777" w:rsidR="000E7BCB" w:rsidRDefault="000E7BCB"/>
    <w:sdt>
      <w:sdtPr>
        <w:id w:val="-928888761"/>
        <w:docPartObj>
          <w:docPartGallery w:val="Table of Contents"/>
          <w:docPartUnique/>
        </w:docPartObj>
      </w:sdtPr>
      <w:sdtContent>
        <w:p w14:paraId="0A443375" w14:textId="77777777" w:rsidR="00F3463D" w:rsidRDefault="00A620E4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93312364" w:history="1">
            <w:r w:rsidR="00F3463D" w:rsidRPr="005C6218">
              <w:rPr>
                <w:rStyle w:val="Hyperlink"/>
                <w:noProof/>
              </w:rPr>
              <w:t>PËRMBLEDHJE E KONCEPT DOKUMENTIT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_Toc93312364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4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7576CD51" w14:textId="77777777" w:rsidR="00F3463D" w:rsidRDefault="00B35609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65" w:history="1">
            <w:r w:rsidR="00F3463D" w:rsidRPr="005C6218">
              <w:rPr>
                <w:rStyle w:val="Hyperlink"/>
                <w:noProof/>
              </w:rPr>
              <w:t>KAPITULLI 1. HYRJE DHE PËRKUFIZIM I PROBLEMIT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_Toc93312365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8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69AF9702" w14:textId="77777777" w:rsidR="00F3463D" w:rsidRDefault="00B35609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66" w:history="1">
            <w:r w:rsidR="00F3463D" w:rsidRPr="005C6218">
              <w:rPr>
                <w:rStyle w:val="Hyperlink"/>
                <w:noProof/>
              </w:rPr>
              <w:t>KAPITULLI 2. PËRSHKRIM I FONDEVE TË PASURISË SOVRANE DHE KRAHASIM I DISA MODELEVE RELEVANTE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_Toc93312366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12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104107DD" w14:textId="77777777" w:rsidR="00F3463D" w:rsidRDefault="00B35609">
          <w:pPr>
            <w:pStyle w:val="TOC2"/>
            <w:tabs>
              <w:tab w:val="left" w:pos="960"/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67" w:history="1">
            <w:r w:rsidR="00F3463D" w:rsidRPr="005C6218">
              <w:rPr>
                <w:rStyle w:val="Hyperlink"/>
                <w:noProof/>
              </w:rPr>
              <w:t>2.1.</w:t>
            </w:r>
            <w:r w:rsidR="00F3463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463D" w:rsidRPr="005C6218">
              <w:rPr>
                <w:rStyle w:val="Hyperlink"/>
                <w:noProof/>
              </w:rPr>
              <w:t>PËRKUFIZIMI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_Toc93312367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12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29D75E7C" w14:textId="77777777" w:rsidR="00F3463D" w:rsidRDefault="00B35609">
          <w:pPr>
            <w:pStyle w:val="TOC2"/>
            <w:tabs>
              <w:tab w:val="left" w:pos="960"/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68" w:history="1">
            <w:r w:rsidR="00F3463D" w:rsidRPr="005C6218">
              <w:rPr>
                <w:rStyle w:val="Hyperlink"/>
                <w:noProof/>
              </w:rPr>
              <w:t>2.2.</w:t>
            </w:r>
            <w:r w:rsidR="00F3463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463D" w:rsidRPr="005C6218">
              <w:rPr>
                <w:rStyle w:val="Hyperlink"/>
                <w:noProof/>
              </w:rPr>
              <w:t>PASQYRA E PËRGJITHSHME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_Toc93312368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12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4650938A" w14:textId="77777777" w:rsidR="00F3463D" w:rsidRDefault="00B35609">
          <w:pPr>
            <w:pStyle w:val="TOC3"/>
            <w:tabs>
              <w:tab w:val="left" w:pos="1440"/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69" w:history="1">
            <w:r w:rsidR="00F3463D" w:rsidRPr="005C6218">
              <w:rPr>
                <w:rStyle w:val="Hyperlink"/>
                <w:noProof/>
              </w:rPr>
              <w:t>2.2.1.</w:t>
            </w:r>
            <w:r w:rsidR="00F3463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463D" w:rsidRPr="005C6218">
              <w:rPr>
                <w:rStyle w:val="Hyperlink"/>
                <w:noProof/>
              </w:rPr>
              <w:t>Historiku i shkurtër i themelimit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_Toc93312369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12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1C38DC78" w14:textId="77777777" w:rsidR="00F3463D" w:rsidRDefault="00B35609">
          <w:pPr>
            <w:pStyle w:val="TOC3"/>
            <w:tabs>
              <w:tab w:val="left" w:pos="1440"/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70" w:history="1">
            <w:r w:rsidR="00F3463D" w:rsidRPr="005C6218">
              <w:rPr>
                <w:rStyle w:val="Hyperlink"/>
                <w:noProof/>
              </w:rPr>
              <w:t>2.2.2.</w:t>
            </w:r>
            <w:r w:rsidR="00F3463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463D" w:rsidRPr="005C6218">
              <w:rPr>
                <w:rStyle w:val="Hyperlink"/>
                <w:noProof/>
              </w:rPr>
              <w:t>Numri, shpërndarja dhe vlera e aseteve nën menaxhim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_Toc93312370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13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4C6E9812" w14:textId="77777777" w:rsidR="00F3463D" w:rsidRDefault="00B35609">
          <w:pPr>
            <w:pStyle w:val="TOC2"/>
            <w:tabs>
              <w:tab w:val="left" w:pos="960"/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71" w:history="1">
            <w:r w:rsidR="00F3463D" w:rsidRPr="005C6218">
              <w:rPr>
                <w:rStyle w:val="Hyperlink"/>
                <w:noProof/>
              </w:rPr>
              <w:t>2.3.</w:t>
            </w:r>
            <w:r w:rsidR="00F3463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463D" w:rsidRPr="005C6218">
              <w:rPr>
                <w:rStyle w:val="Hyperlink"/>
                <w:noProof/>
              </w:rPr>
              <w:t>LLOJET DHE KARAKTERISTIKAT KRYESORE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_Toc93312371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13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49CCD862" w14:textId="77777777" w:rsidR="00F3463D" w:rsidRDefault="00B35609">
          <w:pPr>
            <w:pStyle w:val="TOC3"/>
            <w:tabs>
              <w:tab w:val="left" w:pos="1440"/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72" w:history="1">
            <w:r w:rsidR="00F3463D" w:rsidRPr="005C6218">
              <w:rPr>
                <w:rStyle w:val="Hyperlink"/>
                <w:noProof/>
              </w:rPr>
              <w:t>2.3.1.</w:t>
            </w:r>
            <w:r w:rsidR="00F3463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463D" w:rsidRPr="005C6218">
              <w:rPr>
                <w:rStyle w:val="Hyperlink"/>
                <w:noProof/>
              </w:rPr>
              <w:t>Objektivat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_Toc93312372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14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52960C61" w14:textId="77777777" w:rsidR="00F3463D" w:rsidRDefault="00B35609">
          <w:pPr>
            <w:pStyle w:val="TOC3"/>
            <w:tabs>
              <w:tab w:val="left" w:pos="1440"/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73" w:history="1">
            <w:r w:rsidR="00F3463D" w:rsidRPr="005C6218">
              <w:rPr>
                <w:rStyle w:val="Hyperlink"/>
                <w:noProof/>
              </w:rPr>
              <w:t>2.3.2.</w:t>
            </w:r>
            <w:r w:rsidR="00F3463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463D" w:rsidRPr="005C6218">
              <w:rPr>
                <w:rStyle w:val="Hyperlink"/>
                <w:noProof/>
              </w:rPr>
              <w:t>Burimet kryesore të financimit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_Toc93312373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14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6165CAD7" w14:textId="77777777" w:rsidR="00F3463D" w:rsidRDefault="00B35609">
          <w:pPr>
            <w:pStyle w:val="TOC3"/>
            <w:tabs>
              <w:tab w:val="left" w:pos="1440"/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74" w:history="1">
            <w:r w:rsidR="00F3463D" w:rsidRPr="005C6218">
              <w:rPr>
                <w:rStyle w:val="Hyperlink"/>
                <w:noProof/>
              </w:rPr>
              <w:t>2.3.3.</w:t>
            </w:r>
            <w:r w:rsidR="00F3463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463D" w:rsidRPr="005C6218">
              <w:rPr>
                <w:rStyle w:val="Hyperlink"/>
                <w:noProof/>
              </w:rPr>
              <w:t>Struktura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_Toc93312374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14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19237FA3" w14:textId="77777777" w:rsidR="00F3463D" w:rsidRDefault="00B35609">
          <w:pPr>
            <w:pStyle w:val="TOC3"/>
            <w:tabs>
              <w:tab w:val="left" w:pos="1440"/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75" w:history="1">
            <w:r w:rsidR="00F3463D" w:rsidRPr="005C6218">
              <w:rPr>
                <w:rStyle w:val="Hyperlink"/>
                <w:noProof/>
              </w:rPr>
              <w:t>2.3.4.</w:t>
            </w:r>
            <w:r w:rsidR="00F3463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463D" w:rsidRPr="005C6218">
              <w:rPr>
                <w:rStyle w:val="Hyperlink"/>
                <w:noProof/>
              </w:rPr>
              <w:t>Qeverisja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_Toc93312375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15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01E4486A" w14:textId="77777777" w:rsidR="00F3463D" w:rsidRDefault="00B35609">
          <w:pPr>
            <w:pStyle w:val="TOC2"/>
            <w:tabs>
              <w:tab w:val="left" w:pos="960"/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76" w:history="1">
            <w:r w:rsidR="00F3463D" w:rsidRPr="005C6218">
              <w:rPr>
                <w:rStyle w:val="Hyperlink"/>
                <w:noProof/>
              </w:rPr>
              <w:t>2.4.</w:t>
            </w:r>
            <w:r w:rsidR="00F3463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463D" w:rsidRPr="005C6218">
              <w:rPr>
                <w:rStyle w:val="Hyperlink"/>
                <w:noProof/>
              </w:rPr>
              <w:t>MODELET KRAHASUESE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_Toc93312376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15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2DBAC6D4" w14:textId="77777777" w:rsidR="00F3463D" w:rsidRDefault="00B35609">
          <w:pPr>
            <w:pStyle w:val="TOC3"/>
            <w:tabs>
              <w:tab w:val="left" w:pos="1440"/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77" w:history="1">
            <w:r w:rsidR="00F3463D" w:rsidRPr="005C6218">
              <w:rPr>
                <w:rStyle w:val="Hyperlink"/>
                <w:noProof/>
              </w:rPr>
              <w:t>2.4.1.</w:t>
            </w:r>
            <w:r w:rsidR="00F3463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463D" w:rsidRPr="005C6218">
              <w:rPr>
                <w:rStyle w:val="Hyperlink"/>
                <w:noProof/>
              </w:rPr>
              <w:t>Temasek në Singapur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_Toc93312377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16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716A6EF5" w14:textId="77777777" w:rsidR="00F3463D" w:rsidRDefault="00B35609">
          <w:pPr>
            <w:pStyle w:val="TOC3"/>
            <w:tabs>
              <w:tab w:val="left" w:pos="1440"/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78" w:history="1">
            <w:r w:rsidR="00F3463D" w:rsidRPr="005C6218">
              <w:rPr>
                <w:rStyle w:val="Hyperlink"/>
                <w:noProof/>
              </w:rPr>
              <w:t>2.4.2.</w:t>
            </w:r>
            <w:r w:rsidR="00F3463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463D" w:rsidRPr="005C6218">
              <w:rPr>
                <w:rStyle w:val="Hyperlink"/>
                <w:noProof/>
              </w:rPr>
              <w:t>Slovenian Sovereign Holding në Slloveni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_Toc93312378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17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1B2FA9D6" w14:textId="77777777" w:rsidR="00F3463D" w:rsidRDefault="00B35609">
          <w:pPr>
            <w:pStyle w:val="TOC3"/>
            <w:tabs>
              <w:tab w:val="left" w:pos="1440"/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79" w:history="1">
            <w:r w:rsidR="00F3463D" w:rsidRPr="005C6218">
              <w:rPr>
                <w:rStyle w:val="Hyperlink"/>
                <w:noProof/>
              </w:rPr>
              <w:t>2.4.3.</w:t>
            </w:r>
            <w:r w:rsidR="00F3463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463D" w:rsidRPr="005C6218">
              <w:rPr>
                <w:rStyle w:val="Hyperlink"/>
                <w:noProof/>
              </w:rPr>
              <w:t>Turkey Wealth Fund në Turqi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_Toc93312379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18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0E9341E6" w14:textId="77777777" w:rsidR="00F3463D" w:rsidRDefault="00B35609">
          <w:pPr>
            <w:pStyle w:val="TOC3"/>
            <w:tabs>
              <w:tab w:val="left" w:pos="1440"/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80" w:history="1">
            <w:r w:rsidR="00F3463D" w:rsidRPr="005C6218">
              <w:rPr>
                <w:rStyle w:val="Hyperlink"/>
                <w:noProof/>
              </w:rPr>
              <w:t>2.4.4.</w:t>
            </w:r>
            <w:r w:rsidR="00F3463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463D" w:rsidRPr="005C6218">
              <w:rPr>
                <w:rStyle w:val="Hyperlink"/>
                <w:noProof/>
              </w:rPr>
              <w:t>Ireland Strategic Investment Fund në Irlandë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_Toc93312380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19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4253CF26" w14:textId="77777777" w:rsidR="00F3463D" w:rsidRDefault="00B35609">
          <w:pPr>
            <w:pStyle w:val="TOC2"/>
            <w:tabs>
              <w:tab w:val="left" w:pos="960"/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81" w:history="1">
            <w:r w:rsidR="00F3463D" w:rsidRPr="005C6218">
              <w:rPr>
                <w:rStyle w:val="Hyperlink"/>
                <w:noProof/>
              </w:rPr>
              <w:t>2.5.</w:t>
            </w:r>
            <w:r w:rsidR="00F3463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F3463D" w:rsidRPr="005C6218">
              <w:rPr>
                <w:rStyle w:val="Hyperlink"/>
                <w:noProof/>
              </w:rPr>
              <w:t>PËRFUNDIM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_Toc93312381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20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243EC04B" w14:textId="77777777" w:rsidR="00F3463D" w:rsidRDefault="00B35609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82" w:history="1">
            <w:r w:rsidR="00F3463D" w:rsidRPr="005C6218">
              <w:rPr>
                <w:rStyle w:val="Hyperlink"/>
                <w:noProof/>
              </w:rPr>
              <w:t>KAPITULLI 3.</w:t>
            </w:r>
            <w:r w:rsidR="00F3463D" w:rsidRPr="005C6218">
              <w:rPr>
                <w:rStyle w:val="Hyperlink"/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F3463D" w:rsidRPr="005C6218">
              <w:rPr>
                <w:rStyle w:val="Hyperlink"/>
                <w:noProof/>
              </w:rPr>
              <w:t>KORNIZA LIGJORE DHE IMPLIKIMI LIGJOR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_Toc93312382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21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1663CEC5" w14:textId="77777777" w:rsidR="00F3463D" w:rsidRDefault="00B35609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83" w:history="1">
            <w:r w:rsidR="00F3463D" w:rsidRPr="005C6218">
              <w:rPr>
                <w:rStyle w:val="Hyperlink"/>
                <w:noProof/>
              </w:rPr>
              <w:t>3.1. HYRJE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_Toc93312383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21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0E002706" w14:textId="77777777" w:rsidR="00F3463D" w:rsidRDefault="00B35609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84" w:history="1">
            <w:r w:rsidR="00F3463D" w:rsidRPr="005C6218">
              <w:rPr>
                <w:rStyle w:val="Hyperlink"/>
                <w:noProof/>
              </w:rPr>
              <w:t>3.2. TRANSFERI I ASETEVE TË AKP-SË – IMPLIKIMET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_Toc93312384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22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36E5C149" w14:textId="77777777" w:rsidR="00F3463D" w:rsidRDefault="00B35609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85" w:history="1">
            <w:r w:rsidR="00F3463D" w:rsidRPr="005C6218">
              <w:rPr>
                <w:rStyle w:val="Hyperlink"/>
                <w:noProof/>
              </w:rPr>
              <w:t>3.3. MENAXHIMI I NDËRMARRJEVE PUBLIKE – IMPLIKIMET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_Toc93312385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24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2734D886" w14:textId="77777777" w:rsidR="00F3463D" w:rsidRDefault="00B35609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86" w:history="1">
            <w:r w:rsidR="00F3463D" w:rsidRPr="005C6218">
              <w:rPr>
                <w:rStyle w:val="Hyperlink"/>
                <w:noProof/>
              </w:rPr>
              <w:t>3.4. LIGJI PËR FONDIN SOVRAN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_Toc93312386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25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31635FB4" w14:textId="77777777" w:rsidR="00F3463D" w:rsidRDefault="00B35609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87" w:history="1">
            <w:r w:rsidR="00F3463D" w:rsidRPr="005C6218">
              <w:rPr>
                <w:rStyle w:val="Hyperlink"/>
                <w:rFonts w:ascii="Times New Roman" w:eastAsia="Times New Roman" w:hAnsi="Times New Roman" w:cs="Times New Roman"/>
                <w:noProof/>
              </w:rPr>
              <w:t xml:space="preserve">3.5. </w:t>
            </w:r>
            <w:r w:rsidR="00F3463D" w:rsidRPr="005C6218">
              <w:rPr>
                <w:rStyle w:val="Hyperlink"/>
                <w:noProof/>
              </w:rPr>
              <w:t>LIGJI PËR KAMPIONËT NACIONALË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_Toc93312387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27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4C5B39C2" w14:textId="77777777" w:rsidR="00F3463D" w:rsidRDefault="00B35609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88" w:history="1">
            <w:r w:rsidR="00F3463D" w:rsidRPr="005C6218">
              <w:rPr>
                <w:rStyle w:val="Hyperlink"/>
                <w:rFonts w:ascii="Times New Roman" w:eastAsia="Times New Roman" w:hAnsi="Times New Roman" w:cs="Times New Roman"/>
                <w:noProof/>
              </w:rPr>
              <w:t xml:space="preserve">3.6. </w:t>
            </w:r>
            <w:r w:rsidR="00F3463D" w:rsidRPr="005C6218">
              <w:rPr>
                <w:rStyle w:val="Hyperlink"/>
                <w:noProof/>
              </w:rPr>
              <w:t>LIGJE TË TJERA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_Toc93312388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28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62C3983F" w14:textId="77777777" w:rsidR="00F3463D" w:rsidRDefault="00B35609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89" w:history="1">
            <w:r w:rsidR="00F3463D" w:rsidRPr="005C6218">
              <w:rPr>
                <w:rStyle w:val="Hyperlink"/>
                <w:noProof/>
              </w:rPr>
              <w:t>KAPITULLI 4. METODOLOGJIA E ZBATIMIT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_Toc93312389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29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04B4A1C0" w14:textId="77777777" w:rsidR="00F3463D" w:rsidRDefault="00B35609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90" w:history="1">
            <w:r w:rsidR="00F3463D" w:rsidRPr="005C6218">
              <w:rPr>
                <w:rStyle w:val="Hyperlink"/>
                <w:noProof/>
              </w:rPr>
              <w:t>4.1. HYRJE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_Toc93312390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29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20ADF5B4" w14:textId="77777777" w:rsidR="00F3463D" w:rsidRDefault="00B35609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91" w:history="1">
            <w:r w:rsidR="00F3463D" w:rsidRPr="005C6218">
              <w:rPr>
                <w:rStyle w:val="Hyperlink"/>
                <w:noProof/>
              </w:rPr>
              <w:t>4.2. HARTIMI I KORNIZËS LIGJORE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_Toc93312391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29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4CB7C1A6" w14:textId="77777777" w:rsidR="00F3463D" w:rsidRDefault="00B35609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92" w:history="1">
            <w:r w:rsidR="00F3463D" w:rsidRPr="005C6218">
              <w:rPr>
                <w:rStyle w:val="Hyperlink"/>
                <w:noProof/>
              </w:rPr>
              <w:t>4.3. THEMELIMI DHE ORGANIZIMI I FSRK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_Toc93312392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29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408CCD2E" w14:textId="77777777" w:rsidR="00F3463D" w:rsidRDefault="00B35609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93" w:history="1">
            <w:r w:rsidR="00F3463D" w:rsidRPr="005C6218">
              <w:rPr>
                <w:rStyle w:val="Hyperlink"/>
                <w:noProof/>
              </w:rPr>
              <w:t>4.3.1. Hartimi i Statutit të FSRK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_Toc93312393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30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74A82950" w14:textId="77777777" w:rsidR="00F3463D" w:rsidRDefault="00B35609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94" w:history="1">
            <w:r w:rsidR="00F3463D" w:rsidRPr="005C6218">
              <w:rPr>
                <w:rStyle w:val="Hyperlink"/>
                <w:noProof/>
              </w:rPr>
              <w:t>4.3.2. Emërimi i Bordit Mbikëqyres fillestar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_Toc93312394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30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7245C677" w14:textId="77777777" w:rsidR="00F3463D" w:rsidRDefault="00B35609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95" w:history="1">
            <w:r w:rsidR="00F3463D" w:rsidRPr="005C6218">
              <w:rPr>
                <w:rStyle w:val="Hyperlink"/>
                <w:noProof/>
              </w:rPr>
              <w:t>4.3.3. Rekrutimi i Shefit Ekzekutiv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_Toc93312395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31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79DBAC5A" w14:textId="77777777" w:rsidR="00F3463D" w:rsidRDefault="00B35609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96" w:history="1">
            <w:r w:rsidR="00F3463D" w:rsidRPr="005C6218">
              <w:rPr>
                <w:rStyle w:val="Hyperlink"/>
                <w:noProof/>
              </w:rPr>
              <w:t>4.3.4. Modelet e financimit të kapitalit startues likuid të Fondit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_Toc93312396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31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7B6FF2E6" w14:textId="77777777" w:rsidR="00F3463D" w:rsidRDefault="00B35609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97" w:history="1">
            <w:r w:rsidR="00F3463D" w:rsidRPr="005C6218">
              <w:rPr>
                <w:rStyle w:val="Hyperlink"/>
                <w:noProof/>
              </w:rPr>
              <w:t>4.3.5.  Rekomandimi për shumën e kapitalit fillestar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_Toc93312397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34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10C66BA7" w14:textId="77777777" w:rsidR="00F3463D" w:rsidRDefault="00B35609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98" w:history="1">
            <w:r w:rsidR="00F3463D" w:rsidRPr="005C6218">
              <w:rPr>
                <w:rStyle w:val="Hyperlink"/>
                <w:noProof/>
              </w:rPr>
              <w:t>4.3.6. Përcaktimi i aseteve jo-likuide të Republikës së Kosovës që barten te FSRK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_Toc93312398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34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271C9027" w14:textId="77777777" w:rsidR="00F3463D" w:rsidRDefault="00B35609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399" w:history="1">
            <w:r w:rsidR="00F3463D" w:rsidRPr="005C6218">
              <w:rPr>
                <w:rStyle w:val="Hyperlink"/>
                <w:noProof/>
              </w:rPr>
              <w:t>4.3.7. Roli i institucioneve ndërkombëtare financiare, agjensive të jashtme zhvillimore dhe donatorëve të tjerë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_Toc93312399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37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0DD301A3" w14:textId="77777777" w:rsidR="00F3463D" w:rsidRDefault="00B35609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400" w:history="1">
            <w:r w:rsidR="00F3463D" w:rsidRPr="005C6218">
              <w:rPr>
                <w:rStyle w:val="Hyperlink"/>
                <w:noProof/>
              </w:rPr>
              <w:t>4.3.8.  Roli i konsulentëve dhe kompanive tjera të specializuara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_Toc93312400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42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72F2790B" w14:textId="77777777" w:rsidR="00F3463D" w:rsidRDefault="00B35609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401" w:history="1">
            <w:r w:rsidR="00F3463D" w:rsidRPr="005C6218">
              <w:rPr>
                <w:rStyle w:val="Hyperlink"/>
                <w:noProof/>
              </w:rPr>
              <w:t>4.3.9.  Ndërmarrjet e mbetura publike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_Toc93312401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43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5B1A88FD" w14:textId="77777777" w:rsidR="00F3463D" w:rsidRDefault="00B35609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402" w:history="1">
            <w:r w:rsidR="00F3463D" w:rsidRPr="005C6218">
              <w:rPr>
                <w:rStyle w:val="Hyperlink"/>
                <w:noProof/>
              </w:rPr>
              <w:t>4.4.0. E ardhmja e AKP-së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_Toc93312402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43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240644A1" w14:textId="77777777" w:rsidR="00F3463D" w:rsidRDefault="00B35609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403" w:history="1">
            <w:r w:rsidR="00F3463D" w:rsidRPr="005C6218">
              <w:rPr>
                <w:rStyle w:val="Hyperlink"/>
                <w:noProof/>
              </w:rPr>
              <w:t>KAPITULLI 5. KONKLUZIONET DHE HAPAT E ARDHSHËM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_Toc93312403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45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1F838B7D" w14:textId="77777777" w:rsidR="00F3463D" w:rsidRDefault="00B35609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404" w:history="1">
            <w:r w:rsidR="00F3463D" w:rsidRPr="005C6218">
              <w:rPr>
                <w:rStyle w:val="Hyperlink"/>
                <w:noProof/>
              </w:rPr>
              <w:t>SHTOJCA 1: PARIMET THEMELORE TË FONDIT SOVRAN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_Toc93312404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47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148AFA54" w14:textId="77777777" w:rsidR="00F3463D" w:rsidRDefault="00B35609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3312405" w:history="1">
            <w:r w:rsidR="00F3463D" w:rsidRPr="005C6218">
              <w:rPr>
                <w:rStyle w:val="Hyperlink"/>
                <w:rFonts w:cs="Calibri"/>
                <w:bCs/>
                <w:noProof/>
              </w:rPr>
              <w:t>SHTOJCA 2: LISTË PËRMBLEDHËSE E NDËRMARRJEVE DHE ASETEVE SHOQËRORE TË ADMINISTRUARA NGA AKP ME POTENCIAL KALIMI NË FONDIN SOVRAN</w:t>
            </w:r>
            <w:r w:rsidR="00F3463D">
              <w:rPr>
                <w:noProof/>
                <w:webHidden/>
              </w:rPr>
              <w:tab/>
            </w:r>
            <w:r w:rsidR="00F3463D">
              <w:rPr>
                <w:noProof/>
                <w:webHidden/>
              </w:rPr>
              <w:fldChar w:fldCharType="begin"/>
            </w:r>
            <w:r w:rsidR="00F3463D">
              <w:rPr>
                <w:noProof/>
                <w:webHidden/>
              </w:rPr>
              <w:instrText xml:space="preserve"> PAGEREF _Toc93312405 \h </w:instrText>
            </w:r>
            <w:r w:rsidR="00F3463D">
              <w:rPr>
                <w:noProof/>
                <w:webHidden/>
              </w:rPr>
            </w:r>
            <w:r w:rsidR="00F3463D">
              <w:rPr>
                <w:noProof/>
                <w:webHidden/>
              </w:rPr>
              <w:fldChar w:fldCharType="separate"/>
            </w:r>
            <w:r w:rsidR="00F3463D">
              <w:rPr>
                <w:noProof/>
                <w:webHidden/>
              </w:rPr>
              <w:t>72</w:t>
            </w:r>
            <w:r w:rsidR="00F3463D">
              <w:rPr>
                <w:noProof/>
                <w:webHidden/>
              </w:rPr>
              <w:fldChar w:fldCharType="end"/>
            </w:r>
          </w:hyperlink>
        </w:p>
        <w:p w14:paraId="32B219AB" w14:textId="77777777" w:rsidR="000E7BCB" w:rsidRDefault="00A620E4">
          <w:r>
            <w:fldChar w:fldCharType="end"/>
          </w:r>
        </w:p>
      </w:sdtContent>
    </w:sdt>
    <w:p w14:paraId="758F94F4" w14:textId="77777777" w:rsidR="000E7BCB" w:rsidRDefault="000E7BCB"/>
    <w:p w14:paraId="20523AB2" w14:textId="77777777" w:rsidR="000E7BCB" w:rsidRDefault="000E7BCB"/>
    <w:p w14:paraId="0DA2816E" w14:textId="77777777" w:rsidR="000E7BCB" w:rsidRDefault="000E7BCB"/>
    <w:p w14:paraId="2E4C065E" w14:textId="77777777" w:rsidR="000E7BCB" w:rsidRDefault="000E7BCB"/>
    <w:p w14:paraId="359D20D6" w14:textId="77777777" w:rsidR="000E7BCB" w:rsidRDefault="00A620E4">
      <w:r>
        <w:br w:type="page"/>
      </w:r>
    </w:p>
    <w:p w14:paraId="68017FAA" w14:textId="77777777" w:rsidR="000E7BCB" w:rsidRDefault="00A620E4">
      <w:pPr>
        <w:pStyle w:val="Heading1"/>
      </w:pPr>
      <w:bookmarkStart w:id="0" w:name="_Toc93312364"/>
      <w:r>
        <w:lastRenderedPageBreak/>
        <w:t>PËRMBLEDHJE E KONCEPT DOKUMENTIT</w:t>
      </w:r>
      <w:bookmarkEnd w:id="0"/>
    </w:p>
    <w:p w14:paraId="1C8B995E" w14:textId="77777777" w:rsidR="000E7BCB" w:rsidRDefault="000E7BCB"/>
    <w:p w14:paraId="3287613F" w14:textId="77777777" w:rsidR="000E7BCB" w:rsidRDefault="000E7BCB"/>
    <w:tbl>
      <w:tblPr>
        <w:tblStyle w:val="3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7807"/>
      </w:tblGrid>
      <w:tr w:rsidR="000E7BCB" w14:paraId="63E8613C" w14:textId="77777777">
        <w:tc>
          <w:tcPr>
            <w:tcW w:w="2088" w:type="dxa"/>
          </w:tcPr>
          <w:p w14:paraId="0EAA8D46" w14:textId="77777777" w:rsidR="000E7BCB" w:rsidRDefault="00A620E4">
            <w:proofErr w:type="spellStart"/>
            <w:r>
              <w:t>Titulli</w:t>
            </w:r>
            <w:proofErr w:type="spellEnd"/>
          </w:p>
        </w:tc>
        <w:tc>
          <w:tcPr>
            <w:tcW w:w="7807" w:type="dxa"/>
          </w:tcPr>
          <w:p w14:paraId="3FFA72AC" w14:textId="77777777" w:rsidR="000E7BCB" w:rsidRDefault="00A620E4">
            <w:proofErr w:type="spellStart"/>
            <w:r>
              <w:t>Koncept</w:t>
            </w:r>
            <w:proofErr w:type="spellEnd"/>
            <w:r>
              <w:t xml:space="preserve"> </w:t>
            </w:r>
            <w:proofErr w:type="spellStart"/>
            <w:r>
              <w:t>Dokumenti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Themelimin</w:t>
            </w:r>
            <w:proofErr w:type="spellEnd"/>
            <w:r>
              <w:t xml:space="preserve"> e </w:t>
            </w:r>
            <w:proofErr w:type="spellStart"/>
            <w:r>
              <w:t>Fondit</w:t>
            </w:r>
            <w:proofErr w:type="spellEnd"/>
            <w:r>
              <w:t xml:space="preserve"> Sovran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Republikës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Kosovës</w:t>
            </w:r>
            <w:proofErr w:type="spellEnd"/>
          </w:p>
          <w:p w14:paraId="060E0BD3" w14:textId="77777777" w:rsidR="000E7BCB" w:rsidRDefault="000E7BCB"/>
        </w:tc>
      </w:tr>
      <w:tr w:rsidR="000E7BCB" w14:paraId="0757B1FA" w14:textId="77777777">
        <w:tc>
          <w:tcPr>
            <w:tcW w:w="2088" w:type="dxa"/>
          </w:tcPr>
          <w:p w14:paraId="64E734DA" w14:textId="77777777" w:rsidR="000E7BCB" w:rsidRDefault="00A620E4">
            <w:proofErr w:type="spellStart"/>
            <w:r>
              <w:t>Entiteti</w:t>
            </w:r>
            <w:proofErr w:type="spellEnd"/>
            <w:r>
              <w:t xml:space="preserve"> </w:t>
            </w:r>
            <w:proofErr w:type="spellStart"/>
            <w:r>
              <w:t>bartës</w:t>
            </w:r>
            <w:proofErr w:type="spellEnd"/>
          </w:p>
        </w:tc>
        <w:tc>
          <w:tcPr>
            <w:tcW w:w="7807" w:type="dxa"/>
          </w:tcPr>
          <w:p w14:paraId="14E38B48" w14:textId="77777777" w:rsidR="000E7BCB" w:rsidRDefault="00A620E4">
            <w:proofErr w:type="spellStart"/>
            <w:r>
              <w:t>Komisioni</w:t>
            </w:r>
            <w:proofErr w:type="spellEnd"/>
            <w:r>
              <w:t xml:space="preserve"> </w:t>
            </w:r>
            <w:proofErr w:type="spellStart"/>
            <w:r>
              <w:t>Ekzekutiv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Themelimin</w:t>
            </w:r>
            <w:proofErr w:type="spellEnd"/>
            <w:r>
              <w:t xml:space="preserve"> e </w:t>
            </w:r>
            <w:proofErr w:type="spellStart"/>
            <w:r>
              <w:t>Fondit</w:t>
            </w:r>
            <w:proofErr w:type="spellEnd"/>
            <w:r>
              <w:t xml:space="preserve"> Sovran</w:t>
            </w:r>
          </w:p>
          <w:p w14:paraId="7862F4D6" w14:textId="77777777" w:rsidR="000E7BCB" w:rsidRDefault="000E7BCB"/>
        </w:tc>
      </w:tr>
      <w:tr w:rsidR="000E7BCB" w14:paraId="77B0411E" w14:textId="77777777">
        <w:tc>
          <w:tcPr>
            <w:tcW w:w="2088" w:type="dxa"/>
          </w:tcPr>
          <w:p w14:paraId="4A537D97" w14:textId="77777777" w:rsidR="000E7BCB" w:rsidRDefault="00A620E4">
            <w:proofErr w:type="spellStart"/>
            <w:r>
              <w:t>Personi</w:t>
            </w:r>
            <w:proofErr w:type="spellEnd"/>
            <w:r>
              <w:t xml:space="preserve"> </w:t>
            </w:r>
            <w:proofErr w:type="spellStart"/>
            <w:r>
              <w:t>kontaktues</w:t>
            </w:r>
            <w:proofErr w:type="spellEnd"/>
          </w:p>
        </w:tc>
        <w:tc>
          <w:tcPr>
            <w:tcW w:w="7807" w:type="dxa"/>
          </w:tcPr>
          <w:p w14:paraId="0005E56C" w14:textId="77777777" w:rsidR="000E7BCB" w:rsidRDefault="00A620E4">
            <w:r>
              <w:t xml:space="preserve">Dr. </w:t>
            </w:r>
            <w:proofErr w:type="spellStart"/>
            <w:r>
              <w:t>Besnik</w:t>
            </w:r>
            <w:proofErr w:type="spellEnd"/>
            <w:r>
              <w:t xml:space="preserve"> Pula, </w:t>
            </w:r>
            <w:proofErr w:type="spellStart"/>
            <w:r>
              <w:t>kryetar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Grupit</w:t>
            </w:r>
            <w:proofErr w:type="spellEnd"/>
            <w:r>
              <w:t xml:space="preserve"> </w:t>
            </w:r>
            <w:proofErr w:type="spellStart"/>
            <w:r>
              <w:t>Punues</w:t>
            </w:r>
            <w:proofErr w:type="spellEnd"/>
            <w:r>
              <w:t xml:space="preserve">, </w:t>
            </w:r>
            <w:hyperlink r:id="rId9">
              <w:r>
                <w:rPr>
                  <w:color w:val="0563C1"/>
                  <w:u w:val="single"/>
                </w:rPr>
                <w:t>besnikpula@gmail.com</w:t>
              </w:r>
            </w:hyperlink>
          </w:p>
          <w:p w14:paraId="7D3F125C" w14:textId="77777777" w:rsidR="000E7BCB" w:rsidRDefault="000E7BCB"/>
        </w:tc>
      </w:tr>
      <w:tr w:rsidR="000E7BCB" w14:paraId="7B76D7C8" w14:textId="77777777">
        <w:tc>
          <w:tcPr>
            <w:tcW w:w="2088" w:type="dxa"/>
          </w:tcPr>
          <w:p w14:paraId="3FBF00AD" w14:textId="77777777" w:rsidR="000E7BCB" w:rsidRDefault="00A620E4">
            <w:proofErr w:type="spellStart"/>
            <w:r>
              <w:t>Prioriteti</w:t>
            </w:r>
            <w:proofErr w:type="spellEnd"/>
            <w:r>
              <w:t xml:space="preserve"> </w:t>
            </w:r>
            <w:proofErr w:type="spellStart"/>
            <w:r>
              <w:t>strategjik</w:t>
            </w:r>
            <w:proofErr w:type="spellEnd"/>
          </w:p>
        </w:tc>
        <w:tc>
          <w:tcPr>
            <w:tcW w:w="7807" w:type="dxa"/>
          </w:tcPr>
          <w:p w14:paraId="1D89D287" w14:textId="77777777" w:rsidR="000E7BCB" w:rsidRDefault="00A620E4">
            <w:r>
              <w:t xml:space="preserve">Ky </w:t>
            </w:r>
            <w:proofErr w:type="spellStart"/>
            <w:r>
              <w:t>Koncept</w:t>
            </w:r>
            <w:proofErr w:type="spellEnd"/>
            <w:r>
              <w:t xml:space="preserve"> </w:t>
            </w:r>
            <w:proofErr w:type="spellStart"/>
            <w:r>
              <w:t>Dokument</w:t>
            </w:r>
            <w:proofErr w:type="spellEnd"/>
            <w:r>
              <w:t xml:space="preserve"> </w:t>
            </w:r>
            <w:proofErr w:type="spellStart"/>
            <w:r>
              <w:t>adreson</w:t>
            </w:r>
            <w:proofErr w:type="spellEnd"/>
            <w:r>
              <w:t xml:space="preserve"> </w:t>
            </w:r>
            <w:proofErr w:type="spellStart"/>
            <w:r>
              <w:t>planin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themelimin</w:t>
            </w:r>
            <w:proofErr w:type="spellEnd"/>
            <w:r>
              <w:t xml:space="preserve"> e </w:t>
            </w:r>
            <w:proofErr w:type="spellStart"/>
            <w:r>
              <w:t>Fondit</w:t>
            </w:r>
            <w:proofErr w:type="spellEnd"/>
            <w:r>
              <w:t xml:space="preserve"> Sovran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Republikës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Kosovës</w:t>
            </w:r>
            <w:proofErr w:type="spellEnd"/>
            <w:r>
              <w:t xml:space="preserve">,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paraparë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Prioritetin</w:t>
            </w:r>
            <w:proofErr w:type="spellEnd"/>
            <w:r>
              <w:t xml:space="preserve"> 1.2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Programit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Qeverisë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Republikës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Kosovës</w:t>
            </w:r>
            <w:proofErr w:type="spellEnd"/>
            <w:r>
              <w:rPr>
                <w:i/>
              </w:rPr>
              <w:t>, 2021-25</w:t>
            </w:r>
            <w:r>
              <w:t>.</w:t>
            </w:r>
          </w:p>
          <w:p w14:paraId="4B5E4B2D" w14:textId="77777777" w:rsidR="000E7BCB" w:rsidRDefault="000E7BCB"/>
        </w:tc>
      </w:tr>
      <w:tr w:rsidR="000E7BCB" w14:paraId="3F5AF70B" w14:textId="77777777">
        <w:tc>
          <w:tcPr>
            <w:tcW w:w="2088" w:type="dxa"/>
          </w:tcPr>
          <w:p w14:paraId="19411D14" w14:textId="77777777" w:rsidR="000E7BCB" w:rsidRDefault="00A620E4">
            <w:proofErr w:type="spellStart"/>
            <w:r>
              <w:t>Grupi</w:t>
            </w:r>
            <w:proofErr w:type="spellEnd"/>
            <w:r>
              <w:t xml:space="preserve"> </w:t>
            </w:r>
            <w:proofErr w:type="spellStart"/>
            <w:r>
              <w:t>punues</w:t>
            </w:r>
            <w:proofErr w:type="spellEnd"/>
          </w:p>
        </w:tc>
        <w:tc>
          <w:tcPr>
            <w:tcW w:w="7807" w:type="dxa"/>
          </w:tcPr>
          <w:p w14:paraId="720540D5" w14:textId="77777777" w:rsidR="000E7BCB" w:rsidRDefault="00A620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Besnik</w:t>
            </w:r>
            <w:proofErr w:type="spellEnd"/>
            <w:r>
              <w:rPr>
                <w:color w:val="000000"/>
              </w:rPr>
              <w:t xml:space="preserve"> Pula, </w:t>
            </w:r>
            <w:proofErr w:type="spellStart"/>
            <w:r>
              <w:rPr>
                <w:color w:val="000000"/>
              </w:rPr>
              <w:t>kryetar</w:t>
            </w:r>
            <w:proofErr w:type="spellEnd"/>
          </w:p>
          <w:p w14:paraId="4E9530E7" w14:textId="77777777" w:rsidR="000E7BCB" w:rsidRDefault="00A620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Dr. Arta Hoxha, </w:t>
            </w:r>
            <w:proofErr w:type="spellStart"/>
            <w:r>
              <w:rPr>
                <w:color w:val="000000"/>
              </w:rPr>
              <w:t>anëtare</w:t>
            </w:r>
            <w:proofErr w:type="spellEnd"/>
          </w:p>
          <w:p w14:paraId="4C81DBC5" w14:textId="77777777" w:rsidR="000E7BCB" w:rsidRDefault="00A620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Emanuel Bajra, </w:t>
            </w:r>
            <w:proofErr w:type="spellStart"/>
            <w:r>
              <w:rPr>
                <w:color w:val="000000"/>
              </w:rPr>
              <w:t>anëtar</w:t>
            </w:r>
            <w:proofErr w:type="spellEnd"/>
          </w:p>
          <w:p w14:paraId="2CD8E3D8" w14:textId="77777777" w:rsidR="000E7BCB" w:rsidRDefault="00A620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Tea Blakaj-Hoxha, </w:t>
            </w:r>
            <w:proofErr w:type="spellStart"/>
            <w:r>
              <w:rPr>
                <w:color w:val="000000"/>
              </w:rPr>
              <w:t>anëtare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17A98FB1" w14:textId="77777777" w:rsidR="000E7BCB" w:rsidRDefault="00A620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Edison </w:t>
            </w:r>
            <w:proofErr w:type="spellStart"/>
            <w:r>
              <w:rPr>
                <w:color w:val="000000"/>
              </w:rPr>
              <w:t>Jakurti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anëtar</w:t>
            </w:r>
            <w:proofErr w:type="spellEnd"/>
          </w:p>
          <w:p w14:paraId="5EFA31F2" w14:textId="77777777" w:rsidR="000E7BCB" w:rsidRDefault="000E7BCB"/>
        </w:tc>
      </w:tr>
      <w:tr w:rsidR="000E7BCB" w14:paraId="7DAB95C7" w14:textId="77777777">
        <w:tc>
          <w:tcPr>
            <w:tcW w:w="2088" w:type="dxa"/>
          </w:tcPr>
          <w:p w14:paraId="1FC42A94" w14:textId="77777777" w:rsidR="000E7BCB" w:rsidRDefault="00A620E4">
            <w:proofErr w:type="spellStart"/>
            <w:r>
              <w:t>Çështja</w:t>
            </w:r>
            <w:proofErr w:type="spellEnd"/>
            <w:r>
              <w:t xml:space="preserve"> </w:t>
            </w:r>
            <w:proofErr w:type="spellStart"/>
            <w:r>
              <w:t>kryesore</w:t>
            </w:r>
            <w:proofErr w:type="spellEnd"/>
          </w:p>
        </w:tc>
        <w:tc>
          <w:tcPr>
            <w:tcW w:w="7807" w:type="dxa"/>
          </w:tcPr>
          <w:p w14:paraId="43A2317A" w14:textId="77777777" w:rsidR="000E7BCB" w:rsidRDefault="00A620E4">
            <w:r>
              <w:t xml:space="preserve">Ky </w:t>
            </w:r>
            <w:proofErr w:type="spellStart"/>
            <w:r>
              <w:t>dokument</w:t>
            </w:r>
            <w:proofErr w:type="spellEnd"/>
            <w:r>
              <w:t xml:space="preserve"> </w:t>
            </w:r>
            <w:proofErr w:type="spellStart"/>
            <w:r>
              <w:t>përshkruan</w:t>
            </w:r>
            <w:proofErr w:type="spellEnd"/>
            <w:r>
              <w:t xml:space="preserve"> </w:t>
            </w:r>
            <w:proofErr w:type="spellStart"/>
            <w:r>
              <w:t>gjendjen</w:t>
            </w:r>
            <w:proofErr w:type="spellEnd"/>
            <w:r>
              <w:t xml:space="preserve"> </w:t>
            </w:r>
            <w:proofErr w:type="spellStart"/>
            <w:r>
              <w:t>aktuale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sektorin</w:t>
            </w:r>
            <w:proofErr w:type="spellEnd"/>
            <w:r>
              <w:t xml:space="preserve"> e </w:t>
            </w:r>
            <w:proofErr w:type="spellStart"/>
            <w:r>
              <w:t>ndërmarrjeve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 xml:space="preserve"> (NP)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aseteve</w:t>
            </w:r>
            <w:proofErr w:type="spellEnd"/>
            <w:r>
              <w:t xml:space="preserve"> </w:t>
            </w:r>
            <w:proofErr w:type="spellStart"/>
            <w:r>
              <w:t>nën</w:t>
            </w:r>
            <w:proofErr w:type="spellEnd"/>
            <w:r>
              <w:t xml:space="preserve"> </w:t>
            </w:r>
            <w:proofErr w:type="spellStart"/>
            <w:r>
              <w:t>adminstrimin</w:t>
            </w:r>
            <w:proofErr w:type="spellEnd"/>
            <w:r>
              <w:t xml:space="preserve"> e </w:t>
            </w:r>
            <w:proofErr w:type="spellStart"/>
            <w:r>
              <w:t>Agjencisë</w:t>
            </w:r>
            <w:proofErr w:type="spellEnd"/>
            <w:r>
              <w:t xml:space="preserve"> </w:t>
            </w:r>
            <w:proofErr w:type="spellStart"/>
            <w:r>
              <w:t>Kosovare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Privatizimit</w:t>
            </w:r>
            <w:proofErr w:type="spellEnd"/>
            <w:r>
              <w:t xml:space="preserve"> (AKP)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problemet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adreson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raport</w:t>
            </w:r>
            <w:proofErr w:type="spellEnd"/>
            <w:r>
              <w:t xml:space="preserve"> me </w:t>
            </w:r>
            <w:proofErr w:type="spellStart"/>
            <w:r>
              <w:t>këto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fusha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tjera</w:t>
            </w:r>
            <w:proofErr w:type="spellEnd"/>
            <w:r>
              <w:t xml:space="preserve"> </w:t>
            </w:r>
            <w:proofErr w:type="spellStart"/>
            <w:r>
              <w:t>ekonomike</w:t>
            </w:r>
            <w:proofErr w:type="spellEnd"/>
            <w:r>
              <w:t xml:space="preserve"> </w:t>
            </w:r>
            <w:proofErr w:type="spellStart"/>
            <w:r>
              <w:t>themelimi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Fondit</w:t>
            </w:r>
            <w:proofErr w:type="spellEnd"/>
            <w:r>
              <w:t xml:space="preserve"> Sovran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Republikës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Kosovës</w:t>
            </w:r>
            <w:proofErr w:type="spellEnd"/>
            <w:r>
              <w:t xml:space="preserve"> (FSRK). </w:t>
            </w:r>
            <w:proofErr w:type="spellStart"/>
            <w:r>
              <w:t>Dokumenti</w:t>
            </w:r>
            <w:proofErr w:type="spellEnd"/>
            <w:r>
              <w:t xml:space="preserve"> </w:t>
            </w:r>
            <w:proofErr w:type="spellStart"/>
            <w:r>
              <w:t>merr</w:t>
            </w:r>
            <w:proofErr w:type="spellEnd"/>
            <w:r>
              <w:t xml:space="preserve"> </w:t>
            </w:r>
            <w:proofErr w:type="spellStart"/>
            <w:r>
              <w:t>parasysh</w:t>
            </w:r>
            <w:proofErr w:type="spellEnd"/>
            <w:r>
              <w:t xml:space="preserve">, </w:t>
            </w:r>
            <w:proofErr w:type="spellStart"/>
            <w:r>
              <w:t>përshkruan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analizon</w:t>
            </w:r>
            <w:proofErr w:type="spellEnd"/>
            <w:r>
              <w:t xml:space="preserve"> </w:t>
            </w:r>
            <w:proofErr w:type="spellStart"/>
            <w:r>
              <w:t>modele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ndryshme</w:t>
            </w:r>
            <w:proofErr w:type="spellEnd"/>
            <w:r>
              <w:t xml:space="preserve"> </w:t>
            </w:r>
            <w:proofErr w:type="spellStart"/>
            <w:r>
              <w:t>ndërkombëtare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fondeve</w:t>
            </w:r>
            <w:proofErr w:type="spellEnd"/>
            <w:r>
              <w:t xml:space="preserve"> </w:t>
            </w:r>
            <w:proofErr w:type="spellStart"/>
            <w:r>
              <w:t>investive</w:t>
            </w:r>
            <w:proofErr w:type="spellEnd"/>
            <w:r>
              <w:t xml:space="preserve"> </w:t>
            </w:r>
            <w:proofErr w:type="spellStart"/>
            <w:r>
              <w:t>shtetërore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fonde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pasurisë</w:t>
            </w:r>
            <w:proofErr w:type="spellEnd"/>
            <w:r>
              <w:t xml:space="preserve"> </w:t>
            </w:r>
            <w:proofErr w:type="spellStart"/>
            <w:r>
              <w:t>sovrane</w:t>
            </w:r>
            <w:proofErr w:type="spellEnd"/>
            <w:r>
              <w:t xml:space="preserve">. </w:t>
            </w:r>
            <w:proofErr w:type="spellStart"/>
            <w:r>
              <w:t>Dokumenti</w:t>
            </w:r>
            <w:proofErr w:type="spellEnd"/>
            <w:r>
              <w:t xml:space="preserve"> </w:t>
            </w:r>
            <w:proofErr w:type="spellStart"/>
            <w:r>
              <w:t>shqyrton</w:t>
            </w:r>
            <w:proofErr w:type="spellEnd"/>
            <w:r>
              <w:t xml:space="preserve"> </w:t>
            </w:r>
            <w:proofErr w:type="spellStart"/>
            <w:r>
              <w:t>kornizën</w:t>
            </w:r>
            <w:proofErr w:type="spellEnd"/>
            <w:r>
              <w:t xml:space="preserve"> </w:t>
            </w:r>
            <w:proofErr w:type="spellStart"/>
            <w:r>
              <w:t>aktuale</w:t>
            </w:r>
            <w:proofErr w:type="spellEnd"/>
            <w:r>
              <w:t xml:space="preserve"> </w:t>
            </w:r>
            <w:proofErr w:type="spellStart"/>
            <w:r>
              <w:t>ligjore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jep</w:t>
            </w:r>
            <w:proofErr w:type="spellEnd"/>
            <w:r>
              <w:t xml:space="preserve"> </w:t>
            </w:r>
            <w:proofErr w:type="spellStart"/>
            <w:r>
              <w:t>rekomandimet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hartimin</w:t>
            </w:r>
            <w:proofErr w:type="spellEnd"/>
            <w:r>
              <w:t xml:space="preserve"> e </w:t>
            </w:r>
            <w:proofErr w:type="spellStart"/>
            <w:r>
              <w:t>legjislacionit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ndryshimin</w:t>
            </w:r>
            <w:proofErr w:type="spellEnd"/>
            <w:r>
              <w:t xml:space="preserve"> e </w:t>
            </w:r>
            <w:proofErr w:type="spellStart"/>
            <w:r>
              <w:t>legjislacionit</w:t>
            </w:r>
            <w:proofErr w:type="spellEnd"/>
            <w:r>
              <w:t xml:space="preserve"> </w:t>
            </w:r>
            <w:proofErr w:type="spellStart"/>
            <w:r>
              <w:t>përkatës</w:t>
            </w:r>
            <w:proofErr w:type="spellEnd"/>
            <w:r>
              <w:t xml:space="preserve"> me </w:t>
            </w:r>
            <w:proofErr w:type="spellStart"/>
            <w:r>
              <w:t>qëllim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përgatitjes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bazës</w:t>
            </w:r>
            <w:proofErr w:type="spellEnd"/>
            <w:r>
              <w:t xml:space="preserve"> </w:t>
            </w:r>
            <w:proofErr w:type="spellStart"/>
            <w:r>
              <w:t>ligjore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themelimin</w:t>
            </w:r>
            <w:proofErr w:type="spellEnd"/>
            <w:r>
              <w:t xml:space="preserve"> e FSRK. </w:t>
            </w:r>
            <w:proofErr w:type="spellStart"/>
            <w:r>
              <w:t>Dokumenti</w:t>
            </w:r>
            <w:proofErr w:type="spellEnd"/>
            <w:r>
              <w:t xml:space="preserve"> </w:t>
            </w:r>
            <w:proofErr w:type="spellStart"/>
            <w:r>
              <w:t>parasheh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rekomandon</w:t>
            </w:r>
            <w:proofErr w:type="spellEnd"/>
            <w:r>
              <w:t xml:space="preserve"> </w:t>
            </w:r>
            <w:proofErr w:type="spellStart"/>
            <w:r>
              <w:t>modelet</w:t>
            </w:r>
            <w:proofErr w:type="spellEnd"/>
            <w:r>
              <w:t xml:space="preserve"> e </w:t>
            </w:r>
            <w:proofErr w:type="spellStart"/>
            <w:r>
              <w:t>financimit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kapitalit</w:t>
            </w:r>
            <w:proofErr w:type="spellEnd"/>
            <w:r>
              <w:t xml:space="preserve"> </w:t>
            </w:r>
            <w:proofErr w:type="spellStart"/>
            <w:r>
              <w:t>startues</w:t>
            </w:r>
            <w:proofErr w:type="spellEnd"/>
            <w:r>
              <w:t xml:space="preserve"> </w:t>
            </w:r>
            <w:proofErr w:type="spellStart"/>
            <w:r>
              <w:t>likuid</w:t>
            </w:r>
            <w:proofErr w:type="spellEnd"/>
            <w:r>
              <w:t xml:space="preserve">,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asetet</w:t>
            </w:r>
            <w:proofErr w:type="spellEnd"/>
            <w:r>
              <w:t xml:space="preserve"> jo-</w:t>
            </w:r>
            <w:proofErr w:type="spellStart"/>
            <w:r>
              <w:t>likuide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transferohen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pronësi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FSRK. </w:t>
            </w:r>
            <w:proofErr w:type="spellStart"/>
            <w:r>
              <w:t>Dokumenti</w:t>
            </w:r>
            <w:proofErr w:type="spellEnd"/>
            <w:r>
              <w:t xml:space="preserve"> </w:t>
            </w:r>
            <w:proofErr w:type="spellStart"/>
            <w:r>
              <w:t>përshkruan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detaje</w:t>
            </w:r>
            <w:proofErr w:type="spellEnd"/>
            <w:r>
              <w:t xml:space="preserve"> </w:t>
            </w:r>
            <w:proofErr w:type="spellStart"/>
            <w:r>
              <w:t>qëllimet</w:t>
            </w:r>
            <w:proofErr w:type="spellEnd"/>
            <w:r>
              <w:t xml:space="preserve">, </w:t>
            </w:r>
            <w:proofErr w:type="spellStart"/>
            <w:r>
              <w:t>statusin</w:t>
            </w:r>
            <w:proofErr w:type="spellEnd"/>
            <w:r>
              <w:t xml:space="preserve">, </w:t>
            </w:r>
            <w:proofErr w:type="spellStart"/>
            <w:r>
              <w:t>qeverisjen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organizimin</w:t>
            </w:r>
            <w:proofErr w:type="spellEnd"/>
            <w:r>
              <w:t xml:space="preserve"> e FSRK, </w:t>
            </w:r>
            <w:proofErr w:type="spellStart"/>
            <w:r>
              <w:t>kornizën</w:t>
            </w:r>
            <w:proofErr w:type="spellEnd"/>
            <w:r>
              <w:t xml:space="preserve"> e </w:t>
            </w:r>
            <w:proofErr w:type="spellStart"/>
            <w:r>
              <w:t>strategjive</w:t>
            </w:r>
            <w:proofErr w:type="spellEnd"/>
            <w:r>
              <w:t xml:space="preserve"> </w:t>
            </w:r>
            <w:proofErr w:type="spellStart"/>
            <w:r>
              <w:t>investive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ndikimet</w:t>
            </w:r>
            <w:proofErr w:type="spellEnd"/>
            <w:r>
              <w:t xml:space="preserve"> </w:t>
            </w:r>
            <w:proofErr w:type="spellStart"/>
            <w:r>
              <w:t>tjera</w:t>
            </w:r>
            <w:proofErr w:type="spellEnd"/>
            <w:r>
              <w:t xml:space="preserve"> </w:t>
            </w:r>
            <w:proofErr w:type="spellStart"/>
            <w:r>
              <w:t>zhvillimore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FSRK </w:t>
            </w:r>
            <w:proofErr w:type="spellStart"/>
            <w:r>
              <w:t>mund</w:t>
            </w:r>
            <w:proofErr w:type="spellEnd"/>
            <w:r>
              <w:t xml:space="preserve"> </w:t>
            </w:r>
            <w:proofErr w:type="spellStart"/>
            <w:r>
              <w:t>t’i</w:t>
            </w:r>
            <w:proofErr w:type="spellEnd"/>
            <w:r>
              <w:t xml:space="preserve"> </w:t>
            </w:r>
            <w:proofErr w:type="spellStart"/>
            <w:r>
              <w:t>luajë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raport</w:t>
            </w:r>
            <w:proofErr w:type="spellEnd"/>
            <w:r>
              <w:t xml:space="preserve"> me </w:t>
            </w:r>
            <w:proofErr w:type="spellStart"/>
            <w:r>
              <w:t>bazën</w:t>
            </w:r>
            <w:proofErr w:type="spellEnd"/>
            <w:r>
              <w:t xml:space="preserve"> </w:t>
            </w:r>
            <w:proofErr w:type="spellStart"/>
            <w:r>
              <w:t>ekonomike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sistemit</w:t>
            </w:r>
            <w:proofErr w:type="spellEnd"/>
            <w:r>
              <w:t xml:space="preserve"> </w:t>
            </w:r>
            <w:proofErr w:type="spellStart"/>
            <w:r>
              <w:t>financiar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Kosovës</w:t>
            </w:r>
            <w:proofErr w:type="spellEnd"/>
            <w:r>
              <w:t xml:space="preserve">. </w:t>
            </w:r>
            <w:proofErr w:type="spellStart"/>
            <w:r>
              <w:t>Dokumenti</w:t>
            </w:r>
            <w:proofErr w:type="spellEnd"/>
            <w:r>
              <w:t xml:space="preserve"> </w:t>
            </w:r>
            <w:proofErr w:type="spellStart"/>
            <w:r>
              <w:t>propozon</w:t>
            </w:r>
            <w:proofErr w:type="spellEnd"/>
            <w:r>
              <w:t xml:space="preserve"> </w:t>
            </w:r>
            <w:proofErr w:type="spellStart"/>
            <w:r>
              <w:t>strategjinë</w:t>
            </w:r>
            <w:proofErr w:type="spellEnd"/>
            <w:r>
              <w:t xml:space="preserve"> </w:t>
            </w:r>
            <w:proofErr w:type="spellStart"/>
            <w:r>
              <w:t>implementuese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jep</w:t>
            </w:r>
            <w:proofErr w:type="spellEnd"/>
            <w:r>
              <w:t xml:space="preserve"> </w:t>
            </w:r>
            <w:proofErr w:type="spellStart"/>
            <w:r>
              <w:t>rekomandimet</w:t>
            </w:r>
            <w:proofErr w:type="spellEnd"/>
            <w:r>
              <w:t xml:space="preserve"> </w:t>
            </w:r>
            <w:proofErr w:type="spellStart"/>
            <w:r>
              <w:t>përkatëse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formën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metodologjinë</w:t>
            </w:r>
            <w:proofErr w:type="spellEnd"/>
            <w:r>
              <w:t xml:space="preserve"> e </w:t>
            </w:r>
            <w:proofErr w:type="spellStart"/>
            <w:r>
              <w:t>zbatimit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planit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themelimin</w:t>
            </w:r>
            <w:proofErr w:type="spellEnd"/>
            <w:r>
              <w:t xml:space="preserve"> e FSRK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>
              <w:t>periudhë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shkurtër</w:t>
            </w:r>
            <w:proofErr w:type="spellEnd"/>
            <w:r>
              <w:t xml:space="preserve"> </w:t>
            </w:r>
            <w:proofErr w:type="spellStart"/>
            <w:r>
              <w:t>kohore</w:t>
            </w:r>
            <w:proofErr w:type="spellEnd"/>
            <w:r>
              <w:t>.</w:t>
            </w:r>
          </w:p>
          <w:p w14:paraId="4050FAA0" w14:textId="77777777" w:rsidR="000E7BCB" w:rsidRDefault="000E7BCB"/>
        </w:tc>
      </w:tr>
      <w:tr w:rsidR="000E7BCB" w14:paraId="38582B5D" w14:textId="77777777">
        <w:tc>
          <w:tcPr>
            <w:tcW w:w="2088" w:type="dxa"/>
          </w:tcPr>
          <w:p w14:paraId="3A9DE256" w14:textId="77777777" w:rsidR="000E7BCB" w:rsidRDefault="00A620E4">
            <w:proofErr w:type="spellStart"/>
            <w:r>
              <w:t>Opsioni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propozuar</w:t>
            </w:r>
            <w:proofErr w:type="spellEnd"/>
          </w:p>
          <w:p w14:paraId="5600DE93" w14:textId="77777777" w:rsidR="000E7BCB" w:rsidRDefault="000E7BCB"/>
        </w:tc>
        <w:tc>
          <w:tcPr>
            <w:tcW w:w="7807" w:type="dxa"/>
          </w:tcPr>
          <w:p w14:paraId="7A67855D" w14:textId="77777777" w:rsidR="000E7BCB" w:rsidRDefault="00A620E4">
            <w:proofErr w:type="spellStart"/>
            <w:r>
              <w:lastRenderedPageBreak/>
              <w:t>Komisionit</w:t>
            </w:r>
            <w:proofErr w:type="spellEnd"/>
            <w:r>
              <w:t xml:space="preserve"> </w:t>
            </w:r>
            <w:proofErr w:type="spellStart"/>
            <w:r>
              <w:t>Ekzekutiv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Qeverisë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rekomandohet</w:t>
            </w:r>
            <w:proofErr w:type="spellEnd"/>
            <w:r>
              <w:t xml:space="preserve"> </w:t>
            </w:r>
            <w:proofErr w:type="spellStart"/>
            <w:r>
              <w:t>hartimi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Ligjit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Fondit</w:t>
            </w:r>
            <w:proofErr w:type="spellEnd"/>
            <w:r>
              <w:t xml:space="preserve"> Sovran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ndjekja</w:t>
            </w:r>
            <w:proofErr w:type="spellEnd"/>
            <w:r>
              <w:t xml:space="preserve"> e </w:t>
            </w:r>
            <w:proofErr w:type="spellStart"/>
            <w:r>
              <w:t>modelit</w:t>
            </w:r>
            <w:proofErr w:type="spellEnd"/>
            <w:r>
              <w:t xml:space="preserve"> </w:t>
            </w:r>
            <w:proofErr w:type="spellStart"/>
            <w:r>
              <w:t>organizativ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financiar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propozuar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këtë</w:t>
            </w:r>
            <w:proofErr w:type="spellEnd"/>
            <w:r>
              <w:t xml:space="preserve"> </w:t>
            </w:r>
            <w:proofErr w:type="spellStart"/>
            <w:r>
              <w:t>dokument</w:t>
            </w:r>
            <w:proofErr w:type="spellEnd"/>
            <w:r>
              <w:t>.</w:t>
            </w:r>
          </w:p>
          <w:p w14:paraId="70744A6D" w14:textId="77777777" w:rsidR="000E7BCB" w:rsidRDefault="000E7BCB"/>
        </w:tc>
      </w:tr>
    </w:tbl>
    <w:p w14:paraId="29845AB0" w14:textId="77777777" w:rsidR="000E7BCB" w:rsidRDefault="000E7BCB"/>
    <w:p w14:paraId="5597EBDA" w14:textId="77777777" w:rsidR="000E7BCB" w:rsidRDefault="000E7BCB"/>
    <w:tbl>
      <w:tblPr>
        <w:tblStyle w:val="2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8100"/>
      </w:tblGrid>
      <w:tr w:rsidR="000E7BCB" w14:paraId="5EA99EB0" w14:textId="77777777">
        <w:tc>
          <w:tcPr>
            <w:tcW w:w="9895" w:type="dxa"/>
            <w:gridSpan w:val="2"/>
          </w:tcPr>
          <w:p w14:paraId="403FE2D6" w14:textId="77777777" w:rsidR="000E7BCB" w:rsidRDefault="00A620E4">
            <w:pPr>
              <w:rPr>
                <w:b/>
              </w:rPr>
            </w:pPr>
            <w:proofErr w:type="spellStart"/>
            <w:r>
              <w:rPr>
                <w:b/>
              </w:rPr>
              <w:t>Ndikimet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kryesore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pritshme</w:t>
            </w:r>
            <w:proofErr w:type="spellEnd"/>
          </w:p>
          <w:p w14:paraId="6DEE0102" w14:textId="77777777" w:rsidR="000E7BCB" w:rsidRDefault="000E7BCB"/>
        </w:tc>
      </w:tr>
      <w:tr w:rsidR="000E7BCB" w14:paraId="5204EADB" w14:textId="77777777">
        <w:tc>
          <w:tcPr>
            <w:tcW w:w="1795" w:type="dxa"/>
          </w:tcPr>
          <w:p w14:paraId="2C39B49C" w14:textId="77777777" w:rsidR="000E7BCB" w:rsidRDefault="00A620E4">
            <w:proofErr w:type="spellStart"/>
            <w:r>
              <w:t>Ndikimet</w:t>
            </w:r>
            <w:proofErr w:type="spellEnd"/>
            <w:r>
              <w:t xml:space="preserve"> </w:t>
            </w:r>
            <w:proofErr w:type="spellStart"/>
            <w:r>
              <w:t>buxhetore</w:t>
            </w:r>
            <w:proofErr w:type="spellEnd"/>
          </w:p>
        </w:tc>
        <w:tc>
          <w:tcPr>
            <w:tcW w:w="8100" w:type="dxa"/>
            <w:shd w:val="clear" w:color="auto" w:fill="auto"/>
          </w:tcPr>
          <w:p w14:paraId="3CD28303" w14:textId="77777777" w:rsidR="000E7BCB" w:rsidRDefault="00A620E4">
            <w:proofErr w:type="spellStart"/>
            <w:r>
              <w:t>Dokumenti</w:t>
            </w:r>
            <w:proofErr w:type="spellEnd"/>
            <w:r>
              <w:t xml:space="preserve"> </w:t>
            </w:r>
            <w:proofErr w:type="spellStart"/>
            <w:r>
              <w:t>propozon</w:t>
            </w:r>
            <w:proofErr w:type="spellEnd"/>
            <w:r>
              <w:t xml:space="preserve"> </w:t>
            </w:r>
            <w:proofErr w:type="spellStart"/>
            <w:r>
              <w:t>modelet</w:t>
            </w:r>
            <w:proofErr w:type="spellEnd"/>
            <w:r>
              <w:t xml:space="preserve"> e </w:t>
            </w:r>
            <w:proofErr w:type="spellStart"/>
            <w:r>
              <w:t>financimit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themelimin</w:t>
            </w:r>
            <w:proofErr w:type="spellEnd"/>
            <w:r>
              <w:t xml:space="preserve"> e FSRK, pa </w:t>
            </w:r>
            <w:proofErr w:type="spellStart"/>
            <w:r>
              <w:t>ndikime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shpenzimet</w:t>
            </w:r>
            <w:proofErr w:type="spellEnd"/>
            <w:r>
              <w:t xml:space="preserve"> operative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Qeverisë</w:t>
            </w:r>
            <w:proofErr w:type="spellEnd"/>
            <w:r>
              <w:t xml:space="preserve">. </w:t>
            </w:r>
            <w:proofErr w:type="spellStart"/>
            <w:r>
              <w:t>Parashihet</w:t>
            </w:r>
            <w:proofErr w:type="spellEnd"/>
            <w:r>
              <w:t xml:space="preserve"> se me </w:t>
            </w:r>
            <w:proofErr w:type="spellStart"/>
            <w:r>
              <w:t>themelimin</w:t>
            </w:r>
            <w:proofErr w:type="spellEnd"/>
            <w:r>
              <w:t xml:space="preserve"> e FSRK-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njësi</w:t>
            </w:r>
            <w:proofErr w:type="spellEnd"/>
            <w:r>
              <w:t xml:space="preserve"> </w:t>
            </w:r>
            <w:proofErr w:type="spellStart"/>
            <w:r>
              <w:t>vetëfinancuese</w:t>
            </w:r>
            <w:proofErr w:type="spellEnd"/>
            <w:r>
              <w:t xml:space="preserve">, </w:t>
            </w:r>
            <w:proofErr w:type="spellStart"/>
            <w:r>
              <w:t>Qeveria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>
              <w:t>periudhë</w:t>
            </w:r>
            <w:proofErr w:type="spellEnd"/>
            <w:r>
              <w:t xml:space="preserve"> </w:t>
            </w:r>
            <w:proofErr w:type="spellStart"/>
            <w:r>
              <w:t>afatmesme</w:t>
            </w:r>
            <w:proofErr w:type="spellEnd"/>
            <w:r>
              <w:t xml:space="preserve"> (2-5 </w:t>
            </w:r>
            <w:proofErr w:type="spellStart"/>
            <w:r>
              <w:t>vjet</w:t>
            </w:r>
            <w:proofErr w:type="spellEnd"/>
            <w:r>
              <w:t xml:space="preserve">) </w:t>
            </w:r>
            <w:proofErr w:type="spellStart"/>
            <w:r>
              <w:t>arrin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kthejë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rrisë</w:t>
            </w:r>
            <w:proofErr w:type="spellEnd"/>
            <w:r>
              <w:t xml:space="preserve"> </w:t>
            </w:r>
            <w:proofErr w:type="spellStart"/>
            <w:r>
              <w:t>profitabilitetin</w:t>
            </w:r>
            <w:proofErr w:type="spellEnd"/>
            <w:r>
              <w:t xml:space="preserve"> e NP-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cilat</w:t>
            </w:r>
            <w:proofErr w:type="spellEnd"/>
            <w:r>
              <w:t xml:space="preserve"> </w:t>
            </w:r>
            <w:proofErr w:type="spellStart"/>
            <w:r>
              <w:t>aktualisht</w:t>
            </w:r>
            <w:proofErr w:type="spellEnd"/>
            <w:r>
              <w:t xml:space="preserve"> </w:t>
            </w:r>
            <w:proofErr w:type="spellStart"/>
            <w:r>
              <w:t>janë</w:t>
            </w:r>
            <w:proofErr w:type="spellEnd"/>
            <w:r>
              <w:t xml:space="preserve"> </w:t>
            </w:r>
            <w:proofErr w:type="spellStart"/>
            <w:r>
              <w:t>barrë</w:t>
            </w:r>
            <w:proofErr w:type="spellEnd"/>
            <w:r>
              <w:t xml:space="preserve"> </w:t>
            </w:r>
            <w:proofErr w:type="spellStart"/>
            <w:r>
              <w:t>buxhetore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vendin</w:t>
            </w:r>
            <w:proofErr w:type="spellEnd"/>
            <w:r>
              <w:t xml:space="preserve">, duke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siguruar</w:t>
            </w:r>
            <w:proofErr w:type="spellEnd"/>
            <w:r>
              <w:t xml:space="preserve"> </w:t>
            </w:r>
            <w:proofErr w:type="spellStart"/>
            <w:r>
              <w:t>Qeverisë</w:t>
            </w:r>
            <w:proofErr w:type="spellEnd"/>
            <w:r>
              <w:t xml:space="preserve"> </w:t>
            </w:r>
            <w:proofErr w:type="spellStart"/>
            <w:r>
              <w:t>burim</w:t>
            </w:r>
            <w:proofErr w:type="spellEnd"/>
            <w:r>
              <w:t xml:space="preserve"> </w:t>
            </w:r>
            <w:proofErr w:type="spellStart"/>
            <w:r>
              <w:t>financiar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dividentat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themelimin</w:t>
            </w:r>
            <w:proofErr w:type="spellEnd"/>
            <w:r>
              <w:t xml:space="preserve"> e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>
              <w:t>Fondi</w:t>
            </w:r>
            <w:proofErr w:type="spellEnd"/>
            <w:r>
              <w:t xml:space="preserve"> </w:t>
            </w:r>
            <w:proofErr w:type="spellStart"/>
            <w:r>
              <w:t>Rezervë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nevoja</w:t>
            </w:r>
            <w:proofErr w:type="spellEnd"/>
            <w:r>
              <w:t xml:space="preserve"> </w:t>
            </w:r>
            <w:proofErr w:type="spellStart"/>
            <w:r>
              <w:t>emergjente</w:t>
            </w:r>
            <w:proofErr w:type="spellEnd"/>
            <w:r>
              <w:t xml:space="preserve"> </w:t>
            </w:r>
            <w:proofErr w:type="spellStart"/>
            <w:r>
              <w:t>fiskale</w:t>
            </w:r>
            <w:proofErr w:type="spellEnd"/>
            <w:r>
              <w:t>.</w:t>
            </w:r>
          </w:p>
          <w:p w14:paraId="72F8E8B9" w14:textId="77777777" w:rsidR="000E7BCB" w:rsidRDefault="000E7BCB"/>
        </w:tc>
      </w:tr>
      <w:tr w:rsidR="000E7BCB" w14:paraId="0F171AC3" w14:textId="77777777">
        <w:tc>
          <w:tcPr>
            <w:tcW w:w="1795" w:type="dxa"/>
          </w:tcPr>
          <w:p w14:paraId="21B2B1E5" w14:textId="77777777" w:rsidR="000E7BCB" w:rsidRDefault="00A620E4">
            <w:proofErr w:type="spellStart"/>
            <w:proofErr w:type="gramStart"/>
            <w:r>
              <w:t>Ndikimet</w:t>
            </w:r>
            <w:proofErr w:type="spellEnd"/>
            <w:r>
              <w:t xml:space="preserve">  </w:t>
            </w:r>
            <w:proofErr w:type="spellStart"/>
            <w:r>
              <w:t>ekonomike</w:t>
            </w:r>
            <w:proofErr w:type="spellEnd"/>
            <w:proofErr w:type="gramEnd"/>
          </w:p>
        </w:tc>
        <w:tc>
          <w:tcPr>
            <w:tcW w:w="8100" w:type="dxa"/>
          </w:tcPr>
          <w:p w14:paraId="5F5F6BF7" w14:textId="77777777" w:rsidR="000E7BCB" w:rsidRDefault="00A620E4">
            <w:proofErr w:type="spellStart"/>
            <w:r>
              <w:t>Ndikimet</w:t>
            </w:r>
            <w:proofErr w:type="spellEnd"/>
            <w:r>
              <w:t xml:space="preserve"> </w:t>
            </w:r>
            <w:proofErr w:type="spellStart"/>
            <w:r>
              <w:t>ekonomike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FSRK </w:t>
            </w:r>
            <w:proofErr w:type="spellStart"/>
            <w:r>
              <w:t>janë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shumëanshme</w:t>
            </w:r>
            <w:proofErr w:type="spellEnd"/>
            <w:r>
              <w:t xml:space="preserve">. </w:t>
            </w:r>
            <w:proofErr w:type="spellStart"/>
            <w:r>
              <w:t>Përveç</w:t>
            </w:r>
            <w:proofErr w:type="spellEnd"/>
            <w:r>
              <w:t xml:space="preserve"> </w:t>
            </w:r>
            <w:proofErr w:type="spellStart"/>
            <w:r>
              <w:t>përmirësimit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gjendjes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performancës</w:t>
            </w:r>
            <w:proofErr w:type="spellEnd"/>
            <w:r>
              <w:t xml:space="preserve"> </w:t>
            </w:r>
            <w:proofErr w:type="spellStart"/>
            <w:r>
              <w:t>afariste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sektorit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NP-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komerciale</w:t>
            </w:r>
            <w:proofErr w:type="spellEnd"/>
            <w:r>
              <w:t xml:space="preserve">, FSRK </w:t>
            </w:r>
            <w:proofErr w:type="spellStart"/>
            <w:r>
              <w:t>ndikon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zhvillimin</w:t>
            </w:r>
            <w:proofErr w:type="spellEnd"/>
            <w:r>
              <w:t xml:space="preserve"> e </w:t>
            </w:r>
            <w:proofErr w:type="spellStart"/>
            <w:r>
              <w:t>sistemit</w:t>
            </w:r>
            <w:proofErr w:type="spellEnd"/>
            <w:r>
              <w:t xml:space="preserve"> </w:t>
            </w:r>
            <w:proofErr w:type="spellStart"/>
            <w:r>
              <w:t>financiar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Kosovës</w:t>
            </w:r>
            <w:proofErr w:type="spellEnd"/>
            <w:r>
              <w:t xml:space="preserve"> duke </w:t>
            </w:r>
            <w:proofErr w:type="spellStart"/>
            <w:r>
              <w:t>ndikuar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emetimin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tregtimin</w:t>
            </w:r>
            <w:proofErr w:type="spellEnd"/>
            <w:r>
              <w:t xml:space="preserve"> e </w:t>
            </w:r>
            <w:proofErr w:type="spellStart"/>
            <w:r>
              <w:t>letrave</w:t>
            </w:r>
            <w:proofErr w:type="spellEnd"/>
            <w:r>
              <w:t xml:space="preserve"> me </w:t>
            </w:r>
            <w:proofErr w:type="spellStart"/>
            <w:r>
              <w:t>vlerë</w:t>
            </w:r>
            <w:proofErr w:type="spellEnd"/>
            <w:r>
              <w:t xml:space="preserve">, </w:t>
            </w:r>
            <w:proofErr w:type="spellStart"/>
            <w:r>
              <w:t>rritjen</w:t>
            </w:r>
            <w:proofErr w:type="spellEnd"/>
            <w:r>
              <w:t xml:space="preserve"> e </w:t>
            </w:r>
            <w:proofErr w:type="spellStart"/>
            <w:r>
              <w:t>qasjes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financa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SH.A. private </w:t>
            </w:r>
            <w:proofErr w:type="spellStart"/>
            <w:r>
              <w:t>përmes</w:t>
            </w:r>
            <w:proofErr w:type="spellEnd"/>
            <w:r>
              <w:t xml:space="preserve"> </w:t>
            </w:r>
            <w:proofErr w:type="spellStart"/>
            <w:r>
              <w:t>strategjisë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brendshme</w:t>
            </w:r>
            <w:proofErr w:type="spellEnd"/>
            <w:r>
              <w:t xml:space="preserve"> </w:t>
            </w:r>
            <w:proofErr w:type="spellStart"/>
            <w:r>
              <w:t>investuese</w:t>
            </w:r>
            <w:proofErr w:type="spellEnd"/>
            <w:r>
              <w:t xml:space="preserve"> (</w:t>
            </w:r>
            <w:r>
              <w:rPr>
                <w:i/>
              </w:rPr>
              <w:t>equity financing</w:t>
            </w:r>
            <w:r>
              <w:t xml:space="preserve">)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mekanizëm</w:t>
            </w:r>
            <w:proofErr w:type="spellEnd"/>
            <w:r>
              <w:t xml:space="preserve"> </w:t>
            </w:r>
            <w:proofErr w:type="spellStart"/>
            <w:r>
              <w:t>alternativ</w:t>
            </w:r>
            <w:proofErr w:type="spellEnd"/>
            <w:r>
              <w:t xml:space="preserve"> </w:t>
            </w:r>
            <w:proofErr w:type="spellStart"/>
            <w:r>
              <w:t>ndaj</w:t>
            </w:r>
            <w:proofErr w:type="spellEnd"/>
            <w:r>
              <w:t xml:space="preserve"> </w:t>
            </w:r>
            <w:proofErr w:type="spellStart"/>
            <w:r>
              <w:t>kredive</w:t>
            </w:r>
            <w:proofErr w:type="spellEnd"/>
            <w:r>
              <w:t xml:space="preserve"> </w:t>
            </w:r>
            <w:proofErr w:type="spellStart"/>
            <w:r>
              <w:t>bankare</w:t>
            </w:r>
            <w:proofErr w:type="spellEnd"/>
            <w:r>
              <w:t xml:space="preserve">,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ngritjen</w:t>
            </w:r>
            <w:proofErr w:type="spellEnd"/>
            <w:r>
              <w:t xml:space="preserve"> e </w:t>
            </w:r>
            <w:proofErr w:type="spellStart"/>
            <w:r>
              <w:t>standardeve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cilësisë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qeverisjes</w:t>
            </w:r>
            <w:proofErr w:type="spellEnd"/>
            <w:r>
              <w:t xml:space="preserve"> </w:t>
            </w:r>
            <w:proofErr w:type="spellStart"/>
            <w:r>
              <w:t>korporative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vend.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pikëpamje</w:t>
            </w:r>
            <w:proofErr w:type="spellEnd"/>
            <w:r>
              <w:t xml:space="preserve"> </w:t>
            </w:r>
            <w:proofErr w:type="spellStart"/>
            <w:r>
              <w:t>afatgjatë</w:t>
            </w:r>
            <w:proofErr w:type="spellEnd"/>
            <w:r>
              <w:t xml:space="preserve"> </w:t>
            </w:r>
            <w:proofErr w:type="spellStart"/>
            <w:r>
              <w:t>kjo</w:t>
            </w:r>
            <w:proofErr w:type="spellEnd"/>
            <w:r>
              <w:t xml:space="preserve"> </w:t>
            </w:r>
            <w:proofErr w:type="spellStart"/>
            <w:r>
              <w:t>ndikon</w:t>
            </w:r>
            <w:proofErr w:type="spellEnd"/>
            <w:r>
              <w:t xml:space="preserve"> </w:t>
            </w:r>
            <w:proofErr w:type="spellStart"/>
            <w:r>
              <w:t>drejtpërdrejtë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rritjen</w:t>
            </w:r>
            <w:proofErr w:type="spellEnd"/>
            <w:r>
              <w:t xml:space="preserve"> e </w:t>
            </w:r>
            <w:proofErr w:type="spellStart"/>
            <w:r>
              <w:t>punësimit</w:t>
            </w:r>
            <w:proofErr w:type="spellEnd"/>
            <w:r>
              <w:t xml:space="preserve">, </w:t>
            </w:r>
            <w:proofErr w:type="spellStart"/>
            <w:r>
              <w:t>rritjen</w:t>
            </w:r>
            <w:proofErr w:type="spellEnd"/>
            <w:r>
              <w:t xml:space="preserve"> e </w:t>
            </w:r>
            <w:proofErr w:type="spellStart"/>
            <w:r>
              <w:t>bazës</w:t>
            </w:r>
            <w:proofErr w:type="spellEnd"/>
            <w:r>
              <w:t xml:space="preserve"> </w:t>
            </w:r>
            <w:proofErr w:type="spellStart"/>
            <w:r>
              <w:t>teknologjike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shkathtësive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vend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ngritjes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konkurrueshmërisë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vendit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ekonominë</w:t>
            </w:r>
            <w:proofErr w:type="spellEnd"/>
            <w:r>
              <w:t xml:space="preserve"> </w:t>
            </w:r>
            <w:proofErr w:type="spellStart"/>
            <w:r>
              <w:t>ndërkombëtare</w:t>
            </w:r>
            <w:proofErr w:type="spellEnd"/>
            <w:r>
              <w:t xml:space="preserve">. FSRK </w:t>
            </w:r>
            <w:proofErr w:type="spellStart"/>
            <w:r>
              <w:t>gjithashtu</w:t>
            </w:r>
            <w:proofErr w:type="spellEnd"/>
            <w:r>
              <w:t xml:space="preserve"> </w:t>
            </w:r>
            <w:proofErr w:type="spellStart"/>
            <w:r>
              <w:t>ndikon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tërheqjen</w:t>
            </w:r>
            <w:proofErr w:type="spellEnd"/>
            <w:r>
              <w:t xml:space="preserve"> e </w:t>
            </w:r>
            <w:proofErr w:type="spellStart"/>
            <w:r>
              <w:t>investimeve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jashtë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rritjen</w:t>
            </w:r>
            <w:proofErr w:type="spellEnd"/>
            <w:r>
              <w:t xml:space="preserve"> e </w:t>
            </w:r>
            <w:proofErr w:type="spellStart"/>
            <w:r>
              <w:t>pjesëmarrjes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kapitalit</w:t>
            </w:r>
            <w:proofErr w:type="spellEnd"/>
            <w:r>
              <w:t xml:space="preserve"> </w:t>
            </w:r>
            <w:proofErr w:type="spellStart"/>
            <w:r>
              <w:t>kosovar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tregjet</w:t>
            </w:r>
            <w:proofErr w:type="spellEnd"/>
            <w:r>
              <w:t xml:space="preserve"> </w:t>
            </w:r>
            <w:proofErr w:type="spellStart"/>
            <w:r>
              <w:t>financiare</w:t>
            </w:r>
            <w:proofErr w:type="spellEnd"/>
            <w:r>
              <w:t xml:space="preserve"> </w:t>
            </w:r>
            <w:proofErr w:type="spellStart"/>
            <w:r>
              <w:t>ndërkombëtare</w:t>
            </w:r>
            <w:proofErr w:type="spellEnd"/>
            <w:r>
              <w:t>.</w:t>
            </w:r>
          </w:p>
          <w:p w14:paraId="6ABDD166" w14:textId="77777777" w:rsidR="000E7BCB" w:rsidRDefault="000E7BCB"/>
        </w:tc>
      </w:tr>
      <w:tr w:rsidR="000E7BCB" w14:paraId="61C76829" w14:textId="77777777">
        <w:tc>
          <w:tcPr>
            <w:tcW w:w="1795" w:type="dxa"/>
          </w:tcPr>
          <w:p w14:paraId="046A631D" w14:textId="77777777" w:rsidR="000E7BCB" w:rsidRDefault="00A620E4">
            <w:proofErr w:type="spellStart"/>
            <w:r>
              <w:t>Ndikimet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  <w:tc>
          <w:tcPr>
            <w:tcW w:w="8100" w:type="dxa"/>
          </w:tcPr>
          <w:p w14:paraId="006912D3" w14:textId="77777777" w:rsidR="000E7BCB" w:rsidRDefault="00A620E4">
            <w:proofErr w:type="spellStart"/>
            <w:r>
              <w:t>Qeverisja</w:t>
            </w:r>
            <w:proofErr w:type="spellEnd"/>
            <w:r>
              <w:t xml:space="preserve"> </w:t>
            </w:r>
            <w:proofErr w:type="spellStart"/>
            <w:r>
              <w:t>korporative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strategjitë</w:t>
            </w:r>
            <w:proofErr w:type="spellEnd"/>
            <w:r>
              <w:t xml:space="preserve"> </w:t>
            </w:r>
            <w:proofErr w:type="spellStart"/>
            <w:r>
              <w:t>investive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FSRK do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bazohen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kërkesa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ekuitabilitet</w:t>
            </w:r>
            <w:proofErr w:type="spellEnd"/>
            <w:r>
              <w:t xml:space="preserve"> </w:t>
            </w:r>
            <w:proofErr w:type="spellStart"/>
            <w:r>
              <w:t>gjinor</w:t>
            </w:r>
            <w:proofErr w:type="spellEnd"/>
            <w:r>
              <w:t xml:space="preserve"> (</w:t>
            </w:r>
            <w:proofErr w:type="spellStart"/>
            <w:r>
              <w:t>sidomos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pozita</w:t>
            </w:r>
            <w:proofErr w:type="spellEnd"/>
            <w:r>
              <w:t xml:space="preserve"> </w:t>
            </w:r>
            <w:proofErr w:type="spellStart"/>
            <w:r>
              <w:t>drejtuese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menaxhuese</w:t>
            </w:r>
            <w:proofErr w:type="spellEnd"/>
            <w:r>
              <w:t xml:space="preserve">)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pjesëmarrje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sindikatave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>/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këshilleve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punëtorëve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qeverisjen</w:t>
            </w:r>
            <w:proofErr w:type="spellEnd"/>
            <w:r>
              <w:t xml:space="preserve"> </w:t>
            </w:r>
            <w:proofErr w:type="spellStart"/>
            <w:r>
              <w:t>korporative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ndërmarrjeve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janë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pronësi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FSRK apo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përfitojnë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investimet</w:t>
            </w:r>
            <w:proofErr w:type="spellEnd"/>
            <w:r>
              <w:t xml:space="preserve"> e </w:t>
            </w:r>
            <w:proofErr w:type="spellStart"/>
            <w:r>
              <w:t>tij</w:t>
            </w:r>
            <w:proofErr w:type="spellEnd"/>
            <w:r>
              <w:t>.</w:t>
            </w:r>
          </w:p>
          <w:p w14:paraId="5A03E079" w14:textId="77777777" w:rsidR="000E7BCB" w:rsidRDefault="000E7BCB"/>
        </w:tc>
      </w:tr>
      <w:tr w:rsidR="000E7BCB" w14:paraId="686C4B0F" w14:textId="77777777">
        <w:tc>
          <w:tcPr>
            <w:tcW w:w="1795" w:type="dxa"/>
          </w:tcPr>
          <w:p w14:paraId="39F3CBD4" w14:textId="77777777" w:rsidR="000E7BCB" w:rsidRDefault="00A620E4">
            <w:proofErr w:type="spellStart"/>
            <w:r>
              <w:t>Ndikimet</w:t>
            </w:r>
            <w:proofErr w:type="spellEnd"/>
            <w:r>
              <w:t xml:space="preserve"> </w:t>
            </w:r>
            <w:proofErr w:type="spellStart"/>
            <w:r>
              <w:t>mjedisore</w:t>
            </w:r>
            <w:proofErr w:type="spellEnd"/>
          </w:p>
        </w:tc>
        <w:tc>
          <w:tcPr>
            <w:tcW w:w="8100" w:type="dxa"/>
          </w:tcPr>
          <w:p w14:paraId="58DF632C" w14:textId="77777777" w:rsidR="000E7BCB" w:rsidRDefault="00A620E4">
            <w:proofErr w:type="spellStart"/>
            <w:r>
              <w:t>Përfitimet</w:t>
            </w:r>
            <w:proofErr w:type="spellEnd"/>
            <w:r>
              <w:t xml:space="preserve"> </w:t>
            </w:r>
            <w:proofErr w:type="spellStart"/>
            <w:r>
              <w:t>mjedisore</w:t>
            </w:r>
            <w:proofErr w:type="spellEnd"/>
            <w:r>
              <w:t xml:space="preserve"> do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jenë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mëdha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shkak</w:t>
            </w:r>
            <w:proofErr w:type="spellEnd"/>
            <w:r>
              <w:t xml:space="preserve"> se </w:t>
            </w:r>
            <w:proofErr w:type="spellStart"/>
            <w:r>
              <w:t>politikat</w:t>
            </w:r>
            <w:proofErr w:type="spellEnd"/>
            <w:r>
              <w:t xml:space="preserve"> </w:t>
            </w:r>
            <w:proofErr w:type="spellStart"/>
            <w:r>
              <w:t>investive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FSRK do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bazohen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kërkesa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zvogëlimit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>/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eliminimin</w:t>
            </w:r>
            <w:proofErr w:type="spellEnd"/>
            <w:r>
              <w:t xml:space="preserve"> e </w:t>
            </w:r>
            <w:proofErr w:type="spellStart"/>
            <w:r>
              <w:t>emetimeve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ndotësve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emetimit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CO</w:t>
            </w:r>
            <w:r>
              <w:rPr>
                <w:vertAlign w:val="subscript"/>
              </w:rPr>
              <w:t>2</w:t>
            </w:r>
            <w:r>
              <w:t xml:space="preserve">. FSRK </w:t>
            </w:r>
            <w:proofErr w:type="spellStart"/>
            <w:r>
              <w:t>krijon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instrument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ri</w:t>
            </w:r>
            <w:proofErr w:type="spellEnd"/>
            <w:r>
              <w:t xml:space="preserve"> </w:t>
            </w:r>
            <w:proofErr w:type="spellStart"/>
            <w:r>
              <w:t>kuazi-publik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inkurajimin</w:t>
            </w:r>
            <w:proofErr w:type="spellEnd"/>
            <w:r>
              <w:t xml:space="preserve"> e </w:t>
            </w:r>
            <w:proofErr w:type="spellStart"/>
            <w:r>
              <w:t>investimit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teknologji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gjelbra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ripërtërishme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vend.</w:t>
            </w:r>
          </w:p>
          <w:p w14:paraId="0CEC830D" w14:textId="77777777" w:rsidR="000E7BCB" w:rsidRDefault="000E7BCB"/>
        </w:tc>
      </w:tr>
    </w:tbl>
    <w:p w14:paraId="1D886747" w14:textId="77777777" w:rsidR="000E7BCB" w:rsidRDefault="000E7BCB"/>
    <w:tbl>
      <w:tblPr>
        <w:tblStyle w:val="1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8100"/>
      </w:tblGrid>
      <w:tr w:rsidR="000E7BCB" w14:paraId="3F6D6D99" w14:textId="77777777">
        <w:tc>
          <w:tcPr>
            <w:tcW w:w="9895" w:type="dxa"/>
            <w:gridSpan w:val="2"/>
          </w:tcPr>
          <w:p w14:paraId="14EEC6B1" w14:textId="77777777" w:rsidR="000E7BCB" w:rsidRDefault="00A620E4">
            <w:pPr>
              <w:rPr>
                <w:b/>
              </w:rPr>
            </w:pPr>
            <w:proofErr w:type="spellStart"/>
            <w:r>
              <w:rPr>
                <w:b/>
              </w:rPr>
              <w:t>Hapat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ardhshëm</w:t>
            </w:r>
            <w:proofErr w:type="spellEnd"/>
          </w:p>
          <w:p w14:paraId="27493B1C" w14:textId="77777777" w:rsidR="000E7BCB" w:rsidRDefault="000E7BCB"/>
        </w:tc>
      </w:tr>
      <w:tr w:rsidR="000E7BCB" w14:paraId="057310CF" w14:textId="77777777">
        <w:tc>
          <w:tcPr>
            <w:tcW w:w="1795" w:type="dxa"/>
          </w:tcPr>
          <w:p w14:paraId="64126AE9" w14:textId="77777777" w:rsidR="000E7BCB" w:rsidRDefault="00A620E4">
            <w:proofErr w:type="spellStart"/>
            <w:r>
              <w:lastRenderedPageBreak/>
              <w:t>Afatshkurtër</w:t>
            </w:r>
            <w:proofErr w:type="spellEnd"/>
          </w:p>
          <w:p w14:paraId="319C4ECD" w14:textId="77777777" w:rsidR="000E7BCB" w:rsidRDefault="00A620E4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pas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miratimit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Koncept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Dokumentit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8100" w:type="dxa"/>
          </w:tcPr>
          <w:p w14:paraId="5487E65D" w14:textId="77777777" w:rsidR="000E7BCB" w:rsidRDefault="00A620E4">
            <w:r>
              <w:t xml:space="preserve">Pas </w:t>
            </w:r>
            <w:proofErr w:type="spellStart"/>
            <w:r>
              <w:t>miratimit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këtij</w:t>
            </w:r>
            <w:proofErr w:type="spellEnd"/>
            <w:r>
              <w:t xml:space="preserve"> </w:t>
            </w:r>
            <w:proofErr w:type="spellStart"/>
            <w:r>
              <w:t>Koncept</w:t>
            </w:r>
            <w:proofErr w:type="spellEnd"/>
            <w:r>
              <w:t xml:space="preserve"> </w:t>
            </w:r>
            <w:proofErr w:type="spellStart"/>
            <w:r>
              <w:t>Dokumenti</w:t>
            </w:r>
            <w:proofErr w:type="spellEnd"/>
            <w:r>
              <w:t xml:space="preserve">, </w:t>
            </w:r>
            <w:proofErr w:type="spellStart"/>
            <w:r>
              <w:t>Komisioni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emërojë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>
              <w:t>Koordinator</w:t>
            </w:r>
            <w:proofErr w:type="spellEnd"/>
            <w:r>
              <w:t xml:space="preserve">/e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plotfuqishëm</w:t>
            </w:r>
            <w:proofErr w:type="spellEnd"/>
            <w:r>
              <w:t>/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Qeverisë</w:t>
            </w:r>
            <w:proofErr w:type="spellEnd"/>
            <w:r>
              <w:t xml:space="preserve">,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cilit</w:t>
            </w:r>
            <w:proofErr w:type="spellEnd"/>
            <w:r>
              <w:t>/</w:t>
            </w:r>
            <w:proofErr w:type="spellStart"/>
            <w:r>
              <w:t>cilës</w:t>
            </w:r>
            <w:proofErr w:type="spellEnd"/>
            <w:r>
              <w:t xml:space="preserve"> </w:t>
            </w:r>
            <w:proofErr w:type="spellStart"/>
            <w:r>
              <w:t>Komisioni</w:t>
            </w:r>
            <w:proofErr w:type="spellEnd"/>
            <w:r>
              <w:t xml:space="preserve"> do </w:t>
            </w:r>
            <w:proofErr w:type="spellStart"/>
            <w:r>
              <w:t>t’i</w:t>
            </w:r>
            <w:proofErr w:type="spellEnd"/>
            <w:r>
              <w:t xml:space="preserve"> </w:t>
            </w:r>
            <w:proofErr w:type="spellStart"/>
            <w:r>
              <w:t>japë</w:t>
            </w:r>
            <w:proofErr w:type="spellEnd"/>
            <w:r>
              <w:t xml:space="preserve"> </w:t>
            </w:r>
            <w:proofErr w:type="spellStart"/>
            <w:r>
              <w:t>kompetencat</w:t>
            </w:r>
            <w:proofErr w:type="spellEnd"/>
            <w:r>
              <w:t xml:space="preserve"> e </w:t>
            </w:r>
            <w:proofErr w:type="spellStart"/>
            <w:r>
              <w:t>plota</w:t>
            </w:r>
            <w:proofErr w:type="spellEnd"/>
            <w:r>
              <w:t xml:space="preserve">, </w:t>
            </w:r>
            <w:proofErr w:type="spellStart"/>
            <w:r>
              <w:t>përfshi</w:t>
            </w:r>
            <w:proofErr w:type="spellEnd"/>
            <w:r>
              <w:t xml:space="preserve"> </w:t>
            </w:r>
            <w:proofErr w:type="spellStart"/>
            <w:r>
              <w:t>autorizimet</w:t>
            </w:r>
            <w:proofErr w:type="spellEnd"/>
            <w:r>
              <w:t xml:space="preserve"> </w:t>
            </w:r>
            <w:proofErr w:type="spellStart"/>
            <w:r>
              <w:t>buxhetore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mbështetjën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stafi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nevojshëm</w:t>
            </w:r>
            <w:proofErr w:type="spellEnd"/>
            <w:r>
              <w:t xml:space="preserve"> </w:t>
            </w:r>
            <w:proofErr w:type="spellStart"/>
            <w:r>
              <w:t>administrativ</w:t>
            </w:r>
            <w:proofErr w:type="spellEnd"/>
            <w:r>
              <w:t xml:space="preserve">,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implementimin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ekzekutimin</w:t>
            </w:r>
            <w:proofErr w:type="spellEnd"/>
            <w:r>
              <w:t xml:space="preserve"> e </w:t>
            </w:r>
            <w:proofErr w:type="spellStart"/>
            <w:r>
              <w:t>hapave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propozuara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këtë</w:t>
            </w:r>
            <w:proofErr w:type="spellEnd"/>
            <w:r>
              <w:t xml:space="preserve"> </w:t>
            </w:r>
            <w:proofErr w:type="spellStart"/>
            <w:r>
              <w:t>Koncept</w:t>
            </w:r>
            <w:proofErr w:type="spellEnd"/>
            <w:r>
              <w:t xml:space="preserve"> </w:t>
            </w:r>
            <w:proofErr w:type="spellStart"/>
            <w:r>
              <w:t>Dokument</w:t>
            </w:r>
            <w:proofErr w:type="spellEnd"/>
            <w:r>
              <w:t xml:space="preserve">, </w:t>
            </w:r>
            <w:proofErr w:type="spellStart"/>
            <w:r>
              <w:t>bashkë</w:t>
            </w:r>
            <w:proofErr w:type="spellEnd"/>
            <w:r>
              <w:t xml:space="preserve"> me </w:t>
            </w:r>
            <w:proofErr w:type="spellStart"/>
            <w:r>
              <w:t>masat</w:t>
            </w:r>
            <w:proofErr w:type="spellEnd"/>
            <w:r>
              <w:t xml:space="preserve"> </w:t>
            </w:r>
            <w:proofErr w:type="spellStart"/>
            <w:r>
              <w:t>tjera</w:t>
            </w:r>
            <w:proofErr w:type="spellEnd"/>
            <w:r>
              <w:t xml:space="preserve"> </w:t>
            </w:r>
            <w:proofErr w:type="spellStart"/>
            <w:r>
              <w:t>relevante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miratohen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Komisioni</w:t>
            </w:r>
            <w:proofErr w:type="spellEnd"/>
            <w:r>
              <w:t xml:space="preserve"> </w:t>
            </w:r>
            <w:proofErr w:type="spellStart"/>
            <w:r>
              <w:t>gjatë</w:t>
            </w:r>
            <w:proofErr w:type="spellEnd"/>
            <w:r>
              <w:t xml:space="preserve"> </w:t>
            </w:r>
            <w:proofErr w:type="spellStart"/>
            <w:r>
              <w:t>procesit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shqyrtimit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propozimeve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këtij</w:t>
            </w:r>
            <w:proofErr w:type="spellEnd"/>
            <w:r>
              <w:t xml:space="preserve"> </w:t>
            </w:r>
            <w:proofErr w:type="spellStart"/>
            <w:r>
              <w:t>Koncept</w:t>
            </w:r>
            <w:proofErr w:type="spellEnd"/>
            <w:r>
              <w:t xml:space="preserve"> </w:t>
            </w:r>
            <w:proofErr w:type="spellStart"/>
            <w:r>
              <w:t>Dokumenti</w:t>
            </w:r>
            <w:proofErr w:type="spellEnd"/>
            <w:r>
              <w:t>.</w:t>
            </w:r>
          </w:p>
          <w:p w14:paraId="7C9D5A18" w14:textId="77777777" w:rsidR="000E7BCB" w:rsidRDefault="000E7BCB"/>
          <w:p w14:paraId="3B964288" w14:textId="77777777" w:rsidR="000E7BCB" w:rsidRDefault="00A620E4">
            <w:proofErr w:type="spellStart"/>
            <w:r>
              <w:rPr>
                <w:b/>
              </w:rPr>
              <w:t>Koordinatori</w:t>
            </w:r>
            <w:proofErr w:type="spellEnd"/>
            <w:r>
              <w:t xml:space="preserve">,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mandateve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Komisionit</w:t>
            </w:r>
            <w:proofErr w:type="spellEnd"/>
            <w:r>
              <w:t xml:space="preserve"> </w:t>
            </w:r>
            <w:proofErr w:type="spellStart"/>
            <w:r>
              <w:t>Ekzekutiv</w:t>
            </w:r>
            <w:proofErr w:type="spellEnd"/>
            <w:r>
              <w:t xml:space="preserve">,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bëjë</w:t>
            </w:r>
            <w:proofErr w:type="spellEnd"/>
            <w:r>
              <w:t>:</w:t>
            </w:r>
          </w:p>
          <w:p w14:paraId="0E831FF8" w14:textId="77777777" w:rsidR="000E7BCB" w:rsidRDefault="000E7BCB"/>
          <w:p w14:paraId="576E2849" w14:textId="77777777" w:rsidR="000E7BCB" w:rsidRDefault="00A620E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hartimin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termave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referencës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për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themelimin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një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ekipi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specializuar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juridik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cili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të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hartojë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Ligjin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për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Fondin</w:t>
            </w:r>
            <w:proofErr w:type="spellEnd"/>
            <w:r>
              <w:rPr>
                <w:color w:val="000000"/>
              </w:rPr>
              <w:t xml:space="preserve"> Sovran </w:t>
            </w:r>
            <w:proofErr w:type="spellStart"/>
            <w:r>
              <w:rPr>
                <w:color w:val="000000"/>
              </w:rPr>
              <w:t>dhe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Statutin</w:t>
            </w:r>
            <w:proofErr w:type="spellEnd"/>
            <w:r>
              <w:rPr>
                <w:color w:val="000000"/>
              </w:rPr>
              <w:t xml:space="preserve"> e FSRK.</w:t>
            </w:r>
          </w:p>
          <w:p w14:paraId="380C6564" w14:textId="77777777" w:rsidR="000E7BCB" w:rsidRDefault="00A620E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000000"/>
              </w:rPr>
              <w:t>Të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njëjtat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t’ia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dorëzojë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Komisionit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Ekzekutiv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për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shqyrtim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aprovim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për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procesim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mëtutjeshëm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në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Qeveri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Kuvend</w:t>
            </w:r>
            <w:proofErr w:type="spellEnd"/>
            <w:r>
              <w:rPr>
                <w:color w:val="000000"/>
              </w:rPr>
              <w:t>.</w:t>
            </w:r>
          </w:p>
          <w:p w14:paraId="4E9A843F" w14:textId="77777777" w:rsidR="000E7BCB" w:rsidRDefault="000E7BCB"/>
          <w:p w14:paraId="18D03357" w14:textId="77777777" w:rsidR="000E7BCB" w:rsidRDefault="00A620E4">
            <w:proofErr w:type="spellStart"/>
            <w:r>
              <w:rPr>
                <w:b/>
              </w:rPr>
              <w:t>Qeveria</w:t>
            </w:r>
            <w:proofErr w:type="spellEnd"/>
            <w:r>
              <w:t xml:space="preserve">, </w:t>
            </w:r>
            <w:proofErr w:type="spellStart"/>
            <w:r>
              <w:t>përkatësisht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Ministria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Ekonomisë</w:t>
            </w:r>
            <w:proofErr w:type="spellEnd"/>
            <w:r>
              <w:t xml:space="preserve">,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vazhdojë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thellojë</w:t>
            </w:r>
            <w:proofErr w:type="spellEnd"/>
            <w:r>
              <w:t xml:space="preserve"> </w:t>
            </w:r>
            <w:proofErr w:type="spellStart"/>
            <w:r>
              <w:t>procesin</w:t>
            </w:r>
            <w:proofErr w:type="spellEnd"/>
            <w:r>
              <w:t xml:space="preserve"> e </w:t>
            </w:r>
            <w:proofErr w:type="spellStart"/>
            <w:r>
              <w:t>ristrukturimit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Ndërmarrjeve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 xml:space="preserve">, me </w:t>
            </w:r>
            <w:proofErr w:type="spellStart"/>
            <w:r>
              <w:t>qëllim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përgatitjes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transferim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pronësi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FSRK.</w:t>
            </w:r>
          </w:p>
          <w:p w14:paraId="064E4AE7" w14:textId="77777777" w:rsidR="000E7BCB" w:rsidRDefault="000E7BCB"/>
          <w:p w14:paraId="049C3F89" w14:textId="77777777" w:rsidR="000E7BCB" w:rsidRDefault="00A620E4">
            <w:proofErr w:type="spellStart"/>
            <w:r>
              <w:rPr>
                <w:b/>
              </w:rPr>
              <w:t>Qeveria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shqyrtojë</w:t>
            </w:r>
            <w:proofErr w:type="spellEnd"/>
            <w:r>
              <w:t xml:space="preserve"> </w:t>
            </w:r>
            <w:proofErr w:type="spellStart"/>
            <w:r>
              <w:t>projektet</w:t>
            </w:r>
            <w:proofErr w:type="spellEnd"/>
            <w:r>
              <w:t xml:space="preserve"> e </w:t>
            </w:r>
            <w:proofErr w:type="spellStart"/>
            <w:r>
              <w:t>ardhshme</w:t>
            </w:r>
            <w:proofErr w:type="spellEnd"/>
            <w:r>
              <w:t xml:space="preserve"> </w:t>
            </w:r>
            <w:proofErr w:type="spellStart"/>
            <w:r>
              <w:t>legjislative</w:t>
            </w:r>
            <w:proofErr w:type="spellEnd"/>
            <w:r>
              <w:t xml:space="preserve">,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ndërlidhura</w:t>
            </w:r>
            <w:proofErr w:type="spellEnd"/>
            <w:r>
              <w:t xml:space="preserve"> me </w:t>
            </w:r>
            <w:proofErr w:type="spellStart"/>
            <w:r>
              <w:t>veprimtarinë</w:t>
            </w:r>
            <w:proofErr w:type="spellEnd"/>
            <w:r>
              <w:t xml:space="preserve"> e FSRK,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propozohen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këtë</w:t>
            </w:r>
            <w:proofErr w:type="spellEnd"/>
            <w:r>
              <w:t xml:space="preserve"> </w:t>
            </w:r>
            <w:proofErr w:type="spellStart"/>
            <w:r>
              <w:t>dokument</w:t>
            </w:r>
            <w:proofErr w:type="spellEnd"/>
            <w:r>
              <w:t>.</w:t>
            </w:r>
          </w:p>
          <w:p w14:paraId="793E2669" w14:textId="77777777" w:rsidR="000E7BCB" w:rsidRDefault="000E7BCB"/>
          <w:p w14:paraId="60547A76" w14:textId="77777777" w:rsidR="000E7BCB" w:rsidRDefault="00A620E4">
            <w:r>
              <w:rPr>
                <w:b/>
              </w:rPr>
              <w:t xml:space="preserve">AKP,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bashkëpunim</w:t>
            </w:r>
            <w:proofErr w:type="spellEnd"/>
            <w:r>
              <w:t xml:space="preserve"> me </w:t>
            </w:r>
            <w:proofErr w:type="spellStart"/>
            <w:r>
              <w:rPr>
                <w:b/>
              </w:rPr>
              <w:t>Koordinatorin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palët</w:t>
            </w:r>
            <w:proofErr w:type="spellEnd"/>
            <w:r>
              <w:t xml:space="preserve"> </w:t>
            </w:r>
            <w:proofErr w:type="spellStart"/>
            <w:r>
              <w:t>tjera</w:t>
            </w:r>
            <w:proofErr w:type="spellEnd"/>
            <w:r>
              <w:t xml:space="preserve"> </w:t>
            </w:r>
            <w:proofErr w:type="spellStart"/>
            <w:r>
              <w:t>relevante</w:t>
            </w:r>
            <w:proofErr w:type="spellEnd"/>
            <w:r>
              <w:t xml:space="preserve">,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finalizojë</w:t>
            </w:r>
            <w:proofErr w:type="spellEnd"/>
            <w:r>
              <w:t xml:space="preserve"> </w:t>
            </w:r>
            <w:proofErr w:type="spellStart"/>
            <w:r>
              <w:t>listën</w:t>
            </w:r>
            <w:proofErr w:type="spellEnd"/>
            <w:r>
              <w:t xml:space="preserve"> e </w:t>
            </w:r>
            <w:proofErr w:type="spellStart"/>
            <w:r>
              <w:t>aseteve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do </w:t>
            </w:r>
            <w:proofErr w:type="spellStart"/>
            <w:r>
              <w:t>t’ia</w:t>
            </w:r>
            <w:proofErr w:type="spellEnd"/>
            <w:r>
              <w:t xml:space="preserve"> </w:t>
            </w:r>
            <w:proofErr w:type="spellStart"/>
            <w:r>
              <w:t>transferojë</w:t>
            </w:r>
            <w:proofErr w:type="spellEnd"/>
            <w:r>
              <w:t xml:space="preserve"> FSRK-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>/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entiteteve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pronësi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FSRK-</w:t>
            </w:r>
            <w:proofErr w:type="spellStart"/>
            <w:r>
              <w:t>së</w:t>
            </w:r>
            <w:proofErr w:type="spellEnd"/>
            <w:r>
              <w:t>.</w:t>
            </w:r>
          </w:p>
          <w:p w14:paraId="23EAE57F" w14:textId="77777777" w:rsidR="000E7BCB" w:rsidRDefault="000E7BCB"/>
        </w:tc>
      </w:tr>
      <w:tr w:rsidR="000E7BCB" w14:paraId="337C0BEE" w14:textId="77777777">
        <w:tc>
          <w:tcPr>
            <w:tcW w:w="1795" w:type="dxa"/>
          </w:tcPr>
          <w:p w14:paraId="2A58763F" w14:textId="77777777" w:rsidR="000E7BCB" w:rsidRDefault="00A620E4">
            <w:proofErr w:type="spellStart"/>
            <w:r>
              <w:t>Afatmesëm</w:t>
            </w:r>
            <w:proofErr w:type="spellEnd"/>
          </w:p>
          <w:p w14:paraId="1EBD0656" w14:textId="77777777" w:rsidR="000E7BCB" w:rsidRDefault="00A620E4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pas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aprovimit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projektit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legjislativ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miratimit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aktit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ligjor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Kuvendi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8100" w:type="dxa"/>
          </w:tcPr>
          <w:p w14:paraId="54A8D49A" w14:textId="77777777" w:rsidR="000E7BCB" w:rsidRDefault="00A620E4">
            <w:r>
              <w:t xml:space="preserve">Pas </w:t>
            </w:r>
            <w:proofErr w:type="spellStart"/>
            <w:r>
              <w:t>aprovimit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Ligjit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Fondin</w:t>
            </w:r>
            <w:proofErr w:type="spellEnd"/>
            <w:r>
              <w:t xml:space="preserve"> Sovran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Kuvendi</w:t>
            </w:r>
            <w:proofErr w:type="spellEnd"/>
            <w:r>
              <w:t xml:space="preserve">, </w:t>
            </w:r>
            <w:proofErr w:type="spellStart"/>
            <w:r>
              <w:rPr>
                <w:b/>
              </w:rPr>
              <w:t>Koordinatori</w:t>
            </w:r>
            <w:proofErr w:type="spellEnd"/>
            <w:r>
              <w:t xml:space="preserve">,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mandatit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vendosur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Kuvendi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>/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Qeveria</w:t>
            </w:r>
            <w:proofErr w:type="spellEnd"/>
            <w:r>
              <w:t xml:space="preserve">,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ndërmarrë</w:t>
            </w:r>
            <w:proofErr w:type="spellEnd"/>
            <w:r>
              <w:t xml:space="preserve"> </w:t>
            </w:r>
            <w:proofErr w:type="spellStart"/>
            <w:r>
              <w:t>hartimin</w:t>
            </w:r>
            <w:proofErr w:type="spellEnd"/>
            <w:r>
              <w:t xml:space="preserve"> e </w:t>
            </w:r>
            <w:proofErr w:type="spellStart"/>
            <w:r>
              <w:t>termave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referencës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kontraktimin</w:t>
            </w:r>
            <w:proofErr w:type="spellEnd"/>
            <w:r>
              <w:t xml:space="preserve"> e </w:t>
            </w:r>
            <w:proofErr w:type="spellStart"/>
            <w:r>
              <w:t>shërbimeve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konsulencës</w:t>
            </w:r>
            <w:proofErr w:type="spellEnd"/>
            <w:r>
              <w:t xml:space="preserve">,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finalizimin</w:t>
            </w:r>
            <w:proofErr w:type="spellEnd"/>
            <w:r>
              <w:t xml:space="preserve"> e </w:t>
            </w:r>
            <w:proofErr w:type="spellStart"/>
            <w:r>
              <w:t>strukturës</w:t>
            </w:r>
            <w:proofErr w:type="spellEnd"/>
            <w:r>
              <w:t xml:space="preserve"> </w:t>
            </w:r>
            <w:proofErr w:type="spellStart"/>
            <w:r>
              <w:t>organizative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FSRK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Statutit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saj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nisjen</w:t>
            </w:r>
            <w:proofErr w:type="spellEnd"/>
            <w:r>
              <w:t xml:space="preserve"> e </w:t>
            </w:r>
            <w:proofErr w:type="spellStart"/>
            <w:r>
              <w:t>procesit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rekrutimit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stafit</w:t>
            </w:r>
            <w:proofErr w:type="spellEnd"/>
            <w:r>
              <w:t xml:space="preserve"> </w:t>
            </w:r>
            <w:proofErr w:type="spellStart"/>
            <w:r>
              <w:t>drejtues</w:t>
            </w:r>
            <w:proofErr w:type="spellEnd"/>
            <w:r>
              <w:t>.</w:t>
            </w:r>
          </w:p>
          <w:p w14:paraId="6BF0FD19" w14:textId="77777777" w:rsidR="000E7BCB" w:rsidRDefault="000E7BCB"/>
          <w:p w14:paraId="172A8A2A" w14:textId="77777777" w:rsidR="000E7BCB" w:rsidRDefault="00B35609">
            <w:sdt>
              <w:sdtPr>
                <w:tag w:val="goog_rdk_0"/>
                <w:id w:val="1359468844"/>
              </w:sdtPr>
              <w:sdtContent/>
            </w:sdt>
            <w:sdt>
              <w:sdtPr>
                <w:tag w:val="goog_rdk_1"/>
                <w:id w:val="-453705078"/>
              </w:sdtPr>
              <w:sdtContent/>
            </w:sdt>
            <w:proofErr w:type="spellStart"/>
            <w:r w:rsidR="00A620E4">
              <w:rPr>
                <w:b/>
              </w:rPr>
              <w:t>Komisioni</w:t>
            </w:r>
            <w:proofErr w:type="spellEnd"/>
            <w:r w:rsidR="00A620E4">
              <w:rPr>
                <w:b/>
              </w:rPr>
              <w:t xml:space="preserve"> </w:t>
            </w:r>
            <w:proofErr w:type="spellStart"/>
            <w:r w:rsidR="00A620E4">
              <w:rPr>
                <w:b/>
              </w:rPr>
              <w:t>Ekzekutiv</w:t>
            </w:r>
            <w:proofErr w:type="spellEnd"/>
            <w:r w:rsidR="00A620E4">
              <w:t xml:space="preserve"> </w:t>
            </w:r>
            <w:proofErr w:type="spellStart"/>
            <w:r w:rsidR="00A620E4">
              <w:t>ose</w:t>
            </w:r>
            <w:proofErr w:type="spellEnd"/>
            <w:r w:rsidR="00A620E4">
              <w:t xml:space="preserve"> </w:t>
            </w:r>
            <w:proofErr w:type="spellStart"/>
            <w:r w:rsidR="00A620E4">
              <w:t>trupi</w:t>
            </w:r>
            <w:proofErr w:type="spellEnd"/>
            <w:r w:rsidR="00A620E4">
              <w:t xml:space="preserve"> </w:t>
            </w:r>
            <w:proofErr w:type="spellStart"/>
            <w:r w:rsidR="00A620E4">
              <w:t>tjetër</w:t>
            </w:r>
            <w:proofErr w:type="spellEnd"/>
            <w:r w:rsidR="00A620E4">
              <w:t xml:space="preserve"> relevant, </w:t>
            </w:r>
            <w:proofErr w:type="spellStart"/>
            <w:r w:rsidR="00A620E4">
              <w:t>të</w:t>
            </w:r>
            <w:proofErr w:type="spellEnd"/>
            <w:r w:rsidR="00A620E4">
              <w:t xml:space="preserve"> </w:t>
            </w:r>
            <w:proofErr w:type="spellStart"/>
            <w:r w:rsidR="00A620E4">
              <w:t>emërojë</w:t>
            </w:r>
            <w:proofErr w:type="spellEnd"/>
            <w:r w:rsidR="00A620E4">
              <w:t xml:space="preserve"> </w:t>
            </w:r>
            <w:proofErr w:type="spellStart"/>
            <w:r w:rsidR="00A620E4">
              <w:t>Bordin</w:t>
            </w:r>
            <w:proofErr w:type="spellEnd"/>
            <w:r w:rsidR="00A620E4">
              <w:t xml:space="preserve"> </w:t>
            </w:r>
            <w:proofErr w:type="spellStart"/>
            <w:r w:rsidR="00A620E4">
              <w:t>Mbikëqyres</w:t>
            </w:r>
            <w:proofErr w:type="spellEnd"/>
            <w:r w:rsidR="00A620E4">
              <w:t xml:space="preserve"> </w:t>
            </w:r>
            <w:proofErr w:type="spellStart"/>
            <w:r w:rsidR="00A620E4">
              <w:t>themelues</w:t>
            </w:r>
            <w:proofErr w:type="spellEnd"/>
            <w:r w:rsidR="00A620E4">
              <w:t xml:space="preserve"> </w:t>
            </w:r>
            <w:proofErr w:type="spellStart"/>
            <w:r w:rsidR="00A620E4">
              <w:t>të</w:t>
            </w:r>
            <w:proofErr w:type="spellEnd"/>
            <w:r w:rsidR="00A620E4">
              <w:t xml:space="preserve"> FSRK, </w:t>
            </w:r>
            <w:proofErr w:type="spellStart"/>
            <w:r w:rsidR="00A620E4">
              <w:t>sipas</w:t>
            </w:r>
            <w:proofErr w:type="spellEnd"/>
            <w:r w:rsidR="00A620E4">
              <w:t xml:space="preserve"> </w:t>
            </w:r>
            <w:proofErr w:type="spellStart"/>
            <w:r w:rsidR="00A620E4">
              <w:t>mandateve</w:t>
            </w:r>
            <w:proofErr w:type="spellEnd"/>
            <w:r w:rsidR="00A620E4">
              <w:t xml:space="preserve"> </w:t>
            </w:r>
            <w:proofErr w:type="spellStart"/>
            <w:r w:rsidR="00A620E4">
              <w:t>të</w:t>
            </w:r>
            <w:proofErr w:type="spellEnd"/>
            <w:r w:rsidR="00A620E4">
              <w:t xml:space="preserve"> </w:t>
            </w:r>
            <w:proofErr w:type="spellStart"/>
            <w:r w:rsidR="00A620E4">
              <w:t>parashikuara</w:t>
            </w:r>
            <w:proofErr w:type="spellEnd"/>
            <w:r w:rsidR="00A620E4">
              <w:t xml:space="preserve"> </w:t>
            </w:r>
            <w:proofErr w:type="spellStart"/>
            <w:r w:rsidR="00A620E4">
              <w:t>në</w:t>
            </w:r>
            <w:proofErr w:type="spellEnd"/>
            <w:r w:rsidR="00A620E4">
              <w:t xml:space="preserve"> </w:t>
            </w:r>
            <w:proofErr w:type="spellStart"/>
            <w:r w:rsidR="00A620E4">
              <w:t>këtë</w:t>
            </w:r>
            <w:proofErr w:type="spellEnd"/>
            <w:r w:rsidR="00A620E4">
              <w:t xml:space="preserve"> </w:t>
            </w:r>
            <w:proofErr w:type="spellStart"/>
            <w:r w:rsidR="00A620E4">
              <w:t>dokument</w:t>
            </w:r>
            <w:proofErr w:type="spellEnd"/>
            <w:r w:rsidR="00A620E4">
              <w:t>.</w:t>
            </w:r>
          </w:p>
          <w:p w14:paraId="56033E41" w14:textId="77777777" w:rsidR="000E7BCB" w:rsidRDefault="000E7BCB"/>
          <w:p w14:paraId="55782B03" w14:textId="77777777" w:rsidR="000E7BCB" w:rsidRDefault="00A620E4">
            <w:proofErr w:type="spellStart"/>
            <w:r>
              <w:rPr>
                <w:b/>
              </w:rPr>
              <w:t>Ministria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Financave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alokojë</w:t>
            </w:r>
            <w:proofErr w:type="spellEnd"/>
            <w:r>
              <w:t xml:space="preserve"> </w:t>
            </w:r>
            <w:proofErr w:type="spellStart"/>
            <w:r>
              <w:t>kapitalin</w:t>
            </w:r>
            <w:proofErr w:type="spellEnd"/>
            <w:r>
              <w:t xml:space="preserve"> </w:t>
            </w:r>
            <w:proofErr w:type="spellStart"/>
            <w:r>
              <w:t>startues</w:t>
            </w:r>
            <w:proofErr w:type="spellEnd"/>
            <w:r>
              <w:t xml:space="preserve"> </w:t>
            </w:r>
            <w:proofErr w:type="spellStart"/>
            <w:r>
              <w:t>likuid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FSRK,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modeleve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financimit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propozuar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këtë</w:t>
            </w:r>
            <w:proofErr w:type="spellEnd"/>
            <w:r>
              <w:t xml:space="preserve"> </w:t>
            </w:r>
            <w:proofErr w:type="spellStart"/>
            <w:r>
              <w:t>dokument</w:t>
            </w:r>
            <w:proofErr w:type="spellEnd"/>
            <w:r>
              <w:t xml:space="preserve">,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bashkëpunim</w:t>
            </w:r>
            <w:proofErr w:type="spellEnd"/>
            <w:r>
              <w:t xml:space="preserve"> me </w:t>
            </w:r>
            <w:proofErr w:type="spellStart"/>
            <w:r>
              <w:rPr>
                <w:b/>
              </w:rPr>
              <w:t>Ministrinë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Ekonomisë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përpilojë</w:t>
            </w:r>
            <w:proofErr w:type="spellEnd"/>
            <w:r>
              <w:t xml:space="preserve"> </w:t>
            </w:r>
            <w:proofErr w:type="spellStart"/>
            <w:r>
              <w:t>listën</w:t>
            </w:r>
            <w:proofErr w:type="spellEnd"/>
            <w:r>
              <w:t xml:space="preserve"> finale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lastRenderedPageBreak/>
              <w:t>aseteve</w:t>
            </w:r>
            <w:proofErr w:type="spellEnd"/>
            <w:r>
              <w:t xml:space="preserve"> </w:t>
            </w:r>
            <w:proofErr w:type="spellStart"/>
            <w:r>
              <w:t>fillestare</w:t>
            </w:r>
            <w:proofErr w:type="spellEnd"/>
            <w:r>
              <w:t xml:space="preserve"> jo-</w:t>
            </w:r>
            <w:proofErr w:type="spellStart"/>
            <w:r>
              <w:t>likuide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FSRK.</w:t>
            </w:r>
          </w:p>
          <w:p w14:paraId="7E170567" w14:textId="77777777" w:rsidR="000E7BCB" w:rsidRDefault="000E7BCB"/>
          <w:p w14:paraId="54372F29" w14:textId="77777777" w:rsidR="000E7BCB" w:rsidRDefault="00A620E4">
            <w:proofErr w:type="spellStart"/>
            <w:r>
              <w:rPr>
                <w:b/>
              </w:rPr>
              <w:t>Koordinatori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zbatojë</w:t>
            </w:r>
            <w:proofErr w:type="spellEnd"/>
            <w:r>
              <w:t xml:space="preserve"> </w:t>
            </w:r>
            <w:proofErr w:type="spellStart"/>
            <w:r>
              <w:t>procedurat</w:t>
            </w:r>
            <w:proofErr w:type="spellEnd"/>
            <w:r>
              <w:t xml:space="preserve"> </w:t>
            </w:r>
            <w:proofErr w:type="spellStart"/>
            <w:r>
              <w:t>ligjore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regjistrimit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FSRK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shoqëri</w:t>
            </w:r>
            <w:proofErr w:type="spellEnd"/>
            <w:r>
              <w:t xml:space="preserve"> </w:t>
            </w:r>
            <w:proofErr w:type="spellStart"/>
            <w:r>
              <w:t>aksionare</w:t>
            </w:r>
            <w:proofErr w:type="spellEnd"/>
            <w:r>
              <w:t>.</w:t>
            </w:r>
          </w:p>
          <w:p w14:paraId="641923B7" w14:textId="77777777" w:rsidR="000E7BCB" w:rsidRDefault="000E7BCB"/>
        </w:tc>
      </w:tr>
      <w:tr w:rsidR="000E7BCB" w14:paraId="0EBFD3BF" w14:textId="77777777">
        <w:tc>
          <w:tcPr>
            <w:tcW w:w="1795" w:type="dxa"/>
          </w:tcPr>
          <w:p w14:paraId="38E28B3E" w14:textId="77777777" w:rsidR="000E7BCB" w:rsidRDefault="00A620E4">
            <w:proofErr w:type="spellStart"/>
            <w:r>
              <w:lastRenderedPageBreak/>
              <w:t>Afatgjatë</w:t>
            </w:r>
            <w:proofErr w:type="spellEnd"/>
          </w:p>
          <w:p w14:paraId="6604A4EF" w14:textId="77777777" w:rsidR="000E7BCB" w:rsidRDefault="00A620E4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pas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themelimit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të</w:t>
            </w:r>
            <w:proofErr w:type="spellEnd"/>
            <w:r>
              <w:rPr>
                <w:i/>
              </w:rPr>
              <w:t xml:space="preserve"> FSRK)</w:t>
            </w:r>
          </w:p>
          <w:p w14:paraId="5B3855BD" w14:textId="77777777" w:rsidR="000E7BCB" w:rsidRDefault="000E7BCB"/>
        </w:tc>
        <w:tc>
          <w:tcPr>
            <w:tcW w:w="8100" w:type="dxa"/>
          </w:tcPr>
          <w:p w14:paraId="1B3E299A" w14:textId="77777777" w:rsidR="000E7BCB" w:rsidRDefault="00A620E4">
            <w:proofErr w:type="spellStart"/>
            <w:r>
              <w:rPr>
                <w:b/>
              </w:rPr>
              <w:t>Shefi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Ekzekutiv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propozojë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Bordi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Mbikëqyrës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FSRK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aprovojë</w:t>
            </w:r>
            <w:proofErr w:type="spellEnd"/>
            <w:r>
              <w:t xml:space="preserve"> </w:t>
            </w:r>
            <w:proofErr w:type="spellStart"/>
            <w:r>
              <w:t>strategjinë</w:t>
            </w:r>
            <w:proofErr w:type="spellEnd"/>
            <w:r>
              <w:t xml:space="preserve"> </w:t>
            </w:r>
            <w:proofErr w:type="spellStart"/>
            <w:r>
              <w:t>fillestare</w:t>
            </w:r>
            <w:proofErr w:type="spellEnd"/>
            <w:r>
              <w:t xml:space="preserve"> </w:t>
            </w:r>
            <w:proofErr w:type="spellStart"/>
            <w:r>
              <w:t>investuese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FSRK.</w:t>
            </w:r>
          </w:p>
          <w:p w14:paraId="3ACEA8AD" w14:textId="77777777" w:rsidR="000E7BCB" w:rsidRDefault="000E7BCB"/>
          <w:p w14:paraId="2529C360" w14:textId="77777777" w:rsidR="000E7BCB" w:rsidRDefault="00A620E4">
            <w:proofErr w:type="spellStart"/>
            <w:r>
              <w:rPr>
                <w:b/>
              </w:rPr>
              <w:t>Qeveria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vazhdojë</w:t>
            </w:r>
            <w:proofErr w:type="spellEnd"/>
            <w:r>
              <w:t xml:space="preserve"> </w:t>
            </w:r>
            <w:proofErr w:type="spellStart"/>
            <w:r>
              <w:t>transferin</w:t>
            </w:r>
            <w:proofErr w:type="spellEnd"/>
            <w:r>
              <w:t xml:space="preserve"> e </w:t>
            </w:r>
            <w:proofErr w:type="spellStart"/>
            <w:r>
              <w:t>aseteve</w:t>
            </w:r>
            <w:proofErr w:type="spellEnd"/>
            <w:r>
              <w:t xml:space="preserve"> </w:t>
            </w:r>
            <w:proofErr w:type="spellStart"/>
            <w:r>
              <w:t>nën</w:t>
            </w:r>
            <w:proofErr w:type="spellEnd"/>
            <w:r>
              <w:t xml:space="preserve"> </w:t>
            </w:r>
            <w:proofErr w:type="spellStart"/>
            <w:r>
              <w:t>menaxhim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saj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AKP-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FSRK.</w:t>
            </w:r>
          </w:p>
          <w:p w14:paraId="4E38FB23" w14:textId="77777777" w:rsidR="000E7BCB" w:rsidRDefault="000E7BCB"/>
          <w:p w14:paraId="7B074F91" w14:textId="77777777" w:rsidR="000E7BCB" w:rsidRDefault="00A620E4">
            <w:proofErr w:type="spellStart"/>
            <w:r>
              <w:rPr>
                <w:b/>
              </w:rPr>
              <w:t>Qeveria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nisë</w:t>
            </w:r>
            <w:proofErr w:type="spellEnd"/>
            <w:r>
              <w:t xml:space="preserve"> </w:t>
            </w:r>
            <w:proofErr w:type="spellStart"/>
            <w:r>
              <w:t>procesin</w:t>
            </w:r>
            <w:proofErr w:type="spellEnd"/>
            <w:r>
              <w:t xml:space="preserve"> e </w:t>
            </w:r>
            <w:proofErr w:type="spellStart"/>
            <w:r>
              <w:t>shuarjes</w:t>
            </w:r>
            <w:proofErr w:type="spellEnd"/>
            <w:r>
              <w:t>/</w:t>
            </w:r>
            <w:proofErr w:type="spellStart"/>
            <w:r>
              <w:t>transformimit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AKP-</w:t>
            </w:r>
            <w:proofErr w:type="spellStart"/>
            <w:r>
              <w:t>së</w:t>
            </w:r>
            <w:proofErr w:type="spellEnd"/>
            <w:r>
              <w:t>.</w:t>
            </w:r>
          </w:p>
          <w:p w14:paraId="6284766B" w14:textId="77777777" w:rsidR="000E7BCB" w:rsidRDefault="000E7BCB"/>
        </w:tc>
      </w:tr>
    </w:tbl>
    <w:p w14:paraId="702AF6F0" w14:textId="77777777" w:rsidR="000E7BCB" w:rsidRDefault="000E7BCB"/>
    <w:p w14:paraId="3B504A00" w14:textId="77777777" w:rsidR="000E7BCB" w:rsidRDefault="000E7BCB"/>
    <w:p w14:paraId="1233C2BC" w14:textId="77777777" w:rsidR="000E7BCB" w:rsidRDefault="00A620E4">
      <w:pPr>
        <w:pStyle w:val="Heading1"/>
      </w:pPr>
      <w:r>
        <w:br w:type="page"/>
      </w:r>
    </w:p>
    <w:p w14:paraId="66C26CE1" w14:textId="77777777" w:rsidR="000E7BCB" w:rsidRDefault="00A620E4">
      <w:pPr>
        <w:pStyle w:val="Heading1"/>
      </w:pPr>
      <w:bookmarkStart w:id="1" w:name="_heading=h.xwacm18fvfs5" w:colFirst="0" w:colLast="0"/>
      <w:bookmarkStart w:id="2" w:name="_Toc93312365"/>
      <w:bookmarkEnd w:id="1"/>
      <w:r>
        <w:lastRenderedPageBreak/>
        <w:t>KAPITULLI 1. HYRJE DHE PËRKUFIZIM I PROBLEMIT</w:t>
      </w:r>
      <w:bookmarkEnd w:id="2"/>
    </w:p>
    <w:p w14:paraId="4BD7D19F" w14:textId="77777777" w:rsidR="000E7BCB" w:rsidRDefault="000E7BCB"/>
    <w:p w14:paraId="3191B174" w14:textId="77777777" w:rsidR="000E7BCB" w:rsidRDefault="00A620E4">
      <w:r>
        <w:t xml:space="preserve">Me </w:t>
      </w:r>
      <w:proofErr w:type="spellStart"/>
      <w:r>
        <w:t>përfundimin</w:t>
      </w:r>
      <w:proofErr w:type="spellEnd"/>
      <w:r>
        <w:t xml:space="preserve"> e </w:t>
      </w:r>
      <w:proofErr w:type="spellStart"/>
      <w:r>
        <w:t>luftës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qershor</w:t>
      </w:r>
      <w:proofErr w:type="spellEnd"/>
      <w:r>
        <w:t xml:space="preserve"> 1999, </w:t>
      </w:r>
      <w:proofErr w:type="spellStart"/>
      <w:r>
        <w:t>administrata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e </w:t>
      </w:r>
      <w:proofErr w:type="spellStart"/>
      <w:r>
        <w:t>Kombeve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Bashkuara</w:t>
      </w:r>
      <w:proofErr w:type="spellEnd"/>
      <w:r>
        <w:t xml:space="preserve"> (UNMIK) </w:t>
      </w:r>
      <w:proofErr w:type="spellStart"/>
      <w:r>
        <w:t>filloi</w:t>
      </w:r>
      <w:proofErr w:type="spellEnd"/>
      <w:r>
        <w:t xml:space="preserve"> </w:t>
      </w:r>
      <w:proofErr w:type="spellStart"/>
      <w:r>
        <w:t>marrjen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kontroll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administrim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ish-Ndërmarrjeve</w:t>
      </w:r>
      <w:proofErr w:type="spellEnd"/>
      <w:r>
        <w:t xml:space="preserve"> </w:t>
      </w:r>
      <w:proofErr w:type="spellStart"/>
      <w:r>
        <w:t>Shoqërore</w:t>
      </w:r>
      <w:proofErr w:type="spellEnd"/>
      <w:r>
        <w:t xml:space="preserve"> (NSH)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ishin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ekzistencë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1989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vendi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trashëgoi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periudha</w:t>
      </w:r>
      <w:proofErr w:type="spellEnd"/>
      <w:r>
        <w:t xml:space="preserve"> e </w:t>
      </w:r>
      <w:proofErr w:type="spellStart"/>
      <w:r>
        <w:t>ish-Krahinës</w:t>
      </w:r>
      <w:proofErr w:type="spellEnd"/>
      <w:r>
        <w:t xml:space="preserve"> </w:t>
      </w:r>
      <w:proofErr w:type="spellStart"/>
      <w:r>
        <w:t>Socialiste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(KSAK). </w:t>
      </w:r>
      <w:proofErr w:type="spellStart"/>
      <w:r>
        <w:t>Më</w:t>
      </w:r>
      <w:proofErr w:type="spellEnd"/>
      <w:r>
        <w:t xml:space="preserve"> 2002, UNMIK-u </w:t>
      </w:r>
      <w:proofErr w:type="spellStart"/>
      <w:r>
        <w:t>themeloi</w:t>
      </w:r>
      <w:proofErr w:type="spellEnd"/>
      <w:r>
        <w:t xml:space="preserve"> </w:t>
      </w:r>
      <w:proofErr w:type="spellStart"/>
      <w:r>
        <w:t>Agjencinë</w:t>
      </w:r>
      <w:proofErr w:type="spellEnd"/>
      <w:r>
        <w:t xml:space="preserve"> </w:t>
      </w:r>
      <w:proofErr w:type="spellStart"/>
      <w:r>
        <w:t>Kosovare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Mirëbesimit</w:t>
      </w:r>
      <w:proofErr w:type="spellEnd"/>
      <w:r>
        <w:t xml:space="preserve"> (AKM), e </w:t>
      </w:r>
      <w:proofErr w:type="spellStart"/>
      <w:r>
        <w:t>cila</w:t>
      </w:r>
      <w:proofErr w:type="spellEnd"/>
      <w:r>
        <w:t xml:space="preserve"> u </w:t>
      </w:r>
      <w:proofErr w:type="spellStart"/>
      <w:r>
        <w:t>bë</w:t>
      </w:r>
      <w:proofErr w:type="spellEnd"/>
      <w:r>
        <w:t xml:space="preserve"> </w:t>
      </w:r>
      <w:proofErr w:type="spellStart"/>
      <w:r>
        <w:t>agjencia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 me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menaxhimin</w:t>
      </w:r>
      <w:proofErr w:type="spellEnd"/>
      <w:r>
        <w:t xml:space="preserve">, </w:t>
      </w:r>
      <w:proofErr w:type="spellStart"/>
      <w:r>
        <w:t>ristrukturimin</w:t>
      </w:r>
      <w:proofErr w:type="spellEnd"/>
      <w:r>
        <w:t xml:space="preserve">, </w:t>
      </w:r>
      <w:proofErr w:type="spellStart"/>
      <w:r>
        <w:t>komercializimin</w:t>
      </w:r>
      <w:proofErr w:type="spellEnd"/>
      <w:r>
        <w:t xml:space="preserve">, </w:t>
      </w:r>
      <w:proofErr w:type="spellStart"/>
      <w:r>
        <w:t>likuidimin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privatizimin</w:t>
      </w:r>
      <w:proofErr w:type="spellEnd"/>
      <w:r>
        <w:t xml:space="preserve"> e NSH-</w:t>
      </w:r>
      <w:proofErr w:type="spellStart"/>
      <w:r>
        <w:t>ve</w:t>
      </w:r>
      <w:proofErr w:type="spellEnd"/>
      <w:r>
        <w:t xml:space="preserve">. Pas </w:t>
      </w:r>
      <w:proofErr w:type="spellStart"/>
      <w:r>
        <w:t>shpalljes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pavarësisë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2008, me </w:t>
      </w:r>
      <w:proofErr w:type="spellStart"/>
      <w:r>
        <w:t>Ligjin</w:t>
      </w:r>
      <w:proofErr w:type="spellEnd"/>
      <w:r>
        <w:t xml:space="preserve"> Nr. 03/L-067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Agjencinë</w:t>
      </w:r>
      <w:proofErr w:type="spellEnd"/>
      <w:r>
        <w:t xml:space="preserve"> </w:t>
      </w:r>
      <w:proofErr w:type="spellStart"/>
      <w:r>
        <w:t>Kosovare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Privatizimit</w:t>
      </w:r>
      <w:proofErr w:type="spellEnd"/>
      <w:r>
        <w:t xml:space="preserve"> (15.06.2008, </w:t>
      </w:r>
      <w:proofErr w:type="spellStart"/>
      <w:r>
        <w:t>shfuqizuar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zëvendësuar</w:t>
      </w:r>
      <w:proofErr w:type="spellEnd"/>
      <w:r>
        <w:t xml:space="preserve"> me </w:t>
      </w:r>
      <w:proofErr w:type="spellStart"/>
      <w:r>
        <w:t>Ligjin</w:t>
      </w:r>
      <w:proofErr w:type="spellEnd"/>
      <w:r>
        <w:t xml:space="preserve"> Nr. 04/L-034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Agjencinë</w:t>
      </w:r>
      <w:proofErr w:type="spellEnd"/>
      <w:r>
        <w:t xml:space="preserve"> </w:t>
      </w:r>
      <w:proofErr w:type="spellStart"/>
      <w:r>
        <w:t>Kosovare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Privatizimit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dt. 21.09.2011), AKM u </w:t>
      </w:r>
      <w:proofErr w:type="spellStart"/>
      <w:r>
        <w:t>shua</w:t>
      </w:r>
      <w:proofErr w:type="spellEnd"/>
      <w:r>
        <w:t xml:space="preserve"> </w:t>
      </w:r>
      <w:proofErr w:type="spellStart"/>
      <w:r>
        <w:t>ndërsa</w:t>
      </w:r>
      <w:proofErr w:type="spellEnd"/>
      <w:r>
        <w:t xml:space="preserve"> </w:t>
      </w:r>
      <w:proofErr w:type="spellStart"/>
      <w:r>
        <w:t>vendin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e </w:t>
      </w:r>
      <w:proofErr w:type="spellStart"/>
      <w:r>
        <w:t>zuri</w:t>
      </w:r>
      <w:proofErr w:type="spellEnd"/>
      <w:r>
        <w:t xml:space="preserve"> </w:t>
      </w:r>
      <w:proofErr w:type="spellStart"/>
      <w:r>
        <w:t>Agjencia</w:t>
      </w:r>
      <w:proofErr w:type="spellEnd"/>
      <w:r>
        <w:t xml:space="preserve"> </w:t>
      </w:r>
      <w:proofErr w:type="spellStart"/>
      <w:r>
        <w:t>Kosovare</w:t>
      </w:r>
      <w:proofErr w:type="spellEnd"/>
      <w:r>
        <w:t xml:space="preserve"> e </w:t>
      </w:r>
      <w:proofErr w:type="spellStart"/>
      <w:r>
        <w:t>Privatizimit</w:t>
      </w:r>
      <w:proofErr w:type="spellEnd"/>
      <w:r>
        <w:t xml:space="preserve"> (AKP), me mandate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zgjeruara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ristrukturimin</w:t>
      </w:r>
      <w:proofErr w:type="spellEnd"/>
      <w:r>
        <w:t xml:space="preserve">, </w:t>
      </w:r>
      <w:proofErr w:type="spellStart"/>
      <w:r>
        <w:t>privatizimin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likuidimin</w:t>
      </w:r>
      <w:proofErr w:type="spellEnd"/>
      <w:r>
        <w:t xml:space="preserve"> e </w:t>
      </w:r>
      <w:proofErr w:type="spellStart"/>
      <w:r>
        <w:t>ish</w:t>
      </w:r>
      <w:proofErr w:type="spellEnd"/>
      <w:r>
        <w:t>-NSH-</w:t>
      </w:r>
      <w:proofErr w:type="spellStart"/>
      <w:r>
        <w:t>ve</w:t>
      </w:r>
      <w:proofErr w:type="spellEnd"/>
      <w:r>
        <w:t>.</w:t>
      </w:r>
    </w:p>
    <w:p w14:paraId="3D51902C" w14:textId="77777777" w:rsidR="000E7BCB" w:rsidRDefault="000E7BCB"/>
    <w:p w14:paraId="7D14CA70" w14:textId="77777777" w:rsidR="000E7BCB" w:rsidRDefault="00A620E4">
      <w:proofErr w:type="spellStart"/>
      <w:r>
        <w:t>Në</w:t>
      </w:r>
      <w:proofErr w:type="spellEnd"/>
      <w:r>
        <w:t xml:space="preserve">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ristrukturimit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NSH-</w:t>
      </w:r>
      <w:proofErr w:type="spellStart"/>
      <w:r>
        <w:t>ve</w:t>
      </w:r>
      <w:proofErr w:type="spellEnd"/>
      <w:r>
        <w:t xml:space="preserve">, AKM ka </w:t>
      </w:r>
      <w:proofErr w:type="spellStart"/>
      <w:r>
        <w:t>korporatizuar</w:t>
      </w:r>
      <w:proofErr w:type="spellEnd"/>
      <w:r>
        <w:t xml:space="preserve"> NSH-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ndër</w:t>
      </w:r>
      <w:proofErr w:type="spellEnd"/>
      <w:r>
        <w:t xml:space="preserve"> to u </w:t>
      </w:r>
      <w:proofErr w:type="spellStart"/>
      <w:r>
        <w:t>krijuan</w:t>
      </w:r>
      <w:proofErr w:type="spellEnd"/>
      <w:r>
        <w:t xml:space="preserve"> </w:t>
      </w:r>
      <w:proofErr w:type="spellStart"/>
      <w:r>
        <w:t>njëzet</w:t>
      </w:r>
      <w:proofErr w:type="spellEnd"/>
      <w:r>
        <w:t xml:space="preserve"> e </w:t>
      </w:r>
      <w:proofErr w:type="spellStart"/>
      <w:r>
        <w:t>pesë</w:t>
      </w:r>
      <w:proofErr w:type="spellEnd"/>
      <w:r>
        <w:t xml:space="preserve"> (25)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(NP)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me </w:t>
      </w:r>
      <w:proofErr w:type="spellStart"/>
      <w:r>
        <w:t>miratimin</w:t>
      </w:r>
      <w:proofErr w:type="spellEnd"/>
      <w:r>
        <w:t xml:space="preserve"> e </w:t>
      </w:r>
      <w:proofErr w:type="spellStart"/>
      <w:r>
        <w:t>Ligjit</w:t>
      </w:r>
      <w:proofErr w:type="spellEnd"/>
      <w:r>
        <w:t xml:space="preserve"> Nr. 03/L-087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Ndërmarrjet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dt. 15.06.2008 u </w:t>
      </w:r>
      <w:proofErr w:type="spellStart"/>
      <w:r>
        <w:t>hoqen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administrimi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AKM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kaluan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. Ky </w:t>
      </w:r>
      <w:proofErr w:type="spellStart"/>
      <w:r>
        <w:t>ligj</w:t>
      </w:r>
      <w:proofErr w:type="spellEnd"/>
      <w:r>
        <w:t xml:space="preserve"> </w:t>
      </w:r>
      <w:proofErr w:type="spellStart"/>
      <w:r>
        <w:t>përcakton</w:t>
      </w:r>
      <w:proofErr w:type="spellEnd"/>
      <w:r>
        <w:t xml:space="preserve"> </w:t>
      </w:r>
      <w:proofErr w:type="spellStart"/>
      <w:r>
        <w:t>formën</w:t>
      </w:r>
      <w:proofErr w:type="spellEnd"/>
      <w:r>
        <w:t xml:space="preserve"> e </w:t>
      </w:r>
      <w:proofErr w:type="spellStart"/>
      <w:r>
        <w:t>administrimit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mbikëqyrjes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NP-</w:t>
      </w:r>
      <w:proofErr w:type="spellStart"/>
      <w:r>
        <w:t>ve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kategorizon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NP </w:t>
      </w:r>
      <w:proofErr w:type="spellStart"/>
      <w:r>
        <w:t>Qendrore</w:t>
      </w:r>
      <w:proofErr w:type="spellEnd"/>
      <w:r>
        <w:t xml:space="preserve">, </w:t>
      </w:r>
      <w:proofErr w:type="spellStart"/>
      <w:r>
        <w:t>Kompani</w:t>
      </w:r>
      <w:proofErr w:type="spellEnd"/>
      <w:r>
        <w:t xml:space="preserve"> </w:t>
      </w:r>
      <w:proofErr w:type="spellStart"/>
      <w:r>
        <w:t>Rajonale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NP </w:t>
      </w:r>
      <w:proofErr w:type="spellStart"/>
      <w:r>
        <w:t>Lokale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kohën</w:t>
      </w:r>
      <w:proofErr w:type="spellEnd"/>
      <w:r>
        <w:t xml:space="preserve"> e </w:t>
      </w:r>
      <w:proofErr w:type="spellStart"/>
      <w:r>
        <w:t>aprovimin</w:t>
      </w:r>
      <w:proofErr w:type="spellEnd"/>
      <w:r>
        <w:t xml:space="preserve"> </w:t>
      </w:r>
      <w:proofErr w:type="spellStart"/>
      <w:r>
        <w:t>Ligji</w:t>
      </w:r>
      <w:proofErr w:type="spellEnd"/>
      <w:r>
        <w:t xml:space="preserve"> </w:t>
      </w:r>
      <w:proofErr w:type="spellStart"/>
      <w:r>
        <w:t>përcaktoi</w:t>
      </w:r>
      <w:proofErr w:type="spellEnd"/>
      <w:r>
        <w:t xml:space="preserve"> </w:t>
      </w:r>
      <w:proofErr w:type="spellStart"/>
      <w:r>
        <w:t>listën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tetë</w:t>
      </w:r>
      <w:proofErr w:type="spellEnd"/>
      <w:r>
        <w:t xml:space="preserve"> (8) NP </w:t>
      </w:r>
      <w:proofErr w:type="spellStart"/>
      <w:r>
        <w:t>Qendrore</w:t>
      </w:r>
      <w:proofErr w:type="spellEnd"/>
      <w:r>
        <w:t xml:space="preserve">, </w:t>
      </w:r>
      <w:proofErr w:type="spellStart"/>
      <w:r>
        <w:t>tetë</w:t>
      </w:r>
      <w:proofErr w:type="spellEnd"/>
      <w:r>
        <w:t xml:space="preserve"> (8) </w:t>
      </w:r>
      <w:proofErr w:type="spellStart"/>
      <w:r>
        <w:t>kompani</w:t>
      </w:r>
      <w:proofErr w:type="spellEnd"/>
      <w:r>
        <w:t xml:space="preserve"> </w:t>
      </w:r>
      <w:proofErr w:type="spellStart"/>
      <w:r>
        <w:t>rajonale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gjashtëmbëdhjetë</w:t>
      </w:r>
      <w:proofErr w:type="spellEnd"/>
      <w:r>
        <w:t xml:space="preserve"> (16) NP </w:t>
      </w:r>
      <w:proofErr w:type="spellStart"/>
      <w:r>
        <w:t>Lokale</w:t>
      </w:r>
      <w:proofErr w:type="spellEnd"/>
      <w:r>
        <w:t xml:space="preserve">. Me </w:t>
      </w:r>
      <w:proofErr w:type="spellStart"/>
      <w:r>
        <w:t>miratimin</w:t>
      </w:r>
      <w:proofErr w:type="spellEnd"/>
      <w:r>
        <w:t xml:space="preserve"> e </w:t>
      </w:r>
      <w:proofErr w:type="spellStart"/>
      <w:r>
        <w:t>Ligjit</w:t>
      </w:r>
      <w:proofErr w:type="spellEnd"/>
      <w:r>
        <w:t xml:space="preserve"> 05/L-120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Trepçën</w:t>
      </w:r>
      <w:proofErr w:type="spellEnd"/>
      <w:r>
        <w:t xml:space="preserve"> (dt. 31.10.2016) </w:t>
      </w:r>
      <w:proofErr w:type="spellStart"/>
      <w:r>
        <w:t>rregullohet</w:t>
      </w:r>
      <w:proofErr w:type="spellEnd"/>
      <w:r>
        <w:t xml:space="preserve"> </w:t>
      </w:r>
      <w:proofErr w:type="spellStart"/>
      <w:r>
        <w:t>statusi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ndërmarrjes</w:t>
      </w:r>
      <w:proofErr w:type="spellEnd"/>
      <w:r>
        <w:t xml:space="preserve"> </w:t>
      </w:r>
      <w:proofErr w:type="spellStart"/>
      <w:r>
        <w:t>Trepça</w:t>
      </w:r>
      <w:proofErr w:type="spellEnd"/>
      <w:r>
        <w:t xml:space="preserve"> SH.A., </w:t>
      </w:r>
      <w:proofErr w:type="spellStart"/>
      <w:r>
        <w:t>ku</w:t>
      </w:r>
      <w:proofErr w:type="spellEnd"/>
      <w:r>
        <w:t xml:space="preserve"> </w:t>
      </w:r>
      <w:proofErr w:type="spellStart"/>
      <w:r>
        <w:t>kryeaksionar</w:t>
      </w:r>
      <w:proofErr w:type="spellEnd"/>
      <w:r>
        <w:t xml:space="preserve"> </w:t>
      </w:r>
      <w:proofErr w:type="spellStart"/>
      <w:r>
        <w:t>përcaktohet</w:t>
      </w:r>
      <w:proofErr w:type="spellEnd"/>
      <w:r>
        <w:t xml:space="preserve"> </w:t>
      </w:r>
      <w:proofErr w:type="spellStart"/>
      <w:r>
        <w:t>Qeveria</w:t>
      </w:r>
      <w:proofErr w:type="spellEnd"/>
      <w:r>
        <w:t>.</w:t>
      </w:r>
    </w:p>
    <w:p w14:paraId="21A71E74" w14:textId="77777777" w:rsidR="000E7BCB" w:rsidRDefault="000E7BCB"/>
    <w:p w14:paraId="2348140C" w14:textId="77777777" w:rsidR="000E7BCB" w:rsidRDefault="00A620E4">
      <w:proofErr w:type="spellStart"/>
      <w:r>
        <w:t>Objekti</w:t>
      </w:r>
      <w:proofErr w:type="spellEnd"/>
      <w:r>
        <w:t xml:space="preserve"> </w:t>
      </w:r>
      <w:proofErr w:type="spellStart"/>
      <w:r>
        <w:t>kryesor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qenë</w:t>
      </w:r>
      <w:proofErr w:type="spellEnd"/>
      <w:r>
        <w:t xml:space="preserve"> NP-</w:t>
      </w:r>
      <w:proofErr w:type="spellStart"/>
      <w:r>
        <w:t>të</w:t>
      </w:r>
      <w:proofErr w:type="spellEnd"/>
      <w:r>
        <w:t xml:space="preserve"> e </w:t>
      </w:r>
      <w:proofErr w:type="spellStart"/>
      <w:r>
        <w:t>nivelit</w:t>
      </w:r>
      <w:proofErr w:type="spellEnd"/>
      <w:r>
        <w:t xml:space="preserve"> </w:t>
      </w:r>
      <w:proofErr w:type="spellStart"/>
      <w:r>
        <w:t>Qendror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gëzon</w:t>
      </w:r>
      <w:proofErr w:type="spellEnd"/>
      <w:r>
        <w:t xml:space="preserve"> </w:t>
      </w:r>
      <w:proofErr w:type="spellStart"/>
      <w:r>
        <w:t>shumicën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tërësinë</w:t>
      </w:r>
      <w:proofErr w:type="spellEnd"/>
      <w:r>
        <w:t xml:space="preserve"> e </w:t>
      </w:r>
      <w:proofErr w:type="spellStart"/>
      <w:r>
        <w:t>aksioneve</w:t>
      </w:r>
      <w:proofErr w:type="spellEnd"/>
      <w:r>
        <w:t xml:space="preserve"> </w:t>
      </w:r>
      <w:proofErr w:type="spellStart"/>
      <w:r>
        <w:t>pronësore</w:t>
      </w:r>
      <w:proofErr w:type="spellEnd"/>
      <w:r>
        <w:t xml:space="preserve">. Me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ristrukturimin</w:t>
      </w:r>
      <w:proofErr w:type="spellEnd"/>
      <w:r>
        <w:t xml:space="preserve"> e </w:t>
      </w:r>
      <w:proofErr w:type="spellStart"/>
      <w:r>
        <w:t>suksesshëm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këtyre</w:t>
      </w:r>
      <w:proofErr w:type="spellEnd"/>
      <w:r>
        <w:t xml:space="preserve"> NP-</w:t>
      </w:r>
      <w:proofErr w:type="spellStart"/>
      <w:r>
        <w:t>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viti</w:t>
      </w:r>
      <w:proofErr w:type="spellEnd"/>
      <w:r>
        <w:t xml:space="preserve"> 2008 e </w:t>
      </w:r>
      <w:proofErr w:type="spellStart"/>
      <w:r>
        <w:t>tutje</w:t>
      </w:r>
      <w:proofErr w:type="spellEnd"/>
      <w:r>
        <w:t xml:space="preserve">, </w:t>
      </w:r>
      <w:proofErr w:type="spellStart"/>
      <w:r>
        <w:t>përgjatë</w:t>
      </w:r>
      <w:proofErr w:type="spellEnd"/>
      <w:r>
        <w:t xml:space="preserve"> </w:t>
      </w:r>
      <w:proofErr w:type="spellStart"/>
      <w:r>
        <w:t>viteve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vëzhgues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konstatuar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shumta</w:t>
      </w:r>
      <w:proofErr w:type="spellEnd"/>
      <w:r>
        <w:t xml:space="preserve"> me </w:t>
      </w:r>
      <w:proofErr w:type="spellStart"/>
      <w:r>
        <w:t>monitorimin</w:t>
      </w:r>
      <w:proofErr w:type="spellEnd"/>
      <w:r>
        <w:t xml:space="preserve"> e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NP-</w:t>
      </w:r>
      <w:proofErr w:type="spellStart"/>
      <w:r>
        <w:t>ve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nivelin</w:t>
      </w:r>
      <w:proofErr w:type="spellEnd"/>
      <w:r>
        <w:t xml:space="preserve"> e </w:t>
      </w:r>
      <w:proofErr w:type="spellStart"/>
      <w:r>
        <w:t>pakënaqshëm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profesionalizmit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menaxhmentit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NP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abuzimin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mjeteve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NP-</w:t>
      </w:r>
      <w:proofErr w:type="spellStart"/>
      <w:r>
        <w:t>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interesin</w:t>
      </w:r>
      <w:proofErr w:type="spellEnd"/>
      <w:r>
        <w:t xml:space="preserve"> e </w:t>
      </w:r>
      <w:proofErr w:type="spellStart"/>
      <w:r>
        <w:t>palëve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treta</w:t>
      </w:r>
      <w:proofErr w:type="spellEnd"/>
      <w:r>
        <w:t xml:space="preserve">.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përcjellur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performansë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pakënaqshme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NP-</w:t>
      </w:r>
      <w:proofErr w:type="spellStart"/>
      <w:r>
        <w:t>ve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nevojshme</w:t>
      </w:r>
      <w:proofErr w:type="spellEnd"/>
      <w:r>
        <w:t xml:space="preserve"> </w:t>
      </w:r>
      <w:proofErr w:type="spellStart"/>
      <w:r>
        <w:t>subvencionimin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NP-</w:t>
      </w:r>
      <w:proofErr w:type="spellStart"/>
      <w:r>
        <w:t>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shpenzime</w:t>
      </w:r>
      <w:proofErr w:type="spellEnd"/>
      <w:r>
        <w:t xml:space="preserve"> operative.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periudhën</w:t>
      </w:r>
      <w:proofErr w:type="spellEnd"/>
      <w:r>
        <w:t xml:space="preserve"> 2009-20 </w:t>
      </w:r>
      <w:proofErr w:type="spellStart"/>
      <w:r>
        <w:t>Qeveria</w:t>
      </w:r>
      <w:proofErr w:type="spellEnd"/>
      <w:r>
        <w:t xml:space="preserve"> ka </w:t>
      </w:r>
      <w:proofErr w:type="spellStart"/>
      <w:r>
        <w:t>shpenzuar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shtetit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86 </w:t>
      </w:r>
      <w:proofErr w:type="spellStart"/>
      <w:r>
        <w:t>milionë</w:t>
      </w:r>
      <w:proofErr w:type="spellEnd"/>
      <w:r>
        <w:t xml:space="preserve"> €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investime</w:t>
      </w:r>
      <w:proofErr w:type="spellEnd"/>
      <w:r>
        <w:t xml:space="preserve"> </w:t>
      </w:r>
      <w:proofErr w:type="spellStart"/>
      <w:r>
        <w:t>kapitale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212 </w:t>
      </w:r>
      <w:proofErr w:type="spellStart"/>
      <w:r>
        <w:t>milionë</w:t>
      </w:r>
      <w:proofErr w:type="spellEnd"/>
      <w:r>
        <w:t xml:space="preserve"> €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subvencionimin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NP-</w:t>
      </w:r>
      <w:proofErr w:type="spellStart"/>
      <w:r>
        <w:t>ve</w:t>
      </w:r>
      <w:proofErr w:type="spellEnd"/>
      <w:r>
        <w:t xml:space="preserve"> (pa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Trepça</w:t>
      </w:r>
      <w:proofErr w:type="spellEnd"/>
      <w:r>
        <w:t xml:space="preserve"> </w:t>
      </w:r>
      <w:proofErr w:type="spellStart"/>
      <w:r>
        <w:t>sh.a</w:t>
      </w:r>
      <w:proofErr w:type="spellEnd"/>
      <w:r>
        <w:t xml:space="preserve">.), </w:t>
      </w:r>
      <w:proofErr w:type="spellStart"/>
      <w:r>
        <w:t>ndonëse</w:t>
      </w:r>
      <w:proofErr w:type="spellEnd"/>
      <w:r>
        <w:t xml:space="preserve"> </w:t>
      </w:r>
      <w:proofErr w:type="spellStart"/>
      <w:r>
        <w:t>niveli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subvencionimit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ka </w:t>
      </w:r>
      <w:proofErr w:type="spellStart"/>
      <w:r>
        <w:t>rënë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ai </w:t>
      </w:r>
      <w:proofErr w:type="spellStart"/>
      <w:r>
        <w:t>i</w:t>
      </w:r>
      <w:proofErr w:type="spellEnd"/>
      <w:r>
        <w:t xml:space="preserve"> </w:t>
      </w:r>
      <w:proofErr w:type="spellStart"/>
      <w:r>
        <w:t>viteve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para </w:t>
      </w:r>
      <w:proofErr w:type="spellStart"/>
      <w:r>
        <w:t>të</w:t>
      </w:r>
      <w:proofErr w:type="spellEnd"/>
      <w:r>
        <w:t xml:space="preserve"> pas-</w:t>
      </w:r>
      <w:proofErr w:type="spellStart"/>
      <w:r>
        <w:t>pavarësisë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stabilizuar</w:t>
      </w:r>
      <w:proofErr w:type="spellEnd"/>
      <w:r>
        <w:t xml:space="preserve"> pas </w:t>
      </w:r>
      <w:proofErr w:type="spellStart"/>
      <w:r>
        <w:t>vitit</w:t>
      </w:r>
      <w:proofErr w:type="spellEnd"/>
      <w:r>
        <w:t xml:space="preserve"> 2014 (shih </w:t>
      </w:r>
      <w:proofErr w:type="spellStart"/>
      <w:r>
        <w:t>figurën</w:t>
      </w:r>
      <w:proofErr w:type="spellEnd"/>
      <w:r>
        <w:t xml:space="preserve"> 1.1).</w:t>
      </w:r>
    </w:p>
    <w:p w14:paraId="1F35C3EA" w14:textId="77777777" w:rsidR="000E7BCB" w:rsidRDefault="000E7BCB"/>
    <w:p w14:paraId="6CA99A48" w14:textId="77777777" w:rsidR="000E7BCB" w:rsidRDefault="00A620E4">
      <w:r>
        <w:rPr>
          <w:noProof/>
        </w:rPr>
        <w:lastRenderedPageBreak/>
        <w:drawing>
          <wp:inline distT="114300" distB="114300" distL="114300" distR="114300" wp14:anchorId="68862948" wp14:editId="7DEA9F05">
            <wp:extent cx="5943600" cy="35179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90B7CA" w14:textId="77777777" w:rsidR="000E7BCB" w:rsidRDefault="00A620E4">
      <w:proofErr w:type="spellStart"/>
      <w:r>
        <w:t>Figura</w:t>
      </w:r>
      <w:proofErr w:type="spellEnd"/>
      <w:r>
        <w:t xml:space="preserve"> 1.1. </w:t>
      </w:r>
      <w:proofErr w:type="spellStart"/>
      <w:r>
        <w:t>Shpenzimet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</w:t>
      </w:r>
      <w:proofErr w:type="spellStart"/>
      <w:r>
        <w:t>qeveritare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subvencionimin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NP-</w:t>
      </w:r>
      <w:proofErr w:type="spellStart"/>
      <w:r>
        <w:t>ve</w:t>
      </w:r>
      <w:proofErr w:type="spellEnd"/>
      <w:r>
        <w:t xml:space="preserve"> (pa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investimet</w:t>
      </w:r>
      <w:proofErr w:type="spellEnd"/>
      <w:r>
        <w:t xml:space="preserve"> </w:t>
      </w:r>
      <w:proofErr w:type="spellStart"/>
      <w:r>
        <w:t>kapitale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subvencionet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Trepça</w:t>
      </w:r>
      <w:proofErr w:type="spellEnd"/>
      <w:r>
        <w:t xml:space="preserve"> </w:t>
      </w:r>
      <w:proofErr w:type="spellStart"/>
      <w:r>
        <w:t>sh.a</w:t>
      </w:r>
      <w:proofErr w:type="spellEnd"/>
      <w:r>
        <w:t>.), 2009-2020 (</w:t>
      </w:r>
      <w:proofErr w:type="spellStart"/>
      <w:r>
        <w:t>në</w:t>
      </w:r>
      <w:proofErr w:type="spellEnd"/>
      <w:r>
        <w:t xml:space="preserve"> </w:t>
      </w:r>
      <w:proofErr w:type="spellStart"/>
      <w:r>
        <w:t>milionë</w:t>
      </w:r>
      <w:proofErr w:type="spellEnd"/>
      <w:r>
        <w:t xml:space="preserve"> €). </w:t>
      </w:r>
      <w:proofErr w:type="spellStart"/>
      <w:r>
        <w:t>Burimi</w:t>
      </w:r>
      <w:proofErr w:type="spellEnd"/>
      <w:r>
        <w:t xml:space="preserve">: </w:t>
      </w:r>
      <w:proofErr w:type="spellStart"/>
      <w:r>
        <w:t>Njësia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Monitorimin</w:t>
      </w:r>
      <w:proofErr w:type="spellEnd"/>
      <w:r>
        <w:t xml:space="preserve"> e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, </w:t>
      </w:r>
      <w:proofErr w:type="spellStart"/>
      <w:r>
        <w:t>Ministria</w:t>
      </w:r>
      <w:proofErr w:type="spellEnd"/>
      <w:r>
        <w:t xml:space="preserve"> e </w:t>
      </w:r>
      <w:proofErr w:type="spellStart"/>
      <w:r>
        <w:t>Ekonomisë</w:t>
      </w:r>
      <w:proofErr w:type="spellEnd"/>
      <w:r>
        <w:t>.</w:t>
      </w:r>
    </w:p>
    <w:p w14:paraId="67E78F21" w14:textId="77777777" w:rsidR="000E7BCB" w:rsidRDefault="000E7BCB"/>
    <w:p w14:paraId="396AE185" w14:textId="77777777" w:rsidR="000E7BCB" w:rsidRDefault="00A620E4">
      <w:proofErr w:type="spellStart"/>
      <w:r>
        <w:t>Është</w:t>
      </w:r>
      <w:proofErr w:type="spellEnd"/>
      <w:r>
        <w:t xml:space="preserve"> </w:t>
      </w:r>
      <w:proofErr w:type="spellStart"/>
      <w:r>
        <w:t>konstatuar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mungesa</w:t>
      </w:r>
      <w:proofErr w:type="spellEnd"/>
      <w:r>
        <w:t xml:space="preserve"> e </w:t>
      </w:r>
      <w:proofErr w:type="spellStart"/>
      <w:r>
        <w:t>mekanizmave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hartimin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ndjekjen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strategjie</w:t>
      </w:r>
      <w:proofErr w:type="spellEnd"/>
      <w:r>
        <w:t xml:space="preserve"> </w:t>
      </w:r>
      <w:proofErr w:type="spellStart"/>
      <w:r>
        <w:t>afatgjate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veprimtarinë</w:t>
      </w:r>
      <w:proofErr w:type="spellEnd"/>
      <w:r>
        <w:t xml:space="preserve"> e NP-</w:t>
      </w:r>
      <w:proofErr w:type="spellStart"/>
      <w:r>
        <w:t>ve</w:t>
      </w:r>
      <w:proofErr w:type="spellEnd"/>
      <w:r>
        <w:t xml:space="preserve">. </w:t>
      </w:r>
      <w:proofErr w:type="spellStart"/>
      <w:r>
        <w:t>Mungesa</w:t>
      </w:r>
      <w:proofErr w:type="spellEnd"/>
      <w:r>
        <w:t xml:space="preserve"> e </w:t>
      </w:r>
      <w:proofErr w:type="spellStart"/>
      <w:r>
        <w:t>strategjisë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kapaciteteve</w:t>
      </w:r>
      <w:proofErr w:type="spellEnd"/>
      <w:r>
        <w:t xml:space="preserve"> </w:t>
      </w:r>
      <w:proofErr w:type="spellStart"/>
      <w:r>
        <w:t>monitoruese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formën</w:t>
      </w:r>
      <w:proofErr w:type="spellEnd"/>
      <w:r>
        <w:t xml:space="preserve"> e </w:t>
      </w:r>
      <w:proofErr w:type="spellStart"/>
      <w:r>
        <w:t>ushtrimit</w:t>
      </w:r>
      <w:proofErr w:type="spellEnd"/>
      <w:r>
        <w:t xml:space="preserve"> </w:t>
      </w:r>
      <w:proofErr w:type="spellStart"/>
      <w:r>
        <w:t>efektiv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aksionarit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pjesërisht</w:t>
      </w:r>
      <w:proofErr w:type="spellEnd"/>
      <w:r>
        <w:t xml:space="preserve"> </w:t>
      </w:r>
      <w:proofErr w:type="spellStart"/>
      <w:r>
        <w:t>përgjegjëse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problemet</w:t>
      </w:r>
      <w:proofErr w:type="spellEnd"/>
      <w:r>
        <w:t xml:space="preserve"> e NP-</w:t>
      </w:r>
      <w:proofErr w:type="spellStart"/>
      <w:r>
        <w:t>ve</w:t>
      </w:r>
      <w:proofErr w:type="spellEnd"/>
      <w:r>
        <w:t xml:space="preserve">,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keqmenaxhimi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keqperformansa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ndërkohë</w:t>
      </w:r>
      <w:proofErr w:type="spellEnd"/>
      <w:r>
        <w:t xml:space="preserve">,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vënë</w:t>
      </w:r>
      <w:proofErr w:type="spellEnd"/>
      <w:r>
        <w:t xml:space="preserve"> re se,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pozicioni</w:t>
      </w:r>
      <w:proofErr w:type="spellEnd"/>
      <w:r>
        <w:t xml:space="preserve"> </w:t>
      </w:r>
      <w:proofErr w:type="spellStart"/>
      <w:r>
        <w:t>strategjik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treg</w:t>
      </w:r>
      <w:proofErr w:type="spellEnd"/>
      <w:r>
        <w:t xml:space="preserve">, </w:t>
      </w:r>
      <w:proofErr w:type="spellStart"/>
      <w:r>
        <w:t>ashtu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potencialet</w:t>
      </w:r>
      <w:proofErr w:type="spellEnd"/>
      <w:r>
        <w:t xml:space="preserve"> </w:t>
      </w:r>
      <w:proofErr w:type="spellStart"/>
      <w:r>
        <w:t>natyrore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njerëzore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vendit</w:t>
      </w:r>
      <w:proofErr w:type="spellEnd"/>
      <w:r>
        <w:t>, NP-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madh</w:t>
      </w:r>
      <w:proofErr w:type="spellEnd"/>
      <w:r>
        <w:t xml:space="preserve"> </w:t>
      </w:r>
      <w:proofErr w:type="spellStart"/>
      <w:r>
        <w:t>zhvillimi</w:t>
      </w:r>
      <w:proofErr w:type="spellEnd"/>
      <w:r>
        <w:t xml:space="preserve"> me </w:t>
      </w:r>
      <w:proofErr w:type="spellStart"/>
      <w:r>
        <w:t>dobi</w:t>
      </w:r>
      <w:proofErr w:type="spellEnd"/>
      <w:r>
        <w:t xml:space="preserve"> jo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ndërmarrjet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fjalë</w:t>
      </w:r>
      <w:proofErr w:type="spellEnd"/>
      <w:r>
        <w:t xml:space="preserve"> por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zhvillimin</w:t>
      </w:r>
      <w:proofErr w:type="spellEnd"/>
      <w:r>
        <w:t xml:space="preserve"> e </w:t>
      </w:r>
      <w:proofErr w:type="spellStart"/>
      <w:r>
        <w:t>gjithmbarshëm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vendit</w:t>
      </w:r>
      <w:proofErr w:type="spellEnd"/>
      <w:r>
        <w:t>.</w:t>
      </w:r>
    </w:p>
    <w:p w14:paraId="545A80CF" w14:textId="77777777" w:rsidR="000E7BCB" w:rsidRDefault="000E7BCB"/>
    <w:p w14:paraId="2F0C68B5" w14:textId="77777777" w:rsidR="000E7BCB" w:rsidRDefault="00A620E4">
      <w:proofErr w:type="spellStart"/>
      <w:r>
        <w:t>Paralelisht</w:t>
      </w:r>
      <w:proofErr w:type="spellEnd"/>
      <w:r>
        <w:t xml:space="preserve"> me </w:t>
      </w:r>
      <w:proofErr w:type="spellStart"/>
      <w:r>
        <w:t>shkëputjen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pjese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ish</w:t>
      </w:r>
      <w:proofErr w:type="spellEnd"/>
      <w:r>
        <w:t>-NSH-</w:t>
      </w:r>
      <w:proofErr w:type="spellStart"/>
      <w:r>
        <w:t>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transformimit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NP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masave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mësipërme</w:t>
      </w:r>
      <w:proofErr w:type="spellEnd"/>
      <w:r>
        <w:t xml:space="preserve">, AKP ka </w:t>
      </w:r>
      <w:proofErr w:type="spellStart"/>
      <w:r>
        <w:t>vazhduar</w:t>
      </w:r>
      <w:proofErr w:type="spellEnd"/>
      <w:r>
        <w:t xml:space="preserve">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ristrukturimit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privatizimit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pjesës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ish</w:t>
      </w:r>
      <w:proofErr w:type="spellEnd"/>
      <w:r>
        <w:t>-NSH-</w:t>
      </w:r>
      <w:proofErr w:type="spellStart"/>
      <w:r>
        <w:t>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mbetura</w:t>
      </w:r>
      <w:proofErr w:type="spellEnd"/>
      <w:r>
        <w:t xml:space="preserve">. Deri </w:t>
      </w:r>
      <w:proofErr w:type="spellStart"/>
      <w:r>
        <w:t>më</w:t>
      </w:r>
      <w:proofErr w:type="spellEnd"/>
      <w:r>
        <w:t xml:space="preserve"> </w:t>
      </w:r>
      <w:proofErr w:type="spellStart"/>
      <w:r>
        <w:t>korrik</w:t>
      </w:r>
      <w:proofErr w:type="spellEnd"/>
      <w:r>
        <w:t xml:space="preserve"> 2021, AKP ka </w:t>
      </w:r>
      <w:proofErr w:type="spellStart"/>
      <w:r>
        <w:t>privatizuar</w:t>
      </w:r>
      <w:proofErr w:type="spellEnd"/>
      <w:r>
        <w:t xml:space="preserve"> 2.263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ish</w:t>
      </w:r>
      <w:proofErr w:type="spellEnd"/>
      <w:r>
        <w:t>-NSH-</w:t>
      </w:r>
      <w:proofErr w:type="spellStart"/>
      <w:r>
        <w:t>ve</w:t>
      </w:r>
      <w:proofErr w:type="spellEnd"/>
      <w:r>
        <w:t xml:space="preserve">,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772.336.863 €. </w:t>
      </w:r>
      <w:proofErr w:type="spellStart"/>
      <w:r>
        <w:t>Ndër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përfshihen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953 </w:t>
      </w:r>
      <w:proofErr w:type="spellStart"/>
      <w:r>
        <w:t>toka</w:t>
      </w:r>
      <w:proofErr w:type="spellEnd"/>
      <w:r>
        <w:t xml:space="preserve"> </w:t>
      </w:r>
      <w:proofErr w:type="spellStart"/>
      <w:r>
        <w:t>bujqësore</w:t>
      </w:r>
      <w:proofErr w:type="spellEnd"/>
      <w:r>
        <w:t xml:space="preserve"> me </w:t>
      </w:r>
      <w:proofErr w:type="spellStart"/>
      <w:r>
        <w:t>sipërfaqe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23.777 </w:t>
      </w:r>
      <w:proofErr w:type="spellStart"/>
      <w:r>
        <w:t>hektarë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shitur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159.958.943 €. </w:t>
      </w:r>
      <w:proofErr w:type="spellStart"/>
      <w:r>
        <w:t>Përkundër</w:t>
      </w:r>
      <w:proofErr w:type="spellEnd"/>
      <w:r>
        <w:t xml:space="preserve"> </w:t>
      </w:r>
      <w:proofErr w:type="spellStart"/>
      <w:r>
        <w:t>masës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madhe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privatizuara</w:t>
      </w:r>
      <w:proofErr w:type="spellEnd"/>
      <w:r>
        <w:t xml:space="preserve">, 592 </w:t>
      </w:r>
      <w:proofErr w:type="spellStart"/>
      <w:r>
        <w:t>ish</w:t>
      </w:r>
      <w:proofErr w:type="spellEnd"/>
      <w:r>
        <w:t xml:space="preserve">-NSH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qëndrojnë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administrimin</w:t>
      </w:r>
      <w:proofErr w:type="spellEnd"/>
      <w:r>
        <w:t xml:space="preserve"> e AKP-</w:t>
      </w:r>
      <w:proofErr w:type="spellStart"/>
      <w:r>
        <w:t>së</w:t>
      </w:r>
      <w:proofErr w:type="spellEnd"/>
      <w:r>
        <w:t xml:space="preserve">. AKP ka </w:t>
      </w:r>
      <w:proofErr w:type="spellStart"/>
      <w:r>
        <w:t>komercializuar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, </w:t>
      </w:r>
      <w:proofErr w:type="spellStart"/>
      <w:r>
        <w:t>kryesisht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patundshme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formën</w:t>
      </w:r>
      <w:proofErr w:type="spellEnd"/>
      <w:r>
        <w:t xml:space="preserve"> e </w:t>
      </w:r>
      <w:proofErr w:type="spellStart"/>
      <w:r>
        <w:t>qiradhënies</w:t>
      </w:r>
      <w:proofErr w:type="spellEnd"/>
      <w:r>
        <w:t xml:space="preserve">. </w:t>
      </w:r>
      <w:proofErr w:type="spellStart"/>
      <w:r>
        <w:t>Qiradhënia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AKP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korrik</w:t>
      </w:r>
      <w:proofErr w:type="spellEnd"/>
      <w:r>
        <w:t xml:space="preserve"> 2021 ka </w:t>
      </w:r>
      <w:proofErr w:type="spellStart"/>
      <w:r>
        <w:t>gjeneruar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hyra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45.500.155 €.</w:t>
      </w:r>
    </w:p>
    <w:p w14:paraId="0A19A3A0" w14:textId="77777777" w:rsidR="000E7BCB" w:rsidRDefault="000E7BCB"/>
    <w:p w14:paraId="14A6E9A0" w14:textId="77777777" w:rsidR="000E7BCB" w:rsidRDefault="00A620E4">
      <w:proofErr w:type="spellStart"/>
      <w:r>
        <w:lastRenderedPageBreak/>
        <w:t>Megjithë</w:t>
      </w:r>
      <w:proofErr w:type="spellEnd"/>
      <w:r>
        <w:t xml:space="preserve"> </w:t>
      </w:r>
      <w:proofErr w:type="spellStart"/>
      <w:r>
        <w:t>disa</w:t>
      </w:r>
      <w:proofErr w:type="spellEnd"/>
      <w:r>
        <w:t xml:space="preserve"> “</w:t>
      </w:r>
      <w:proofErr w:type="spellStart"/>
      <w:r>
        <w:t>storieve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suksesit</w:t>
      </w:r>
      <w:proofErr w:type="spellEnd"/>
      <w:r>
        <w:t xml:space="preserve">”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privatizimit</w:t>
      </w:r>
      <w:proofErr w:type="spellEnd"/>
      <w:r>
        <w:t xml:space="preserve">,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madhe</w:t>
      </w:r>
      <w:proofErr w:type="spellEnd"/>
      <w:r>
        <w:t xml:space="preserve"> e </w:t>
      </w:r>
      <w:proofErr w:type="spellStart"/>
      <w:r>
        <w:t>privatizimeve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përfunduar</w:t>
      </w:r>
      <w:proofErr w:type="spellEnd"/>
      <w:r>
        <w:t xml:space="preserve"> me </w:t>
      </w:r>
      <w:proofErr w:type="spellStart"/>
      <w:r>
        <w:t>likuidimin</w:t>
      </w:r>
      <w:proofErr w:type="spellEnd"/>
      <w:r>
        <w:t xml:space="preserve"> e </w:t>
      </w:r>
      <w:proofErr w:type="spellStart"/>
      <w:r>
        <w:t>ish</w:t>
      </w:r>
      <w:proofErr w:type="spellEnd"/>
      <w:r>
        <w:t>-NSH-</w:t>
      </w:r>
      <w:proofErr w:type="spellStart"/>
      <w:r>
        <w:t>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shitjen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mbetura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(</w:t>
      </w:r>
      <w:proofErr w:type="spellStart"/>
      <w:r>
        <w:t>objekteve</w:t>
      </w:r>
      <w:proofErr w:type="spellEnd"/>
      <w:r>
        <w:t xml:space="preserve">, </w:t>
      </w:r>
      <w:proofErr w:type="spellStart"/>
      <w:r>
        <w:t>patundshmërisë</w:t>
      </w:r>
      <w:proofErr w:type="spellEnd"/>
      <w:r>
        <w:t xml:space="preserve">, </w:t>
      </w:r>
      <w:proofErr w:type="spellStart"/>
      <w:r>
        <w:t>tokave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“</w:t>
      </w:r>
      <w:proofErr w:type="spellStart"/>
      <w:r>
        <w:t>skrap</w:t>
      </w:r>
      <w:proofErr w:type="spellEnd"/>
      <w:r>
        <w:t xml:space="preserve">”. Ky ka </w:t>
      </w:r>
      <w:proofErr w:type="spellStart"/>
      <w:r>
        <w:t>qenë</w:t>
      </w:r>
      <w:proofErr w:type="spellEnd"/>
      <w:r>
        <w:t xml:space="preserve"> </w:t>
      </w:r>
      <w:proofErr w:type="spellStart"/>
      <w:r>
        <w:t>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shumicës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NSH-</w:t>
      </w:r>
      <w:proofErr w:type="spellStart"/>
      <w:r>
        <w:t>ve</w:t>
      </w:r>
      <w:proofErr w:type="spellEnd"/>
      <w:r>
        <w:t xml:space="preserve"> (1.159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),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shkuar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likuidim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krahasim</w:t>
      </w:r>
      <w:proofErr w:type="spellEnd"/>
      <w:r>
        <w:t xml:space="preserve"> me 768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përfunduar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spin-off (</w:t>
      </w:r>
      <w:proofErr w:type="spellStart"/>
      <w:r>
        <w:t>dhe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e </w:t>
      </w:r>
      <w:proofErr w:type="spellStart"/>
      <w:r>
        <w:t>likuiduar</w:t>
      </w:r>
      <w:proofErr w:type="spellEnd"/>
      <w:r>
        <w:t xml:space="preserve"> pas </w:t>
      </w:r>
      <w:proofErr w:type="spellStart"/>
      <w:r>
        <w:t>privatizimit</w:t>
      </w:r>
      <w:proofErr w:type="spellEnd"/>
      <w:r>
        <w:t xml:space="preserve">). </w:t>
      </w:r>
      <w:proofErr w:type="spellStart"/>
      <w:r>
        <w:t>Gjithashtu</w:t>
      </w:r>
      <w:proofErr w:type="spellEnd"/>
      <w:r>
        <w:t xml:space="preserve">, </w:t>
      </w:r>
      <w:proofErr w:type="spellStart"/>
      <w:r>
        <w:t>procesi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privatizimit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shoqëruar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sërë</w:t>
      </w:r>
      <w:proofErr w:type="spellEnd"/>
      <w:r>
        <w:t xml:space="preserve"> </w:t>
      </w:r>
      <w:proofErr w:type="spellStart"/>
      <w:r>
        <w:t>rastesh</w:t>
      </w:r>
      <w:proofErr w:type="spellEnd"/>
      <w:r>
        <w:t xml:space="preserve"> me </w:t>
      </w:r>
      <w:proofErr w:type="spellStart"/>
      <w:r>
        <w:t>kritika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vlerën</w:t>
      </w:r>
      <w:proofErr w:type="spellEnd"/>
      <w:r>
        <w:t xml:space="preserve"> e </w:t>
      </w:r>
      <w:proofErr w:type="spellStart"/>
      <w:r>
        <w:t>ultë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shitjes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mosrespektimin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blerësit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spin-off-it,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zotimet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investime</w:t>
      </w:r>
      <w:proofErr w:type="spellEnd"/>
      <w:r>
        <w:t xml:space="preserve">, </w:t>
      </w:r>
      <w:proofErr w:type="spellStart"/>
      <w:r>
        <w:t>ruajtjes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nivelit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fushëveprimtarisë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ndërmarrjes</w:t>
      </w:r>
      <w:proofErr w:type="spellEnd"/>
      <w:r>
        <w:t xml:space="preserve">. Nga ana </w:t>
      </w:r>
      <w:proofErr w:type="spellStart"/>
      <w:r>
        <w:t>tjetër</w:t>
      </w:r>
      <w:proofErr w:type="spellEnd"/>
      <w:r>
        <w:t xml:space="preserve">, </w:t>
      </w:r>
      <w:proofErr w:type="spellStart"/>
      <w:r>
        <w:t>neglizhimi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NSH-</w:t>
      </w:r>
      <w:proofErr w:type="spellStart"/>
      <w:r>
        <w:t>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shteti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trajtimi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e </w:t>
      </w:r>
      <w:proofErr w:type="spellStart"/>
      <w:r>
        <w:t>kaluar</w:t>
      </w:r>
      <w:proofErr w:type="spellEnd"/>
      <w:r>
        <w:t xml:space="preserve"> jo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me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zhvillimor</w:t>
      </w:r>
      <w:proofErr w:type="spellEnd"/>
      <w:r>
        <w:t xml:space="preserve"> por </w:t>
      </w:r>
      <w:proofErr w:type="spellStart"/>
      <w:r>
        <w:t>si</w:t>
      </w:r>
      <w:proofErr w:type="spellEnd"/>
      <w:r>
        <w:t xml:space="preserve"> mall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shitje</w:t>
      </w:r>
      <w:proofErr w:type="spellEnd"/>
      <w:r>
        <w:t xml:space="preserve"> ka </w:t>
      </w:r>
      <w:proofErr w:type="spellStart"/>
      <w:r>
        <w:t>ndikuar</w:t>
      </w:r>
      <w:proofErr w:type="spellEnd"/>
      <w:r>
        <w:t xml:space="preserve"> </w:t>
      </w:r>
      <w:proofErr w:type="spellStart"/>
      <w:r>
        <w:t>dukshëm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mosvitalizimin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shkatërrimin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mëdha</w:t>
      </w:r>
      <w:proofErr w:type="spellEnd"/>
      <w:r>
        <w:t xml:space="preserve"> </w:t>
      </w:r>
      <w:proofErr w:type="spellStart"/>
      <w:r>
        <w:t>industriale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zinxhirëve</w:t>
      </w:r>
      <w:proofErr w:type="spellEnd"/>
      <w:r>
        <w:t xml:space="preserve"> </w:t>
      </w:r>
      <w:proofErr w:type="spellStart"/>
      <w:r>
        <w:t>prodhues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vendit</w:t>
      </w:r>
      <w:proofErr w:type="spellEnd"/>
      <w:r>
        <w:t xml:space="preserve">, me </w:t>
      </w:r>
      <w:proofErr w:type="spellStart"/>
      <w:r>
        <w:t>ndikime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dukshme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nivelin</w:t>
      </w:r>
      <w:proofErr w:type="spellEnd"/>
      <w:r>
        <w:t xml:space="preserve"> e </w:t>
      </w:r>
      <w:proofErr w:type="spellStart"/>
      <w:r>
        <w:t>punësimit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krijimin</w:t>
      </w:r>
      <w:proofErr w:type="spellEnd"/>
      <w:r>
        <w:t xml:space="preserve"> e </w:t>
      </w:r>
      <w:proofErr w:type="spellStart"/>
      <w:r>
        <w:t>varshmërisë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madhe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importe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ndikim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thellimin</w:t>
      </w:r>
      <w:proofErr w:type="spellEnd"/>
      <w:r>
        <w:t xml:space="preserve"> e </w:t>
      </w:r>
      <w:proofErr w:type="spellStart"/>
      <w:r>
        <w:t>bilansit</w:t>
      </w:r>
      <w:proofErr w:type="spellEnd"/>
      <w:r>
        <w:t xml:space="preserve"> </w:t>
      </w:r>
      <w:proofErr w:type="spellStart"/>
      <w:r>
        <w:t>negativ</w:t>
      </w:r>
      <w:proofErr w:type="spellEnd"/>
      <w:r>
        <w:t xml:space="preserve"> </w:t>
      </w:r>
      <w:proofErr w:type="spellStart"/>
      <w:r>
        <w:t>tregtar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me </w:t>
      </w:r>
      <w:proofErr w:type="spellStart"/>
      <w:r>
        <w:t>ekonomitë</w:t>
      </w:r>
      <w:proofErr w:type="spellEnd"/>
      <w:r>
        <w:t xml:space="preserve"> e </w:t>
      </w:r>
      <w:proofErr w:type="spellStart"/>
      <w:r>
        <w:t>zhvilluara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ato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rajonit</w:t>
      </w:r>
      <w:proofErr w:type="spellEnd"/>
      <w:r>
        <w:t xml:space="preserve">. Po </w:t>
      </w:r>
      <w:proofErr w:type="spellStart"/>
      <w:r>
        <w:t>ashtu</w:t>
      </w:r>
      <w:proofErr w:type="spellEnd"/>
      <w:r>
        <w:t xml:space="preserve">, pas </w:t>
      </w:r>
      <w:proofErr w:type="spellStart"/>
      <w:r>
        <w:t>gati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dekadash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politikave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privatizimit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vënë</w:t>
      </w:r>
      <w:proofErr w:type="spellEnd"/>
      <w:r>
        <w:t xml:space="preserve"> re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lloj</w:t>
      </w:r>
      <w:proofErr w:type="spellEnd"/>
      <w:r>
        <w:t xml:space="preserve"> </w:t>
      </w:r>
      <w:proofErr w:type="spellStart"/>
      <w:r>
        <w:t>kulmimi</w:t>
      </w:r>
      <w:proofErr w:type="spellEnd"/>
      <w:r>
        <w:t xml:space="preserve"> </w:t>
      </w:r>
      <w:proofErr w:type="spellStart"/>
      <w:r>
        <w:t>natyror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procesit</w:t>
      </w:r>
      <w:proofErr w:type="spellEnd"/>
      <w:r>
        <w:t xml:space="preserve">, duke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se </w:t>
      </w:r>
      <w:proofErr w:type="spellStart"/>
      <w:r>
        <w:t>asetet</w:t>
      </w:r>
      <w:proofErr w:type="spellEnd"/>
      <w:r>
        <w:t xml:space="preserve"> e </w:t>
      </w:r>
      <w:proofErr w:type="spellStart"/>
      <w:r>
        <w:t>mbetura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gjithnjë</w:t>
      </w:r>
      <w:proofErr w:type="spellEnd"/>
      <w:r>
        <w:t xml:space="preserve"> e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atraktive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investitorët</w:t>
      </w:r>
      <w:proofErr w:type="spellEnd"/>
      <w:r>
        <w:t xml:space="preserve">, </w:t>
      </w:r>
      <w:proofErr w:type="spellStart"/>
      <w:r>
        <w:t>ndërsa</w:t>
      </w:r>
      <w:proofErr w:type="spellEnd"/>
      <w:r>
        <w:t xml:space="preserve"> </w:t>
      </w:r>
      <w:proofErr w:type="spellStart"/>
      <w:r>
        <w:t>rrethanat</w:t>
      </w:r>
      <w:proofErr w:type="spellEnd"/>
      <w:r>
        <w:t xml:space="preserve"> e </w:t>
      </w:r>
      <w:proofErr w:type="spellStart"/>
      <w:r>
        <w:t>ndryshuara</w:t>
      </w:r>
      <w:proofErr w:type="spellEnd"/>
      <w:r>
        <w:t xml:space="preserve"> </w:t>
      </w:r>
      <w:proofErr w:type="spellStart"/>
      <w:r>
        <w:t>ekonomike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rajon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botë</w:t>
      </w:r>
      <w:proofErr w:type="spellEnd"/>
      <w:r>
        <w:t xml:space="preserve"> pas </w:t>
      </w:r>
      <w:proofErr w:type="spellStart"/>
      <w:r>
        <w:t>krizës</w:t>
      </w:r>
      <w:proofErr w:type="spellEnd"/>
      <w:r>
        <w:t xml:space="preserve"> Covid-19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krijuar</w:t>
      </w:r>
      <w:proofErr w:type="spellEnd"/>
      <w:r>
        <w:t xml:space="preserve"> </w:t>
      </w:r>
      <w:proofErr w:type="spellStart"/>
      <w:r>
        <w:t>oportunitete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zhvillim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>.</w:t>
      </w:r>
    </w:p>
    <w:p w14:paraId="625D50F3" w14:textId="77777777" w:rsidR="000E7BCB" w:rsidRDefault="000E7BCB"/>
    <w:p w14:paraId="30F77277" w14:textId="77777777" w:rsidR="000E7BCB" w:rsidRDefault="00A620E4">
      <w:proofErr w:type="spellStart"/>
      <w:r>
        <w:t>Sipas</w:t>
      </w:r>
      <w:proofErr w:type="spellEnd"/>
      <w:r>
        <w:t xml:space="preserve"> </w:t>
      </w:r>
      <w:proofErr w:type="spellStart"/>
      <w:r>
        <w:t>synimeve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Programin</w:t>
      </w:r>
      <w:proofErr w:type="spellEnd"/>
      <w:r>
        <w:t xml:space="preserve"> e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2021-25, me </w:t>
      </w:r>
      <w:proofErr w:type="spellStart"/>
      <w:r>
        <w:t>Vendimin</w:t>
      </w:r>
      <w:proofErr w:type="spellEnd"/>
      <w:r>
        <w:t xml:space="preserve"> e </w:t>
      </w:r>
      <w:proofErr w:type="spellStart"/>
      <w:r>
        <w:t>Qeverisë</w:t>
      </w:r>
      <w:proofErr w:type="spellEnd"/>
      <w:r>
        <w:t xml:space="preserve"> Nr. 06/36 </w:t>
      </w:r>
      <w:proofErr w:type="spellStart"/>
      <w:r>
        <w:t>të</w:t>
      </w:r>
      <w:proofErr w:type="spellEnd"/>
      <w:r>
        <w:t xml:space="preserve"> dt. 22.09.2021 </w:t>
      </w:r>
      <w:proofErr w:type="spellStart"/>
      <w:r>
        <w:t>Qeveria</w:t>
      </w:r>
      <w:proofErr w:type="spellEnd"/>
      <w:r>
        <w:t xml:space="preserve"> ka </w:t>
      </w:r>
      <w:proofErr w:type="spellStart"/>
      <w:r>
        <w:t>themeluar</w:t>
      </w:r>
      <w:proofErr w:type="spellEnd"/>
      <w:r>
        <w:t xml:space="preserve"> </w:t>
      </w:r>
      <w:proofErr w:type="spellStart"/>
      <w:r>
        <w:t>Komisionin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Sovran. </w:t>
      </w:r>
      <w:proofErr w:type="spellStart"/>
      <w:r>
        <w:t>Komisioni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fjalë</w:t>
      </w:r>
      <w:proofErr w:type="spellEnd"/>
      <w:r>
        <w:t xml:space="preserve">, me </w:t>
      </w:r>
      <w:proofErr w:type="spellStart"/>
      <w:r>
        <w:t>Vendimin</w:t>
      </w:r>
      <w:proofErr w:type="spellEnd"/>
      <w:r>
        <w:t xml:space="preserve"> e dt. 01.10.2021, ka </w:t>
      </w:r>
      <w:proofErr w:type="spellStart"/>
      <w:r>
        <w:t>formuar</w:t>
      </w:r>
      <w:proofErr w:type="spellEnd"/>
      <w:r>
        <w:t xml:space="preserve"> </w:t>
      </w:r>
      <w:proofErr w:type="spellStart"/>
      <w:r>
        <w:t>Grupin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me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konstatojë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shqyrtojë</w:t>
      </w:r>
      <w:proofErr w:type="spellEnd"/>
      <w:r>
        <w:t xml:space="preserve"> </w:t>
      </w:r>
      <w:proofErr w:type="spellStart"/>
      <w:r>
        <w:t>gjendjen</w:t>
      </w:r>
      <w:proofErr w:type="spellEnd"/>
      <w:r>
        <w:t xml:space="preserve"> </w:t>
      </w:r>
      <w:proofErr w:type="spellStart"/>
      <w:r>
        <w:t>ekzistuese</w:t>
      </w:r>
      <w:proofErr w:type="spellEnd"/>
      <w:r>
        <w:t xml:space="preserve"> </w:t>
      </w:r>
      <w:proofErr w:type="spellStart"/>
      <w:r>
        <w:t>institucionale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vlerësojë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propozojë</w:t>
      </w:r>
      <w:proofErr w:type="spellEnd"/>
      <w:r>
        <w:t xml:space="preserve">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hapat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ndërmarrë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me </w:t>
      </w:r>
      <w:proofErr w:type="spellStart"/>
      <w:r>
        <w:t>ndryshimet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strategjinë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ndjekur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Sovran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(FSRK).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, </w:t>
      </w:r>
      <w:proofErr w:type="spellStart"/>
      <w:r>
        <w:t>themelimi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FSRK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adresojë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përmbajtësore</w:t>
      </w:r>
      <w:proofErr w:type="spellEnd"/>
      <w:r>
        <w:t xml:space="preserve"> </w:t>
      </w:r>
      <w:proofErr w:type="spellStart"/>
      <w:r>
        <w:t>problemet</w:t>
      </w:r>
      <w:proofErr w:type="spellEnd"/>
      <w:r>
        <w:t xml:space="preserve"> e </w:t>
      </w:r>
      <w:proofErr w:type="spellStart"/>
      <w:r>
        <w:t>ravijezuara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sipër</w:t>
      </w:r>
      <w:proofErr w:type="spellEnd"/>
      <w:r>
        <w:t xml:space="preserve">, duke </w:t>
      </w:r>
      <w:proofErr w:type="spellStart"/>
      <w:r>
        <w:t>reformuar</w:t>
      </w:r>
      <w:proofErr w:type="spellEnd"/>
      <w:r>
        <w:t xml:space="preserve"> </w:t>
      </w:r>
      <w:proofErr w:type="spellStart"/>
      <w:r>
        <w:t>thelbësisht</w:t>
      </w:r>
      <w:proofErr w:type="spellEnd"/>
      <w:r>
        <w:t xml:space="preserve"> </w:t>
      </w:r>
      <w:proofErr w:type="spellStart"/>
      <w:r>
        <w:t>kuadrin</w:t>
      </w:r>
      <w:proofErr w:type="spellEnd"/>
      <w:r>
        <w:t xml:space="preserve"> </w:t>
      </w:r>
      <w:proofErr w:type="spellStart"/>
      <w:r>
        <w:t>ligjor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institucional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cilit</w:t>
      </w:r>
      <w:proofErr w:type="spellEnd"/>
      <w:r>
        <w:t xml:space="preserve"> </w:t>
      </w:r>
      <w:proofErr w:type="spellStart"/>
      <w:r>
        <w:t>funksionojnë</w:t>
      </w:r>
      <w:proofErr w:type="spellEnd"/>
      <w:r>
        <w:t xml:space="preserve"> NP-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segment </w:t>
      </w:r>
      <w:proofErr w:type="spellStart"/>
      <w:r>
        <w:t>i</w:t>
      </w:r>
      <w:proofErr w:type="spellEnd"/>
      <w:r>
        <w:t xml:space="preserve"> </w:t>
      </w:r>
      <w:proofErr w:type="spellStart"/>
      <w:r>
        <w:t>caktuar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ish</w:t>
      </w:r>
      <w:proofErr w:type="spellEnd"/>
      <w:r>
        <w:t>-NSH-</w:t>
      </w:r>
      <w:proofErr w:type="spellStart"/>
      <w:r>
        <w:t>ve</w:t>
      </w:r>
      <w:proofErr w:type="spellEnd"/>
      <w:r>
        <w:t xml:space="preserve">.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vlerësimeve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, FSRK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adresojë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drejtëpërdrejtë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çështje</w:t>
      </w:r>
      <w:proofErr w:type="spellEnd"/>
      <w:r>
        <w:t>:</w:t>
      </w:r>
    </w:p>
    <w:p w14:paraId="1FEF0032" w14:textId="77777777" w:rsidR="000E7BCB" w:rsidRDefault="000E7BCB"/>
    <w:p w14:paraId="2EE74426" w14:textId="77777777" w:rsidR="000E7BCB" w:rsidRDefault="00A620E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Caktimi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strategjisë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afatgjate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sektorit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NP-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aktivitetet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konkurrente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komerciale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racionalitetit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qëllim</w:t>
      </w:r>
      <w:proofErr w:type="spellEnd"/>
      <w:r>
        <w:rPr>
          <w:color w:val="000000"/>
        </w:rPr>
        <w:t xml:space="preserve"> ka </w:t>
      </w:r>
      <w:proofErr w:type="spellStart"/>
      <w:r>
        <w:rPr>
          <w:color w:val="000000"/>
        </w:rPr>
        <w:t>rritjen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profitabilitetit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riinvestimin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rritjen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afatgjatë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vlerës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pronësi</w:t>
      </w:r>
      <w:proofErr w:type="spellEnd"/>
      <w:r>
        <w:rPr>
          <w:color w:val="000000"/>
        </w:rPr>
        <w:t>.</w:t>
      </w:r>
    </w:p>
    <w:p w14:paraId="792E324E" w14:textId="77777777" w:rsidR="000E7BCB" w:rsidRDefault="00A620E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Orientimi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NP-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drejt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mbështetjes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qëllimeve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afatgjata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zhvillimore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ekonominë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rritja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punësimit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rritja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efiçiencës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produktivitetit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dekarbonizimi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zhvillim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ekuitabël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shoqëror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avansimi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shkathtësive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teknologjisë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raport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trendet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globale</w:t>
      </w:r>
      <w:proofErr w:type="spellEnd"/>
      <w:r>
        <w:rPr>
          <w:color w:val="000000"/>
        </w:rPr>
        <w:t>.</w:t>
      </w:r>
    </w:p>
    <w:p w14:paraId="7C4CC5A1" w14:textId="77777777" w:rsidR="000E7BCB" w:rsidRDefault="00A620E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lastRenderedPageBreak/>
        <w:t>Ndërtimin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mekanizmit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Republikën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ushtrimin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drejtave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aksionarit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përfaqësimit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raport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ndërmarrjet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investimet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sektorale</w:t>
      </w:r>
      <w:proofErr w:type="spellEnd"/>
      <w:r>
        <w:rPr>
          <w:color w:val="000000"/>
        </w:rPr>
        <w:t>.</w:t>
      </w:r>
    </w:p>
    <w:p w14:paraId="2846B5E3" w14:textId="77777777" w:rsidR="000E7BCB" w:rsidRDefault="00A620E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Zgjerimi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qasjes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NP-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burime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kapitalit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përfshirë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investitorëve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brendshëm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jashtëm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tregjeve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ndërkombëtare</w:t>
      </w:r>
      <w:proofErr w:type="spellEnd"/>
      <w:r>
        <w:rPr>
          <w:color w:val="000000"/>
        </w:rPr>
        <w:t>.</w:t>
      </w:r>
    </w:p>
    <w:p w14:paraId="3BBC9DCE" w14:textId="77777777" w:rsidR="000E7BCB" w:rsidRDefault="00A620E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Rritjes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përgjithshme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konkurrueshmërisë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NP-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sektori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komercial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vlera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aseteve</w:t>
      </w:r>
      <w:proofErr w:type="spellEnd"/>
      <w:r>
        <w:rPr>
          <w:color w:val="000000"/>
        </w:rPr>
        <w:t>.</w:t>
      </w:r>
    </w:p>
    <w:p w14:paraId="4DFEC798" w14:textId="77777777" w:rsidR="000E7BCB" w:rsidRDefault="000E7BCB"/>
    <w:p w14:paraId="423BF14E" w14:textId="77777777" w:rsidR="000E7BCB" w:rsidRDefault="00A620E4">
      <w:proofErr w:type="spellStart"/>
      <w:r>
        <w:t>Sipas</w:t>
      </w:r>
      <w:proofErr w:type="spellEnd"/>
      <w:r>
        <w:t xml:space="preserve"> </w:t>
      </w:r>
      <w:proofErr w:type="spellStart"/>
      <w:r>
        <w:t>vlerësimëve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arritjen</w:t>
      </w:r>
      <w:proofErr w:type="spellEnd"/>
      <w:r>
        <w:t xml:space="preserve"> e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objektivave</w:t>
      </w:r>
      <w:proofErr w:type="spellEnd"/>
      <w:r>
        <w:t xml:space="preserve">,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propozohet</w:t>
      </w:r>
      <w:proofErr w:type="spellEnd"/>
      <w:r>
        <w:t xml:space="preserve"> </w:t>
      </w:r>
      <w:proofErr w:type="spellStart"/>
      <w:r>
        <w:t>hartimi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kornize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re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krijon</w:t>
      </w:r>
      <w:proofErr w:type="spellEnd"/>
      <w:r>
        <w:t xml:space="preserve"> </w:t>
      </w:r>
      <w:proofErr w:type="spellStart"/>
      <w:r>
        <w:t>kuadrin</w:t>
      </w:r>
      <w:proofErr w:type="spellEnd"/>
      <w:r>
        <w:t xml:space="preserve"> </w:t>
      </w:r>
      <w:proofErr w:type="spellStart"/>
      <w:r>
        <w:t>institucional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FSRK, duke </w:t>
      </w:r>
      <w:proofErr w:type="spellStart"/>
      <w:r>
        <w:t>transformuar</w:t>
      </w:r>
      <w:proofErr w:type="spellEnd"/>
      <w:r>
        <w:t xml:space="preserve"> </w:t>
      </w:r>
      <w:proofErr w:type="spellStart"/>
      <w:r>
        <w:t>qasjen</w:t>
      </w:r>
      <w:proofErr w:type="spellEnd"/>
      <w:r>
        <w:t xml:space="preserve"> e </w:t>
      </w:r>
      <w:proofErr w:type="spellStart"/>
      <w:r>
        <w:t>deritanishme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sektorit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NP-</w:t>
      </w:r>
      <w:proofErr w:type="spellStart"/>
      <w:r>
        <w:t>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duke </w:t>
      </w:r>
      <w:proofErr w:type="spellStart"/>
      <w:r>
        <w:t>krijuar</w:t>
      </w:r>
      <w:proofErr w:type="spellEnd"/>
      <w:r>
        <w:t xml:space="preserve"> </w:t>
      </w:r>
      <w:proofErr w:type="spellStart"/>
      <w:r>
        <w:t>kushte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mënjanimin</w:t>
      </w:r>
      <w:proofErr w:type="spellEnd"/>
      <w:r>
        <w:t xml:space="preserve"> e </w:t>
      </w:r>
      <w:proofErr w:type="spellStart"/>
      <w:r>
        <w:t>problemeve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përshkruara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sipër</w:t>
      </w:r>
      <w:proofErr w:type="spellEnd"/>
      <w:r>
        <w:t>.</w:t>
      </w:r>
    </w:p>
    <w:p w14:paraId="10A50412" w14:textId="77777777" w:rsidR="000E7BCB" w:rsidRDefault="000E7BCB"/>
    <w:p w14:paraId="2599EC00" w14:textId="77777777" w:rsidR="000E7BCB" w:rsidRDefault="00A620E4">
      <w:proofErr w:type="spellStart"/>
      <w:r>
        <w:t>Ndonëse</w:t>
      </w:r>
      <w:proofErr w:type="spellEnd"/>
      <w:r>
        <w:t xml:space="preserve"> </w:t>
      </w:r>
      <w:proofErr w:type="spellStart"/>
      <w:r>
        <w:t>Komisioni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ka </w:t>
      </w:r>
      <w:proofErr w:type="spellStart"/>
      <w:r>
        <w:t>vendosur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cak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FSRK, ai </w:t>
      </w:r>
      <w:proofErr w:type="spellStart"/>
      <w:r>
        <w:t>dhe</w:t>
      </w:r>
      <w:proofErr w:type="spellEnd"/>
      <w:r>
        <w:t xml:space="preserve"> as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Qeveritar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fiksuar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model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dezajnimin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organizimit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funksioneve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.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ka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përsipër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bëjë</w:t>
      </w:r>
      <w:proofErr w:type="spellEnd"/>
      <w:r>
        <w:t xml:space="preserve"> </w:t>
      </w:r>
      <w:proofErr w:type="spellStart"/>
      <w:r>
        <w:t>studimin</w:t>
      </w:r>
      <w:proofErr w:type="spellEnd"/>
      <w:r>
        <w:t xml:space="preserve"> e </w:t>
      </w:r>
      <w:proofErr w:type="spellStart"/>
      <w:r>
        <w:t>modeleve</w:t>
      </w:r>
      <w:proofErr w:type="spellEnd"/>
      <w:r>
        <w:t xml:space="preserve"> </w:t>
      </w:r>
      <w:proofErr w:type="spellStart"/>
      <w:r>
        <w:t>krahasuese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ndërtuar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koncept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veçantë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FSRK. Ky </w:t>
      </w:r>
      <w:proofErr w:type="spellStart"/>
      <w:r>
        <w:t>koncept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ndërtuar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rasteve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sukesshme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fondeve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 e </w:t>
      </w:r>
      <w:proofErr w:type="spellStart"/>
      <w:r>
        <w:t>sovrane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nevojave</w:t>
      </w:r>
      <w:proofErr w:type="spellEnd"/>
      <w:r>
        <w:t xml:space="preserve"> </w:t>
      </w:r>
      <w:proofErr w:type="spellStart"/>
      <w:r>
        <w:t>specifike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orientim</w:t>
      </w:r>
      <w:proofErr w:type="spellEnd"/>
      <w:r>
        <w:t xml:space="preserve"> </w:t>
      </w:r>
      <w:proofErr w:type="spellStart"/>
      <w:r>
        <w:t>strategjik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ekonomisë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qeverisje</w:t>
      </w:r>
      <w:proofErr w:type="spellEnd"/>
      <w:r>
        <w:t xml:space="preserve"> </w:t>
      </w:r>
      <w:proofErr w:type="spellStart"/>
      <w:r>
        <w:t>efektive</w:t>
      </w:r>
      <w:proofErr w:type="spellEnd"/>
      <w:r>
        <w:t xml:space="preserve"> </w:t>
      </w:r>
      <w:proofErr w:type="spellStart"/>
      <w:r>
        <w:t>drejt</w:t>
      </w:r>
      <w:proofErr w:type="spellEnd"/>
      <w:r>
        <w:t xml:space="preserve"> </w:t>
      </w:r>
      <w:proofErr w:type="spellStart"/>
      <w:r>
        <w:t>arritjes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objektivave</w:t>
      </w:r>
      <w:proofErr w:type="spellEnd"/>
      <w:r>
        <w:t xml:space="preserve"> </w:t>
      </w:r>
      <w:proofErr w:type="spellStart"/>
      <w:r>
        <w:t>zhvillimore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praktikave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institucionale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>.</w:t>
      </w:r>
    </w:p>
    <w:p w14:paraId="1CFF7E17" w14:textId="77777777" w:rsidR="000E7BCB" w:rsidRDefault="000E7BCB"/>
    <w:p w14:paraId="1094F3C7" w14:textId="77777777" w:rsidR="000E7BCB" w:rsidRDefault="00A620E4"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 xml:space="preserve">, </w:t>
      </w:r>
      <w:proofErr w:type="spellStart"/>
      <w:r>
        <w:t>ky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paraqet</w:t>
      </w:r>
      <w:proofErr w:type="spellEnd"/>
      <w:r>
        <w:t xml:space="preserve"> </w:t>
      </w:r>
      <w:proofErr w:type="spellStart"/>
      <w:r>
        <w:t>modelet</w:t>
      </w:r>
      <w:proofErr w:type="spellEnd"/>
      <w:r>
        <w:t xml:space="preserve"> e </w:t>
      </w:r>
      <w:proofErr w:type="spellStart"/>
      <w:r>
        <w:t>fondeve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sovrane</w:t>
      </w:r>
      <w:proofErr w:type="spellEnd"/>
      <w:r>
        <w:t xml:space="preserve"> </w:t>
      </w:r>
      <w:proofErr w:type="spellStart"/>
      <w:r>
        <w:t>investive</w:t>
      </w:r>
      <w:proofErr w:type="spellEnd"/>
      <w:r>
        <w:t xml:space="preserve">, </w:t>
      </w:r>
      <w:proofErr w:type="spellStart"/>
      <w:r>
        <w:t>përkufizimin</w:t>
      </w:r>
      <w:proofErr w:type="spellEnd"/>
      <w:r>
        <w:t xml:space="preserve"> e </w:t>
      </w:r>
      <w:proofErr w:type="spellStart"/>
      <w:r>
        <w:t>formave</w:t>
      </w:r>
      <w:proofErr w:type="spellEnd"/>
      <w:r>
        <w:t xml:space="preserve">, </w:t>
      </w:r>
      <w:proofErr w:type="spellStart"/>
      <w:r>
        <w:t>qëllimeve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strukturës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, </w:t>
      </w:r>
      <w:proofErr w:type="spellStart"/>
      <w:r>
        <w:t>kornizën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ndikimet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, </w:t>
      </w:r>
      <w:proofErr w:type="spellStart"/>
      <w:r>
        <w:t>metodologjinë</w:t>
      </w:r>
      <w:proofErr w:type="spellEnd"/>
      <w:r>
        <w:t xml:space="preserve"> e </w:t>
      </w:r>
      <w:proofErr w:type="spellStart"/>
      <w:r>
        <w:t>zbatimit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opsionet</w:t>
      </w:r>
      <w:proofErr w:type="spellEnd"/>
      <w:r>
        <w:t xml:space="preserve"> </w:t>
      </w:r>
      <w:proofErr w:type="spellStart"/>
      <w:r>
        <w:t>bashkë</w:t>
      </w:r>
      <w:proofErr w:type="spellEnd"/>
      <w:r>
        <w:t xml:space="preserve"> me </w:t>
      </w:r>
      <w:proofErr w:type="spellStart"/>
      <w:r>
        <w:t>rekomandimet</w:t>
      </w:r>
      <w:proofErr w:type="spellEnd"/>
      <w:r>
        <w:t xml:space="preserve"> e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Punues</w:t>
      </w:r>
      <w:proofErr w:type="spellEnd"/>
      <w:r>
        <w:t>.</w:t>
      </w:r>
    </w:p>
    <w:p w14:paraId="3D58CE58" w14:textId="77777777" w:rsidR="000E7BCB" w:rsidRDefault="000E7BCB"/>
    <w:p w14:paraId="12F0D087" w14:textId="77777777" w:rsidR="000E7BCB" w:rsidRDefault="00A620E4">
      <w:proofErr w:type="spellStart"/>
      <w:r>
        <w:t>Për</w:t>
      </w:r>
      <w:proofErr w:type="spellEnd"/>
      <w:r>
        <w:t xml:space="preserve"> </w:t>
      </w:r>
      <w:proofErr w:type="spellStart"/>
      <w:r>
        <w:t>hartimin</w:t>
      </w:r>
      <w:proofErr w:type="spellEnd"/>
      <w:r>
        <w:t xml:space="preserve"> e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,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konsultuar</w:t>
      </w:r>
      <w:proofErr w:type="spellEnd"/>
      <w:r>
        <w:t xml:space="preserve"> me </w:t>
      </w:r>
      <w:proofErr w:type="spellStart"/>
      <w:r>
        <w:t>palë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interesuara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hisenikë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: </w:t>
      </w:r>
      <w:proofErr w:type="spellStart"/>
      <w:r>
        <w:t>zyrtarë</w:t>
      </w:r>
      <w:proofErr w:type="spellEnd"/>
      <w:r>
        <w:t xml:space="preserve"> </w:t>
      </w:r>
      <w:proofErr w:type="spellStart"/>
      <w:r>
        <w:t>relevantë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Ekonomisë</w:t>
      </w:r>
      <w:proofErr w:type="spellEnd"/>
      <w:r>
        <w:t xml:space="preserve">, </w:t>
      </w:r>
      <w:proofErr w:type="spellStart"/>
      <w:r>
        <w:t>zyrtarë</w:t>
      </w:r>
      <w:proofErr w:type="spellEnd"/>
      <w:r>
        <w:t xml:space="preserve"> </w:t>
      </w:r>
      <w:proofErr w:type="spellStart"/>
      <w:r>
        <w:t>relevantë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Financave</w:t>
      </w:r>
      <w:proofErr w:type="spellEnd"/>
      <w:r>
        <w:t xml:space="preserve">, </w:t>
      </w:r>
      <w:proofErr w:type="spellStart"/>
      <w:r>
        <w:t>zyrtarë</w:t>
      </w:r>
      <w:proofErr w:type="spellEnd"/>
      <w:r>
        <w:t xml:space="preserve"> </w:t>
      </w:r>
      <w:proofErr w:type="spellStart"/>
      <w:r>
        <w:t>relevantë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Zyrës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Kryeministrit</w:t>
      </w:r>
      <w:proofErr w:type="spellEnd"/>
      <w:r>
        <w:t xml:space="preserve">, </w:t>
      </w:r>
      <w:proofErr w:type="spellStart"/>
      <w:r>
        <w:t>bordin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zyrtarët</w:t>
      </w:r>
      <w:proofErr w:type="spellEnd"/>
      <w:r>
        <w:t xml:space="preserve"> e AKP-</w:t>
      </w:r>
      <w:proofErr w:type="spellStart"/>
      <w:r>
        <w:t>së</w:t>
      </w:r>
      <w:proofErr w:type="spellEnd"/>
      <w:r>
        <w:t xml:space="preserve">, </w:t>
      </w:r>
      <w:proofErr w:type="spellStart"/>
      <w:r>
        <w:t>përfaqësues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zhvillimore</w:t>
      </w:r>
      <w:proofErr w:type="spellEnd"/>
      <w:r>
        <w:t xml:space="preserve"> (</w:t>
      </w:r>
      <w:proofErr w:type="spellStart"/>
      <w:r>
        <w:t>përfshirë</w:t>
      </w:r>
      <w:proofErr w:type="spellEnd"/>
      <w:r>
        <w:t xml:space="preserve"> Banka </w:t>
      </w:r>
      <w:proofErr w:type="spellStart"/>
      <w:r>
        <w:t>Botërore</w:t>
      </w:r>
      <w:proofErr w:type="spellEnd"/>
      <w:r>
        <w:t xml:space="preserve">,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Monetar</w:t>
      </w:r>
      <w:proofErr w:type="spellEnd"/>
      <w:r>
        <w:t xml:space="preserve"> </w:t>
      </w:r>
      <w:proofErr w:type="spellStart"/>
      <w:r>
        <w:t>Ndërkombëtar</w:t>
      </w:r>
      <w:proofErr w:type="spellEnd"/>
      <w:r>
        <w:t xml:space="preserve">, EBRD, </w:t>
      </w:r>
      <w:proofErr w:type="spellStart"/>
      <w:r>
        <w:t>KfW</w:t>
      </w:r>
      <w:proofErr w:type="spellEnd"/>
      <w:r>
        <w:t xml:space="preserve">, </w:t>
      </w:r>
      <w:proofErr w:type="spellStart"/>
      <w:r>
        <w:t>Ambasada</w:t>
      </w:r>
      <w:proofErr w:type="spellEnd"/>
      <w:r>
        <w:t xml:space="preserve"> </w:t>
      </w:r>
      <w:proofErr w:type="spellStart"/>
      <w:r>
        <w:t>Norvegjeze</w:t>
      </w:r>
      <w:proofErr w:type="spellEnd"/>
      <w:r>
        <w:t xml:space="preserve">, </w:t>
      </w:r>
      <w:proofErr w:type="spellStart"/>
      <w:r>
        <w:t>Ambasada</w:t>
      </w:r>
      <w:proofErr w:type="spellEnd"/>
      <w:r>
        <w:t xml:space="preserve"> </w:t>
      </w:r>
      <w:proofErr w:type="spellStart"/>
      <w:r>
        <w:t>Suedeze</w:t>
      </w:r>
      <w:proofErr w:type="spellEnd"/>
      <w:r>
        <w:t xml:space="preserve">, Friedrich Ebert Stiftung </w:t>
      </w:r>
      <w:proofErr w:type="spellStart"/>
      <w:r>
        <w:t>etj</w:t>
      </w:r>
      <w:proofErr w:type="spellEnd"/>
      <w:r>
        <w:t xml:space="preserve">.), </w:t>
      </w:r>
      <w:proofErr w:type="spellStart"/>
      <w:r>
        <w:t>anëtarë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ish-anëtarë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NP-</w:t>
      </w:r>
      <w:proofErr w:type="spellStart"/>
      <w:r>
        <w:t>ve</w:t>
      </w:r>
      <w:proofErr w:type="spellEnd"/>
      <w:r>
        <w:t xml:space="preserve">, </w:t>
      </w:r>
      <w:proofErr w:type="spellStart"/>
      <w:r>
        <w:t>përfaqësues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shoqatave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biznesit</w:t>
      </w:r>
      <w:proofErr w:type="spellEnd"/>
      <w:r>
        <w:t xml:space="preserve">, </w:t>
      </w:r>
      <w:proofErr w:type="spellStart"/>
      <w:r>
        <w:t>ekspertë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pavarur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vend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tjerë</w:t>
      </w:r>
      <w:proofErr w:type="spellEnd"/>
      <w:r>
        <w:t>.</w:t>
      </w:r>
      <w:r>
        <w:br w:type="page"/>
      </w:r>
    </w:p>
    <w:p w14:paraId="3B7C7441" w14:textId="77777777" w:rsidR="000E7BCB" w:rsidRDefault="00A620E4">
      <w:pPr>
        <w:pStyle w:val="Heading1"/>
      </w:pPr>
      <w:bookmarkStart w:id="3" w:name="_Toc93312366"/>
      <w:r>
        <w:lastRenderedPageBreak/>
        <w:t>KAPITULLI 2. PËRSHKRIM I FONDEVE TË PASURISË SOVRANE DHE KRAHASIM I DISA MODELEVE RELEVANTE</w:t>
      </w:r>
      <w:bookmarkEnd w:id="3"/>
    </w:p>
    <w:p w14:paraId="3084B7B5" w14:textId="77777777" w:rsidR="000E7BCB" w:rsidRDefault="000E7BCB"/>
    <w:p w14:paraId="6E886947" w14:textId="77777777" w:rsidR="000E7BCB" w:rsidRDefault="00A620E4">
      <w:pPr>
        <w:pStyle w:val="Heading2"/>
        <w:numPr>
          <w:ilvl w:val="1"/>
          <w:numId w:val="4"/>
        </w:numPr>
      </w:pPr>
      <w:bookmarkStart w:id="4" w:name="_Toc93312367"/>
      <w:r>
        <w:t>PËRKUFIZIMI</w:t>
      </w:r>
      <w:bookmarkEnd w:id="4"/>
    </w:p>
    <w:p w14:paraId="023BB06C" w14:textId="77777777" w:rsidR="000E7BCB" w:rsidRDefault="000E7BCB"/>
    <w:p w14:paraId="46EBDACD" w14:textId="77777777" w:rsidR="000E7BCB" w:rsidRDefault="00A620E4">
      <w:proofErr w:type="spellStart"/>
      <w:r>
        <w:t>Përgjatë</w:t>
      </w:r>
      <w:proofErr w:type="spellEnd"/>
      <w:r>
        <w:t xml:space="preserve"> </w:t>
      </w:r>
      <w:proofErr w:type="spellStart"/>
      <w:r>
        <w:t>historikut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vendeve</w:t>
      </w:r>
      <w:proofErr w:type="spellEnd"/>
      <w:r>
        <w:t xml:space="preserve">,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hasen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, </w:t>
      </w:r>
      <w:proofErr w:type="spellStart"/>
      <w:r>
        <w:t>instrumente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institucione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përdorur</w:t>
      </w:r>
      <w:proofErr w:type="spellEnd"/>
      <w:r>
        <w:t xml:space="preserve">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rrijes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.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ndër</w:t>
      </w:r>
      <w:proofErr w:type="spellEnd"/>
      <w:r>
        <w:t xml:space="preserve"> </w:t>
      </w:r>
      <w:proofErr w:type="spellStart"/>
      <w:r>
        <w:t>instrumentet</w:t>
      </w:r>
      <w:proofErr w:type="spellEnd"/>
      <w:r>
        <w:t xml:space="preserve"> e </w:t>
      </w:r>
      <w:proofErr w:type="spellStart"/>
      <w:r>
        <w:t>përdorura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Fondet</w:t>
      </w:r>
      <w:proofErr w:type="spellEnd"/>
      <w:r>
        <w:t xml:space="preserve"> e </w:t>
      </w:r>
      <w:proofErr w:type="spellStart"/>
      <w:r>
        <w:t>Pasurisë</w:t>
      </w:r>
      <w:proofErr w:type="spellEnd"/>
      <w:r>
        <w:t xml:space="preserve"> </w:t>
      </w:r>
      <w:proofErr w:type="spellStart"/>
      <w:r>
        <w:t>Sovrane</w:t>
      </w:r>
      <w:proofErr w:type="spellEnd"/>
      <w:r>
        <w:t xml:space="preserve"> (FPS). </w:t>
      </w:r>
      <w:proofErr w:type="spellStart"/>
      <w:r>
        <w:t>Ndonëse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ka </w:t>
      </w:r>
      <w:proofErr w:type="spellStart"/>
      <w:r>
        <w:t>pajtueshmëri</w:t>
      </w:r>
      <w:proofErr w:type="spellEnd"/>
      <w:r>
        <w:t xml:space="preserve"> </w:t>
      </w:r>
      <w:proofErr w:type="spellStart"/>
      <w:r>
        <w:t>unanime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definimin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, </w:t>
      </w:r>
      <w:proofErr w:type="spellStart"/>
      <w:r>
        <w:t>ato</w:t>
      </w:r>
      <w:proofErr w:type="spellEnd"/>
      <w:r>
        <w:t xml:space="preserve"> </w:t>
      </w:r>
      <w:proofErr w:type="spellStart"/>
      <w:r>
        <w:t>përgjithësisht</w:t>
      </w:r>
      <w:proofErr w:type="spellEnd"/>
      <w:r>
        <w:t xml:space="preserve"> </w:t>
      </w:r>
      <w:proofErr w:type="spellStart"/>
      <w:r>
        <w:t>karakterizohen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mekanizma</w:t>
      </w:r>
      <w:proofErr w:type="spellEnd"/>
      <w:r>
        <w:t xml:space="preserve"> </w:t>
      </w:r>
      <w:proofErr w:type="spellStart"/>
      <w:r>
        <w:t>investues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përdoren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shtetet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investuar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botë</w:t>
      </w:r>
      <w:proofErr w:type="spellEnd"/>
      <w:r>
        <w:t>.</w:t>
      </w:r>
      <w:r>
        <w:rPr>
          <w:vertAlign w:val="superscript"/>
        </w:rPr>
        <w:footnoteReference w:id="1"/>
      </w:r>
      <w:r>
        <w:t xml:space="preserve"> </w:t>
      </w:r>
      <w:proofErr w:type="spellStart"/>
      <w:r>
        <w:t>Instituti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Pasurisë</w:t>
      </w:r>
      <w:proofErr w:type="spellEnd"/>
      <w:r>
        <w:t xml:space="preserve"> </w:t>
      </w:r>
      <w:proofErr w:type="spellStart"/>
      <w:r>
        <w:t>Sovrane</w:t>
      </w:r>
      <w:proofErr w:type="spellEnd"/>
      <w:r>
        <w:t xml:space="preserve"> (IFPS),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vepron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ndërkombëtar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përkufizon</w:t>
      </w:r>
      <w:proofErr w:type="spellEnd"/>
      <w:r>
        <w:t xml:space="preserve"> FPS-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“</w:t>
      </w:r>
      <w:proofErr w:type="spellStart"/>
      <w:r>
        <w:t>fonde</w:t>
      </w:r>
      <w:proofErr w:type="spellEnd"/>
      <w:r>
        <w:t xml:space="preserve"> </w:t>
      </w:r>
      <w:proofErr w:type="spellStart"/>
      <w:r>
        <w:t>investive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 apo </w:t>
      </w:r>
      <w:proofErr w:type="spellStart"/>
      <w:r>
        <w:t>entitete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zakonisht</w:t>
      </w:r>
      <w:proofErr w:type="spellEnd"/>
      <w:r>
        <w:t xml:space="preserve"> </w:t>
      </w:r>
      <w:proofErr w:type="spellStart"/>
      <w:r>
        <w:t>formohen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mbetjet</w:t>
      </w:r>
      <w:proofErr w:type="spellEnd"/>
      <w:r>
        <w:t xml:space="preserve"> (</w:t>
      </w:r>
      <w:proofErr w:type="spellStart"/>
      <w:r>
        <w:t>surplusi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bilancit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pagesave</w:t>
      </w:r>
      <w:proofErr w:type="spellEnd"/>
      <w:r>
        <w:t xml:space="preserve">, </w:t>
      </w:r>
      <w:proofErr w:type="spellStart"/>
      <w:r>
        <w:t>operimet</w:t>
      </w:r>
      <w:proofErr w:type="spellEnd"/>
      <w:r>
        <w:t xml:space="preserve"> me </w:t>
      </w:r>
      <w:proofErr w:type="spellStart"/>
      <w:r>
        <w:t>valutat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huaja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privatizimi</w:t>
      </w:r>
      <w:proofErr w:type="spellEnd"/>
      <w:r>
        <w:t xml:space="preserve">, </w:t>
      </w:r>
      <w:proofErr w:type="spellStart"/>
      <w:r>
        <w:t>transferet</w:t>
      </w:r>
      <w:proofErr w:type="spellEnd"/>
      <w:r>
        <w:t xml:space="preserve"> </w:t>
      </w:r>
      <w:proofErr w:type="spellStart"/>
      <w:r>
        <w:t>qeveritare</w:t>
      </w:r>
      <w:proofErr w:type="spellEnd"/>
      <w:r>
        <w:t xml:space="preserve">, </w:t>
      </w:r>
      <w:proofErr w:type="spellStart"/>
      <w:r>
        <w:t>mbetjet</w:t>
      </w:r>
      <w:proofErr w:type="spellEnd"/>
      <w:r>
        <w:t xml:space="preserve"> (</w:t>
      </w:r>
      <w:proofErr w:type="spellStart"/>
      <w:r>
        <w:t>surpluset</w:t>
      </w:r>
      <w:proofErr w:type="spellEnd"/>
      <w:r>
        <w:t xml:space="preserve">) </w:t>
      </w:r>
      <w:proofErr w:type="spellStart"/>
      <w:r>
        <w:t>fiskale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/apo </w:t>
      </w:r>
      <w:proofErr w:type="spellStart"/>
      <w:r>
        <w:t>pagesat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vijnë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eksporti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resurseve</w:t>
      </w:r>
      <w:proofErr w:type="spellEnd"/>
      <w:r>
        <w:t>”.</w:t>
      </w:r>
      <w:r>
        <w:rPr>
          <w:vertAlign w:val="superscript"/>
        </w:rPr>
        <w:footnoteReference w:id="2"/>
      </w:r>
      <w:r>
        <w:t xml:space="preserve"> </w:t>
      </w:r>
    </w:p>
    <w:p w14:paraId="6135D3D3" w14:textId="77777777" w:rsidR="000E7BCB" w:rsidRDefault="000E7BCB"/>
    <w:p w14:paraId="690C1EF7" w14:textId="77777777" w:rsidR="000E7BCB" w:rsidRDefault="00A620E4">
      <w:proofErr w:type="spellStart"/>
      <w:r>
        <w:t>Natyrisht</w:t>
      </w:r>
      <w:proofErr w:type="spellEnd"/>
      <w:r>
        <w:t xml:space="preserve"> se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burime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themelimit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FPS-</w:t>
      </w:r>
      <w:proofErr w:type="spellStart"/>
      <w:r>
        <w:t>ës</w:t>
      </w:r>
      <w:proofErr w:type="spellEnd"/>
      <w:r>
        <w:t xml:space="preserve">, por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tërësi</w:t>
      </w:r>
      <w:proofErr w:type="spellEnd"/>
      <w:r>
        <w:t xml:space="preserve"> </w:t>
      </w:r>
      <w:proofErr w:type="spellStart"/>
      <w:r>
        <w:t>burimesh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karakterizojnë</w:t>
      </w:r>
      <w:proofErr w:type="spellEnd"/>
      <w:r>
        <w:t xml:space="preserve"> FPS-</w:t>
      </w:r>
      <w:proofErr w:type="spellStart"/>
      <w:r>
        <w:t>të</w:t>
      </w:r>
      <w:proofErr w:type="spellEnd"/>
      <w:r>
        <w:t xml:space="preserve"> e </w:t>
      </w:r>
      <w:proofErr w:type="spellStart"/>
      <w:r>
        <w:t>ndryshme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themeluara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kontekste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qëllime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. </w:t>
      </w:r>
      <w:proofErr w:type="spellStart"/>
      <w:r>
        <w:t>Kështu</w:t>
      </w:r>
      <w:proofErr w:type="spellEnd"/>
      <w:r>
        <w:t xml:space="preserve">, duke </w:t>
      </w:r>
      <w:proofErr w:type="spellStart"/>
      <w:r>
        <w:t>patur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</w:t>
      </w:r>
      <w:proofErr w:type="spellStart"/>
      <w:r>
        <w:t>kontekstin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,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përkufizim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përafërt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përgjithshëm</w:t>
      </w:r>
      <w:proofErr w:type="spellEnd"/>
      <w:r>
        <w:t xml:space="preserve"> me </w:t>
      </w:r>
      <w:proofErr w:type="spellStart"/>
      <w:r>
        <w:t>natyrën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Sovran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propozojmë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Kosovën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ai </w:t>
      </w:r>
      <w:proofErr w:type="spellStart"/>
      <w:r>
        <w:t>nga</w:t>
      </w:r>
      <w:proofErr w:type="spellEnd"/>
      <w:r>
        <w:t xml:space="preserve"> </w:t>
      </w:r>
      <w:proofErr w:type="spellStart"/>
      <w:r>
        <w:t>Wignall</w:t>
      </w:r>
      <w:proofErr w:type="spellEnd"/>
      <w:r>
        <w:t xml:space="preserve">, Hu,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Yermo</w:t>
      </w:r>
      <w:proofErr w:type="spellEnd"/>
      <w:r>
        <w:t xml:space="preserve"> (2008),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FPS-</w:t>
      </w:r>
      <w:proofErr w:type="spellStart"/>
      <w:r>
        <w:t>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konsiderojnë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“</w:t>
      </w:r>
      <w:proofErr w:type="spellStart"/>
      <w:r>
        <w:t>grumbuj</w:t>
      </w:r>
      <w:proofErr w:type="spellEnd"/>
      <w:r>
        <w:t xml:space="preserve"> </w:t>
      </w:r>
      <w:proofErr w:type="spellStart"/>
      <w:r>
        <w:t>asetesh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menaxhim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apo </w:t>
      </w:r>
      <w:proofErr w:type="spellStart"/>
      <w:r>
        <w:t>indirekt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arritur</w:t>
      </w:r>
      <w:proofErr w:type="spellEnd"/>
      <w:r>
        <w:t xml:space="preserve"> </w:t>
      </w:r>
      <w:proofErr w:type="spellStart"/>
      <w:r>
        <w:t>objektiva</w:t>
      </w:r>
      <w:proofErr w:type="spellEnd"/>
      <w:r>
        <w:t xml:space="preserve"> </w:t>
      </w:r>
      <w:proofErr w:type="spellStart"/>
      <w:r>
        <w:t>kombëtare</w:t>
      </w:r>
      <w:proofErr w:type="spellEnd"/>
      <w:r>
        <w:t>” (</w:t>
      </w:r>
      <w:proofErr w:type="spellStart"/>
      <w:r>
        <w:t>fq</w:t>
      </w:r>
      <w:proofErr w:type="spellEnd"/>
      <w:r>
        <w:t>. 4)</w:t>
      </w:r>
      <w:r>
        <w:rPr>
          <w:vertAlign w:val="superscript"/>
        </w:rPr>
        <w:footnoteReference w:id="3"/>
      </w:r>
      <w:r>
        <w:t xml:space="preserve">.  </w:t>
      </w:r>
    </w:p>
    <w:p w14:paraId="110CD75B" w14:textId="77777777" w:rsidR="000E7BCB" w:rsidRDefault="000E7BCB"/>
    <w:p w14:paraId="34AE6792" w14:textId="77777777" w:rsidR="000E7BCB" w:rsidRDefault="000E7BCB"/>
    <w:p w14:paraId="21C817A5" w14:textId="77777777" w:rsidR="000E7BCB" w:rsidRDefault="00A620E4">
      <w:pPr>
        <w:pStyle w:val="Heading2"/>
        <w:numPr>
          <w:ilvl w:val="1"/>
          <w:numId w:val="4"/>
        </w:numPr>
      </w:pPr>
      <w:bookmarkStart w:id="5" w:name="_Toc93312368"/>
      <w:r>
        <w:t>PASQYRA E PËRGJITHSHME</w:t>
      </w:r>
      <w:bookmarkEnd w:id="5"/>
    </w:p>
    <w:p w14:paraId="143FD2FC" w14:textId="77777777" w:rsidR="000E7BCB" w:rsidRDefault="000E7BCB"/>
    <w:p w14:paraId="6F8DD04E" w14:textId="77777777" w:rsidR="000E7BCB" w:rsidRDefault="00A620E4">
      <w:pPr>
        <w:pStyle w:val="Heading3"/>
        <w:numPr>
          <w:ilvl w:val="2"/>
          <w:numId w:val="4"/>
        </w:numPr>
      </w:pPr>
      <w:bookmarkStart w:id="6" w:name="_Toc93312369"/>
      <w:proofErr w:type="spellStart"/>
      <w:r>
        <w:t>Historiku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shkurtër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themelimit</w:t>
      </w:r>
      <w:bookmarkEnd w:id="6"/>
      <w:proofErr w:type="spellEnd"/>
    </w:p>
    <w:p w14:paraId="2E7D3A78" w14:textId="77777777" w:rsidR="000E7BCB" w:rsidRDefault="000E7BCB"/>
    <w:p w14:paraId="1538EA6F" w14:textId="77777777" w:rsidR="000E7BCB" w:rsidRDefault="00A620E4">
      <w:r>
        <w:t xml:space="preserve">Viti 2021 </w:t>
      </w:r>
      <w:proofErr w:type="spellStart"/>
      <w:r>
        <w:t>shënon</w:t>
      </w:r>
      <w:proofErr w:type="spellEnd"/>
      <w:r>
        <w:t xml:space="preserve"> 68 </w:t>
      </w:r>
      <w:proofErr w:type="spellStart"/>
      <w:r>
        <w:t>vjetorin</w:t>
      </w:r>
      <w:proofErr w:type="spellEnd"/>
      <w:r>
        <w:t xml:space="preserve"> e </w:t>
      </w:r>
      <w:proofErr w:type="spellStart"/>
      <w:r>
        <w:t>themelimit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FPS-</w:t>
      </w:r>
      <w:proofErr w:type="spellStart"/>
      <w:r>
        <w:t>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quhet</w:t>
      </w:r>
      <w:proofErr w:type="spellEnd"/>
      <w:r>
        <w:t xml:space="preserve"> </w:t>
      </w:r>
      <w:r>
        <w:rPr>
          <w:i/>
        </w:rPr>
        <w:t>Kuwait Investment Authority</w:t>
      </w:r>
      <w:r>
        <w:t xml:space="preserve"> (KIA), </w:t>
      </w:r>
      <w:proofErr w:type="spellStart"/>
      <w:r>
        <w:t>i</w:t>
      </w:r>
      <w:proofErr w:type="spellEnd"/>
      <w:r>
        <w:t xml:space="preserve"> </w:t>
      </w:r>
      <w:proofErr w:type="spellStart"/>
      <w:r>
        <w:t>themeluar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e </w:t>
      </w:r>
      <w:proofErr w:type="spellStart"/>
      <w:r>
        <w:t>Kuvajtit</w:t>
      </w:r>
      <w:proofErr w:type="spellEnd"/>
      <w:r>
        <w:t xml:space="preserve">. Ky fond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themeluar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1953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 </w:t>
      </w:r>
      <w:proofErr w:type="spellStart"/>
      <w:r>
        <w:t>tepricë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eksporti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naftës</w:t>
      </w:r>
      <w:proofErr w:type="spellEnd"/>
      <w:r>
        <w:t xml:space="preserve">,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zvogëlohej</w:t>
      </w:r>
      <w:proofErr w:type="spellEnd"/>
      <w:r>
        <w:t xml:space="preserve"> </w:t>
      </w:r>
      <w:proofErr w:type="spellStart"/>
      <w:r>
        <w:t>varësia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burim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zgjaste</w:t>
      </w:r>
      <w:proofErr w:type="spellEnd"/>
      <w:r>
        <w:t xml:space="preserve"> </w:t>
      </w:r>
      <w:proofErr w:type="spellStart"/>
      <w:r>
        <w:t>pafundësisht</w:t>
      </w:r>
      <w:proofErr w:type="spellEnd"/>
      <w:r>
        <w:t>.</w:t>
      </w:r>
      <w:r>
        <w:rPr>
          <w:vertAlign w:val="superscript"/>
        </w:rPr>
        <w:footnoteReference w:id="4"/>
      </w:r>
      <w:r>
        <w:t xml:space="preserve"> Tre </w:t>
      </w:r>
      <w:proofErr w:type="spellStart"/>
      <w:r>
        <w:t>vite</w:t>
      </w:r>
      <w:proofErr w:type="spellEnd"/>
      <w:r>
        <w:t xml:space="preserve"> pas </w:t>
      </w:r>
      <w:proofErr w:type="spellStart"/>
      <w:r>
        <w:t>themelimit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KIA </w:t>
      </w:r>
      <w:proofErr w:type="spellStart"/>
      <w:r>
        <w:t>nga</w:t>
      </w:r>
      <w:proofErr w:type="spellEnd"/>
      <w:r>
        <w:t xml:space="preserve"> </w:t>
      </w:r>
      <w:proofErr w:type="spellStart"/>
      <w:r>
        <w:lastRenderedPageBreak/>
        <w:t>Kuvajti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1956, Kiribati </w:t>
      </w:r>
      <w:proofErr w:type="spellStart"/>
      <w:r>
        <w:t>themelon</w:t>
      </w:r>
      <w:proofErr w:type="spellEnd"/>
      <w:r>
        <w:t xml:space="preserve"> FPS-</w:t>
      </w:r>
      <w:proofErr w:type="spellStart"/>
      <w:r>
        <w:t>në</w:t>
      </w:r>
      <w:proofErr w:type="spellEnd"/>
      <w:r>
        <w:t xml:space="preserve"> e </w:t>
      </w:r>
      <w:proofErr w:type="spellStart"/>
      <w:r>
        <w:t>dytë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botë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njohur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r>
        <w:rPr>
          <w:i/>
        </w:rPr>
        <w:t>Revenue Equalization Reserve Fund of Kiribati</w:t>
      </w:r>
      <w:r>
        <w:t>.</w:t>
      </w:r>
      <w:r>
        <w:rPr>
          <w:vertAlign w:val="superscript"/>
        </w:rPr>
        <w:footnoteReference w:id="5"/>
      </w:r>
      <w:r>
        <w:t xml:space="preserve"> Ky fond u </w:t>
      </w:r>
      <w:proofErr w:type="spellStart"/>
      <w:r>
        <w:t>themelua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vinin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nxjerrja</w:t>
      </w:r>
      <w:proofErr w:type="spellEnd"/>
      <w:r>
        <w:t xml:space="preserve"> e </w:t>
      </w:r>
      <w:proofErr w:type="spellStart"/>
      <w:r>
        <w:t>fosfatit</w:t>
      </w:r>
      <w:proofErr w:type="spellEnd"/>
      <w:r>
        <w:t xml:space="preserve">. Dy </w:t>
      </w:r>
      <w:proofErr w:type="spellStart"/>
      <w:r>
        <w:t>vite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vonë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1958, u </w:t>
      </w:r>
      <w:proofErr w:type="spellStart"/>
      <w:r>
        <w:t>themelua</w:t>
      </w:r>
      <w:proofErr w:type="spellEnd"/>
      <w:r>
        <w:t xml:space="preserve"> </w:t>
      </w:r>
      <w:r>
        <w:rPr>
          <w:i/>
        </w:rPr>
        <w:t>US New Mexico State Investment Council</w:t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Shtetet</w:t>
      </w:r>
      <w:proofErr w:type="spellEnd"/>
      <w:r>
        <w:t xml:space="preserve"> e </w:t>
      </w:r>
      <w:proofErr w:type="spellStart"/>
      <w:r>
        <w:t>Bashkuara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Amerikës</w:t>
      </w:r>
      <w:proofErr w:type="spellEnd"/>
      <w:r>
        <w:t xml:space="preserve"> (</w:t>
      </w:r>
      <w:proofErr w:type="spellStart"/>
      <w:r>
        <w:t>Sh.</w:t>
      </w:r>
      <w:proofErr w:type="gramStart"/>
      <w:r>
        <w:t>B.A</w:t>
      </w:r>
      <w:proofErr w:type="spellEnd"/>
      <w:proofErr w:type="gramEnd"/>
      <w:r>
        <w:t xml:space="preserve">). </w:t>
      </w:r>
      <w:proofErr w:type="spellStart"/>
      <w:r>
        <w:t>Kështu</w:t>
      </w:r>
      <w:proofErr w:type="spellEnd"/>
      <w:r>
        <w:t xml:space="preserve"> </w:t>
      </w:r>
      <w:proofErr w:type="spellStart"/>
      <w:r>
        <w:t>vazhdoi</w:t>
      </w:r>
      <w:proofErr w:type="spellEnd"/>
      <w:r>
        <w:t xml:space="preserve"> </w:t>
      </w:r>
      <w:proofErr w:type="spellStart"/>
      <w:r>
        <w:t>trendi</w:t>
      </w:r>
      <w:proofErr w:type="spellEnd"/>
      <w:r>
        <w:t xml:space="preserve"> duke u </w:t>
      </w:r>
      <w:proofErr w:type="spellStart"/>
      <w:r>
        <w:t>themeluar</w:t>
      </w:r>
      <w:proofErr w:type="spellEnd"/>
      <w:r>
        <w:t xml:space="preserve"> </w:t>
      </w:r>
      <w:r>
        <w:rPr>
          <w:i/>
        </w:rPr>
        <w:t>Temasek Holdings</w:t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Singapur</w:t>
      </w:r>
      <w:proofErr w:type="spellEnd"/>
      <w:r>
        <w:t xml:space="preserve"> e </w:t>
      </w:r>
      <w:r>
        <w:rPr>
          <w:i/>
        </w:rPr>
        <w:t>Permanent Wyoming Mineral Trust Fund</w:t>
      </w:r>
      <w:r>
        <w:t xml:space="preserve"> </w:t>
      </w:r>
      <w:proofErr w:type="spellStart"/>
      <w:r>
        <w:t>në</w:t>
      </w:r>
      <w:proofErr w:type="spellEnd"/>
      <w:r>
        <w:t xml:space="preserve"> Wyoming (</w:t>
      </w:r>
      <w:proofErr w:type="spellStart"/>
      <w:r>
        <w:t>Sh.B.A</w:t>
      </w:r>
      <w:proofErr w:type="spellEnd"/>
      <w:r>
        <w:t xml:space="preserve">) </w:t>
      </w:r>
      <w:proofErr w:type="spellStart"/>
      <w:r>
        <w:t>në</w:t>
      </w:r>
      <w:proofErr w:type="spellEnd"/>
      <w:r>
        <w:t xml:space="preserve"> 1974; </w:t>
      </w:r>
      <w:r>
        <w:rPr>
          <w:i/>
        </w:rPr>
        <w:t>Abu Dhabi Investment Authority</w:t>
      </w:r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Emiratet</w:t>
      </w:r>
      <w:proofErr w:type="spellEnd"/>
      <w:r>
        <w:t xml:space="preserve"> e </w:t>
      </w:r>
      <w:proofErr w:type="spellStart"/>
      <w:r>
        <w:t>Bashkuara</w:t>
      </w:r>
      <w:proofErr w:type="spellEnd"/>
      <w:r>
        <w:t xml:space="preserve"> </w:t>
      </w:r>
      <w:proofErr w:type="spellStart"/>
      <w:r>
        <w:t>Arabe</w:t>
      </w:r>
      <w:proofErr w:type="spellEnd"/>
      <w:r>
        <w:t xml:space="preserve">, </w:t>
      </w:r>
      <w:r>
        <w:rPr>
          <w:i/>
        </w:rPr>
        <w:t>Alaska Permanent Fund</w:t>
      </w:r>
      <w:r>
        <w:t xml:space="preserve"> </w:t>
      </w:r>
      <w:proofErr w:type="spellStart"/>
      <w:r>
        <w:t>nga</w:t>
      </w:r>
      <w:proofErr w:type="spellEnd"/>
      <w:r>
        <w:t xml:space="preserve"> Alaska (</w:t>
      </w:r>
      <w:proofErr w:type="spellStart"/>
      <w:r>
        <w:t>Sh.B.A</w:t>
      </w:r>
      <w:proofErr w:type="spellEnd"/>
      <w:r>
        <w:t xml:space="preserve">), </w:t>
      </w:r>
      <w:proofErr w:type="spellStart"/>
      <w:r>
        <w:t>dhe</w:t>
      </w:r>
      <w:proofErr w:type="spellEnd"/>
      <w:r>
        <w:t xml:space="preserve"> </w:t>
      </w:r>
      <w:r>
        <w:rPr>
          <w:i/>
        </w:rPr>
        <w:t>Alberta Heritage Fund</w:t>
      </w:r>
      <w:r>
        <w:t xml:space="preserve"> </w:t>
      </w:r>
      <w:proofErr w:type="spellStart"/>
      <w:r>
        <w:t>në</w:t>
      </w:r>
      <w:proofErr w:type="spellEnd"/>
      <w:r>
        <w:t xml:space="preserve"> Kanda, </w:t>
      </w:r>
      <w:proofErr w:type="spellStart"/>
      <w:r>
        <w:t>në</w:t>
      </w:r>
      <w:proofErr w:type="spellEnd"/>
      <w:r>
        <w:t xml:space="preserve"> 1976; </w:t>
      </w:r>
      <w:r>
        <w:rPr>
          <w:i/>
        </w:rPr>
        <w:t>State General Reserve Fund</w:t>
      </w:r>
      <w:r>
        <w:t xml:space="preserve"> </w:t>
      </w:r>
      <w:proofErr w:type="spellStart"/>
      <w:r>
        <w:t>nga</w:t>
      </w:r>
      <w:proofErr w:type="spellEnd"/>
      <w:r>
        <w:t xml:space="preserve"> Omani </w:t>
      </w:r>
      <w:proofErr w:type="spellStart"/>
      <w:r>
        <w:t>në</w:t>
      </w:r>
      <w:proofErr w:type="spellEnd"/>
      <w:r>
        <w:t xml:space="preserve"> 1980; </w:t>
      </w:r>
      <w:r>
        <w:rPr>
          <w:i/>
        </w:rPr>
        <w:t>Government of Singapore Investment Corporation</w:t>
      </w:r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Singapuri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1981; </w:t>
      </w:r>
      <w:r>
        <w:rPr>
          <w:i/>
        </w:rPr>
        <w:t>Brunei Investment Agency</w:t>
      </w:r>
      <w:r>
        <w:t xml:space="preserve"> </w:t>
      </w:r>
      <w:proofErr w:type="spellStart"/>
      <w:r>
        <w:t>nga</w:t>
      </w:r>
      <w:proofErr w:type="spellEnd"/>
      <w:r>
        <w:t xml:space="preserve"> Brunei </w:t>
      </w:r>
      <w:proofErr w:type="spellStart"/>
      <w:r>
        <w:t>në</w:t>
      </w:r>
      <w:proofErr w:type="spellEnd"/>
      <w:r>
        <w:t xml:space="preserve"> 1983; </w:t>
      </w:r>
      <w:r>
        <w:rPr>
          <w:i/>
        </w:rPr>
        <w:t>Government Pension Fund Global</w:t>
      </w:r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Norvegjia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1990;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dhjetëra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formuar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dekadat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pasuan</w:t>
      </w:r>
      <w:proofErr w:type="spellEnd"/>
      <w:r>
        <w:t>.</w:t>
      </w:r>
      <w:r>
        <w:rPr>
          <w:vertAlign w:val="superscript"/>
        </w:rPr>
        <w:footnoteReference w:id="6"/>
      </w:r>
    </w:p>
    <w:p w14:paraId="438659D3" w14:textId="77777777" w:rsidR="000E7BCB" w:rsidRDefault="000E7BCB"/>
    <w:p w14:paraId="1430C1A8" w14:textId="77777777" w:rsidR="000E7BCB" w:rsidRDefault="00A620E4">
      <w:pPr>
        <w:pStyle w:val="Heading3"/>
        <w:numPr>
          <w:ilvl w:val="2"/>
          <w:numId w:val="4"/>
        </w:numPr>
      </w:pPr>
      <w:bookmarkStart w:id="7" w:name="_Toc93312370"/>
      <w:proofErr w:type="spellStart"/>
      <w:r>
        <w:t>Numri</w:t>
      </w:r>
      <w:proofErr w:type="spellEnd"/>
      <w:r>
        <w:t xml:space="preserve">, </w:t>
      </w:r>
      <w:proofErr w:type="spellStart"/>
      <w:r>
        <w:t>shpërndarja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vlera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menaxhim</w:t>
      </w:r>
      <w:bookmarkEnd w:id="7"/>
      <w:proofErr w:type="spellEnd"/>
    </w:p>
    <w:p w14:paraId="2D8200E1" w14:textId="77777777" w:rsidR="000E7BCB" w:rsidRDefault="000E7BCB"/>
    <w:p w14:paraId="6F689013" w14:textId="77777777" w:rsidR="000E7BCB" w:rsidRDefault="00A620E4"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FPS-</w:t>
      </w:r>
      <w:proofErr w:type="spellStart"/>
      <w:r>
        <w:t>ve</w:t>
      </w:r>
      <w:proofErr w:type="spellEnd"/>
      <w:r>
        <w:t xml:space="preserve">, </w:t>
      </w:r>
      <w:proofErr w:type="spellStart"/>
      <w:r>
        <w:t>madhësia</w:t>
      </w:r>
      <w:proofErr w:type="spellEnd"/>
      <w:r>
        <w:t xml:space="preserve"> e </w:t>
      </w:r>
      <w:proofErr w:type="spellStart"/>
      <w:r>
        <w:t>portfoliove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vlera</w:t>
      </w:r>
      <w:proofErr w:type="spellEnd"/>
      <w:r>
        <w:t xml:space="preserve"> e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rritur</w:t>
      </w:r>
      <w:proofErr w:type="spellEnd"/>
      <w:r>
        <w:t xml:space="preserve"> </w:t>
      </w:r>
      <w:proofErr w:type="spellStart"/>
      <w:r>
        <w:t>ndjeshëm</w:t>
      </w:r>
      <w:proofErr w:type="spellEnd"/>
      <w:r>
        <w:t xml:space="preserve"> </w:t>
      </w:r>
      <w:proofErr w:type="spellStart"/>
      <w:r>
        <w:t>ndër</w:t>
      </w:r>
      <w:proofErr w:type="spellEnd"/>
      <w:r>
        <w:t xml:space="preserve"> </w:t>
      </w:r>
      <w:proofErr w:type="spellStart"/>
      <w:r>
        <w:t>vite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IFPS-</w:t>
      </w:r>
      <w:proofErr w:type="spellStart"/>
      <w:r>
        <w:t>së</w:t>
      </w:r>
      <w:proofErr w:type="spellEnd"/>
      <w:r>
        <w:t xml:space="preserve">, </w:t>
      </w:r>
      <w:proofErr w:type="spellStart"/>
      <w:r>
        <w:t>aktualisht</w:t>
      </w:r>
      <w:proofErr w:type="spellEnd"/>
      <w:r>
        <w:t xml:space="preserve"> </w:t>
      </w:r>
      <w:proofErr w:type="spellStart"/>
      <w:r>
        <w:t>ekzistojnë</w:t>
      </w:r>
      <w:proofErr w:type="spellEnd"/>
      <w:r>
        <w:t xml:space="preserve"> 134 FPS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botë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23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Afrikë</w:t>
      </w:r>
      <w:proofErr w:type="spellEnd"/>
      <w:r>
        <w:t xml:space="preserve">, 24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Azi</w:t>
      </w:r>
      <w:proofErr w:type="spellEnd"/>
      <w:r>
        <w:t xml:space="preserve">, 9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Australi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Paqësor</w:t>
      </w:r>
      <w:proofErr w:type="spellEnd"/>
      <w:r>
        <w:t xml:space="preserve">, 20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Evropë</w:t>
      </w:r>
      <w:proofErr w:type="spellEnd"/>
      <w:r>
        <w:t xml:space="preserve">, 14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Amerikën</w:t>
      </w:r>
      <w:proofErr w:type="spellEnd"/>
      <w:r>
        <w:t xml:space="preserve"> </w:t>
      </w:r>
      <w:proofErr w:type="spellStart"/>
      <w:r>
        <w:t>Latine</w:t>
      </w:r>
      <w:proofErr w:type="spellEnd"/>
      <w:r>
        <w:t xml:space="preserve">, 25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Lindjen</w:t>
      </w:r>
      <w:proofErr w:type="spellEnd"/>
      <w:r>
        <w:t xml:space="preserve"> e </w:t>
      </w:r>
      <w:proofErr w:type="spellStart"/>
      <w:r>
        <w:t>Mesme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18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Amerikën</w:t>
      </w:r>
      <w:proofErr w:type="spellEnd"/>
      <w:r>
        <w:t xml:space="preserve"> </w:t>
      </w:r>
      <w:proofErr w:type="spellStart"/>
      <w:r>
        <w:t>Veriore</w:t>
      </w:r>
      <w:proofErr w:type="spellEnd"/>
      <w:r>
        <w:t>.</w:t>
      </w:r>
      <w:r>
        <w:rPr>
          <w:vertAlign w:val="superscript"/>
        </w:rPr>
        <w:footnoteReference w:id="7"/>
      </w:r>
      <w:r>
        <w:t xml:space="preserve"> 13 </w:t>
      </w:r>
      <w:proofErr w:type="spellStart"/>
      <w:r>
        <w:t>nga</w:t>
      </w:r>
      <w:proofErr w:type="spellEnd"/>
      <w:r>
        <w:t xml:space="preserve"> top-100 FPS-</w:t>
      </w:r>
      <w:proofErr w:type="spellStart"/>
      <w:r>
        <w:t>të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menaxhim</w:t>
      </w:r>
      <w:proofErr w:type="spellEnd"/>
      <w:r>
        <w:t xml:space="preserve">, </w:t>
      </w:r>
      <w:proofErr w:type="spellStart"/>
      <w:r>
        <w:t>gjenden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kontinentin</w:t>
      </w:r>
      <w:proofErr w:type="spellEnd"/>
      <w:r>
        <w:t xml:space="preserve"> e </w:t>
      </w:r>
      <w:proofErr w:type="spellStart"/>
      <w:r>
        <w:t>Evropës</w:t>
      </w:r>
      <w:proofErr w:type="spellEnd"/>
      <w:r>
        <w:t xml:space="preserve">, duke </w:t>
      </w:r>
      <w:proofErr w:type="spellStart"/>
      <w:r>
        <w:t>përfshirë</w:t>
      </w:r>
      <w:proofErr w:type="spellEnd"/>
      <w:r>
        <w:t xml:space="preserve"> FPS </w:t>
      </w:r>
      <w:proofErr w:type="spellStart"/>
      <w:r>
        <w:t>nga</w:t>
      </w:r>
      <w:proofErr w:type="spellEnd"/>
      <w:r>
        <w:t xml:space="preserve">: </w:t>
      </w:r>
      <w:proofErr w:type="spellStart"/>
      <w:r>
        <w:t>Norvegjia</w:t>
      </w:r>
      <w:proofErr w:type="spellEnd"/>
      <w:r>
        <w:t xml:space="preserve">, </w:t>
      </w:r>
      <w:proofErr w:type="spellStart"/>
      <w:r>
        <w:t>Rusia</w:t>
      </w:r>
      <w:proofErr w:type="spellEnd"/>
      <w:r>
        <w:t xml:space="preserve">, </w:t>
      </w:r>
      <w:proofErr w:type="spellStart"/>
      <w:r>
        <w:t>Gjermania</w:t>
      </w:r>
      <w:proofErr w:type="spellEnd"/>
      <w:r>
        <w:t xml:space="preserve">, Austria, </w:t>
      </w:r>
      <w:proofErr w:type="spellStart"/>
      <w:r>
        <w:t>Irlanda</w:t>
      </w:r>
      <w:proofErr w:type="spellEnd"/>
      <w:r>
        <w:t xml:space="preserve">, </w:t>
      </w:r>
      <w:proofErr w:type="spellStart"/>
      <w:r>
        <w:t>Finlanda</w:t>
      </w:r>
      <w:proofErr w:type="spellEnd"/>
      <w:r>
        <w:t xml:space="preserve">, </w:t>
      </w:r>
      <w:proofErr w:type="spellStart"/>
      <w:r>
        <w:t>Spanja</w:t>
      </w:r>
      <w:proofErr w:type="spellEnd"/>
      <w:r>
        <w:t xml:space="preserve">, </w:t>
      </w:r>
      <w:proofErr w:type="spellStart"/>
      <w:r>
        <w:t>Belgjika</w:t>
      </w:r>
      <w:proofErr w:type="spellEnd"/>
      <w:r>
        <w:t xml:space="preserve">, </w:t>
      </w:r>
      <w:proofErr w:type="spellStart"/>
      <w:r>
        <w:t>Greqia</w:t>
      </w:r>
      <w:proofErr w:type="spellEnd"/>
      <w:r>
        <w:t xml:space="preserve">, Malta,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Luksemburgu</w:t>
      </w:r>
      <w:proofErr w:type="spellEnd"/>
      <w:r>
        <w:t xml:space="preserve">. </w:t>
      </w:r>
      <w:proofErr w:type="spellStart"/>
      <w:r>
        <w:t>Ndërsa</w:t>
      </w:r>
      <w:proofErr w:type="spellEnd"/>
      <w:r>
        <w:t xml:space="preserve"> FSP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vlerë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vogël</w:t>
      </w:r>
      <w:proofErr w:type="spellEnd"/>
      <w:r>
        <w:t xml:space="preserve"> (</w:t>
      </w:r>
      <w:proofErr w:type="spellStart"/>
      <w:r>
        <w:t>pra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top-100) por </w:t>
      </w:r>
      <w:proofErr w:type="spellStart"/>
      <w:r>
        <w:t>që</w:t>
      </w:r>
      <w:proofErr w:type="spellEnd"/>
      <w:r>
        <w:t xml:space="preserve"> </w:t>
      </w:r>
      <w:proofErr w:type="spellStart"/>
      <w:r>
        <w:t>gjenden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Evropë</w:t>
      </w:r>
      <w:proofErr w:type="spellEnd"/>
      <w:r>
        <w:t xml:space="preserve"> </w:t>
      </w:r>
      <w:proofErr w:type="spellStart"/>
      <w:r>
        <w:t>përfshijnë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: Franca, </w:t>
      </w:r>
      <w:proofErr w:type="spellStart"/>
      <w:r>
        <w:t>Suedia</w:t>
      </w:r>
      <w:proofErr w:type="spellEnd"/>
      <w:r>
        <w:t xml:space="preserve">, </w:t>
      </w:r>
      <w:proofErr w:type="spellStart"/>
      <w:r>
        <w:t>Monako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Polonia. </w:t>
      </w:r>
      <w:proofErr w:type="spellStart"/>
      <w:r>
        <w:t>Ndonëse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renditur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IFPS, </w:t>
      </w:r>
      <w:proofErr w:type="spellStart"/>
      <w:r>
        <w:t>një</w:t>
      </w:r>
      <w:proofErr w:type="spellEnd"/>
      <w:r>
        <w:t xml:space="preserve"> FPS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Evropa</w:t>
      </w:r>
      <w:proofErr w:type="spellEnd"/>
      <w:r>
        <w:t xml:space="preserve"> e </w:t>
      </w:r>
      <w:proofErr w:type="spellStart"/>
      <w:r>
        <w:t>që</w:t>
      </w:r>
      <w:proofErr w:type="spellEnd"/>
      <w:r>
        <w:t xml:space="preserve"> ka </w:t>
      </w:r>
      <w:proofErr w:type="spellStart"/>
      <w:r>
        <w:t>relevancë</w:t>
      </w:r>
      <w:proofErr w:type="spellEnd"/>
      <w:r>
        <w:t xml:space="preserve"> </w:t>
      </w:r>
      <w:proofErr w:type="spellStart"/>
      <w:r>
        <w:t>krahasuese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Kosovën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r>
        <w:rPr>
          <w:i/>
        </w:rPr>
        <w:t>Slovenian Sovereign Holding</w:t>
      </w:r>
      <w:r>
        <w:t xml:space="preserve"> e </w:t>
      </w:r>
      <w:proofErr w:type="spellStart"/>
      <w:r>
        <w:t>themeluar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1993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Slloveni</w:t>
      </w:r>
      <w:proofErr w:type="spellEnd"/>
      <w:r>
        <w:t>.</w:t>
      </w:r>
    </w:p>
    <w:p w14:paraId="196C2F07" w14:textId="77777777" w:rsidR="000E7BCB" w:rsidRDefault="000E7BCB"/>
    <w:p w14:paraId="6654D869" w14:textId="77777777" w:rsidR="000E7BCB" w:rsidRDefault="00A620E4">
      <w:proofErr w:type="spellStart"/>
      <w:r>
        <w:t>Vlera</w:t>
      </w:r>
      <w:proofErr w:type="spellEnd"/>
      <w:r>
        <w:t xml:space="preserve"> e </w:t>
      </w:r>
      <w:proofErr w:type="spellStart"/>
      <w:r>
        <w:t>përgjitshme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menaxhim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top-100 FPS-</w:t>
      </w:r>
      <w:proofErr w:type="spellStart"/>
      <w:r>
        <w:t>ve</w:t>
      </w:r>
      <w:proofErr w:type="spellEnd"/>
      <w:r>
        <w:t xml:space="preserve">, </w:t>
      </w:r>
      <w:proofErr w:type="spellStart"/>
      <w:r>
        <w:t>listë</w:t>
      </w:r>
      <w:proofErr w:type="spellEnd"/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kryesohet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r>
        <w:rPr>
          <w:i/>
        </w:rPr>
        <w:t>Norway Government Pension Fund Global</w:t>
      </w:r>
      <w:r>
        <w:t xml:space="preserve">, </w:t>
      </w:r>
      <w:proofErr w:type="spellStart"/>
      <w:r>
        <w:t>aktualisht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9.2 </w:t>
      </w:r>
      <w:proofErr w:type="spellStart"/>
      <w:r>
        <w:t>triliardë</w:t>
      </w:r>
      <w:proofErr w:type="spellEnd"/>
      <w:r>
        <w:t xml:space="preserve"> </w:t>
      </w:r>
      <w:proofErr w:type="spellStart"/>
      <w:r>
        <w:t>dollarë</w:t>
      </w:r>
      <w:proofErr w:type="spellEnd"/>
      <w:r>
        <w:t xml:space="preserve"> </w:t>
      </w:r>
      <w:proofErr w:type="spellStart"/>
      <w:r>
        <w:t>amerikanë</w:t>
      </w:r>
      <w:proofErr w:type="spellEnd"/>
      <w:r>
        <w:t xml:space="preserve"> apo </w:t>
      </w:r>
      <w:proofErr w:type="spellStart"/>
      <w:r>
        <w:t>rreth</w:t>
      </w:r>
      <w:proofErr w:type="spellEnd"/>
      <w:r>
        <w:t xml:space="preserve"> 7.9 </w:t>
      </w:r>
      <w:proofErr w:type="spellStart"/>
      <w:r>
        <w:t>triliardë</w:t>
      </w:r>
      <w:proofErr w:type="spellEnd"/>
      <w:r>
        <w:t xml:space="preserve"> €.</w:t>
      </w:r>
      <w:r>
        <w:rPr>
          <w:vertAlign w:val="superscript"/>
        </w:rPr>
        <w:footnoteReference w:id="8"/>
      </w:r>
      <w:r>
        <w:t xml:space="preserve"> </w:t>
      </w:r>
      <w:proofErr w:type="spellStart"/>
      <w:r>
        <w:t>Përkundër</w:t>
      </w:r>
      <w:proofErr w:type="spellEnd"/>
      <w:r>
        <w:t xml:space="preserve"> </w:t>
      </w:r>
      <w:proofErr w:type="spellStart"/>
      <w:r>
        <w:t>numrit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madh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FPS-</w:t>
      </w:r>
      <w:proofErr w:type="spellStart"/>
      <w:r>
        <w:t>vë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listë</w:t>
      </w:r>
      <w:proofErr w:type="spellEnd"/>
      <w:r>
        <w:t xml:space="preserve">, </w:t>
      </w:r>
      <w:proofErr w:type="spellStart"/>
      <w:r>
        <w:t>vlera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e </w:t>
      </w:r>
      <w:proofErr w:type="spellStart"/>
      <w:r>
        <w:t>madhe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koncentruar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10% e FSP-</w:t>
      </w:r>
      <w:proofErr w:type="spellStart"/>
      <w:r>
        <w:t>vë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pasura</w:t>
      </w:r>
      <w:proofErr w:type="spellEnd"/>
      <w:r>
        <w:t>. Top-10 FSP-</w:t>
      </w:r>
      <w:proofErr w:type="spellStart"/>
      <w:r>
        <w:t>ve</w:t>
      </w:r>
      <w:proofErr w:type="spellEnd"/>
      <w:r>
        <w:t xml:space="preserve"> </w:t>
      </w:r>
      <w:proofErr w:type="spellStart"/>
      <w:r>
        <w:t>menaxhojnë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me </w:t>
      </w:r>
      <w:proofErr w:type="spellStart"/>
      <w:r>
        <w:t>vlerë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6.8 </w:t>
      </w:r>
      <w:proofErr w:type="spellStart"/>
      <w:r>
        <w:t>miliardë</w:t>
      </w:r>
      <w:proofErr w:type="spellEnd"/>
      <w:r>
        <w:t xml:space="preserve"> </w:t>
      </w:r>
      <w:proofErr w:type="spellStart"/>
      <w:r>
        <w:t>dollarë</w:t>
      </w:r>
      <w:proofErr w:type="spellEnd"/>
      <w:r>
        <w:t xml:space="preserve"> </w:t>
      </w:r>
      <w:proofErr w:type="spellStart"/>
      <w:r>
        <w:t>amerikanë</w:t>
      </w:r>
      <w:proofErr w:type="spellEnd"/>
      <w:r>
        <w:t xml:space="preserve"> apo </w:t>
      </w:r>
      <w:proofErr w:type="spellStart"/>
      <w:r>
        <w:t>rreth</w:t>
      </w:r>
      <w:proofErr w:type="spellEnd"/>
      <w:r>
        <w:t xml:space="preserve"> 73% e </w:t>
      </w:r>
      <w:proofErr w:type="spellStart"/>
      <w:r>
        <w:t>vlerës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100 FSP-</w:t>
      </w:r>
      <w:proofErr w:type="spellStart"/>
      <w:r>
        <w:t>ve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pasura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botë</w:t>
      </w:r>
      <w:proofErr w:type="spellEnd"/>
      <w:r>
        <w:t>.</w:t>
      </w:r>
    </w:p>
    <w:p w14:paraId="5FFF2F2D" w14:textId="77777777" w:rsidR="000E7BCB" w:rsidRDefault="000E7BCB"/>
    <w:p w14:paraId="5BC1B4ED" w14:textId="77777777" w:rsidR="000E7BCB" w:rsidRDefault="000E7BCB"/>
    <w:p w14:paraId="3146D14C" w14:textId="77777777" w:rsidR="000E7BCB" w:rsidRDefault="00A620E4">
      <w:pPr>
        <w:pStyle w:val="Heading2"/>
        <w:numPr>
          <w:ilvl w:val="1"/>
          <w:numId w:val="4"/>
        </w:numPr>
      </w:pPr>
      <w:bookmarkStart w:id="8" w:name="_Toc93312371"/>
      <w:r>
        <w:t>LLOJET DHE KARAKTERISTIKAT KRYESORE</w:t>
      </w:r>
      <w:bookmarkEnd w:id="8"/>
    </w:p>
    <w:p w14:paraId="04D82B5A" w14:textId="77777777" w:rsidR="000E7BCB" w:rsidRDefault="000E7BCB"/>
    <w:p w14:paraId="7403CDE5" w14:textId="77777777" w:rsidR="000E7BCB" w:rsidRDefault="00A620E4">
      <w:proofErr w:type="spellStart"/>
      <w:r>
        <w:t>Nëse</w:t>
      </w:r>
      <w:proofErr w:type="spellEnd"/>
      <w:r>
        <w:t xml:space="preserve"> </w:t>
      </w:r>
      <w:proofErr w:type="spellStart"/>
      <w:r>
        <w:t>tentojmë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grupojmë</w:t>
      </w:r>
      <w:proofErr w:type="spellEnd"/>
      <w:r>
        <w:t xml:space="preserve"> </w:t>
      </w:r>
      <w:proofErr w:type="spellStart"/>
      <w:r>
        <w:t>llojet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karakteristikat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FSP-</w:t>
      </w:r>
      <w:proofErr w:type="spellStart"/>
      <w:r>
        <w:t>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botë</w:t>
      </w:r>
      <w:proofErr w:type="spellEnd"/>
      <w:r>
        <w:t xml:space="preserve">, </w:t>
      </w:r>
      <w:proofErr w:type="spellStart"/>
      <w:r>
        <w:t>atëherë</w:t>
      </w:r>
      <w:proofErr w:type="spellEnd"/>
      <w:r>
        <w:t xml:space="preserve"> </w:t>
      </w:r>
      <w:proofErr w:type="spellStart"/>
      <w:r>
        <w:t>vlerësimet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bëjmë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katër</w:t>
      </w:r>
      <w:proofErr w:type="spellEnd"/>
      <w:r>
        <w:t xml:space="preserve"> </w:t>
      </w:r>
      <w:proofErr w:type="spellStart"/>
      <w:r>
        <w:t>shtyllave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: </w:t>
      </w:r>
      <w:proofErr w:type="spellStart"/>
      <w:r>
        <w:rPr>
          <w:i/>
        </w:rPr>
        <w:t>objektivit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themelimit</w:t>
      </w:r>
      <w:proofErr w:type="spellEnd"/>
      <w:r>
        <w:t xml:space="preserve">, </w:t>
      </w:r>
      <w:proofErr w:type="spellStart"/>
      <w:r>
        <w:rPr>
          <w:i/>
        </w:rPr>
        <w:t>burimit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financimit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strukturës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mënyrës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qeverisjes</w:t>
      </w:r>
      <w:proofErr w:type="spellEnd"/>
      <w:r>
        <w:t xml:space="preserve">. </w:t>
      </w:r>
      <w:proofErr w:type="spellStart"/>
      <w:r>
        <w:t>Shpesh</w:t>
      </w:r>
      <w:proofErr w:type="spellEnd"/>
      <w:r>
        <w:t xml:space="preserve"> FSP-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objektivë</w:t>
      </w:r>
      <w:proofErr w:type="spellEnd"/>
      <w:r>
        <w:t xml:space="preserve"> apo </w:t>
      </w:r>
      <w:proofErr w:type="spellStart"/>
      <w:r>
        <w:t>burim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investimit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dyja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poashtu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ndërlidhura</w:t>
      </w:r>
      <w:proofErr w:type="spellEnd"/>
      <w:r>
        <w:t xml:space="preserve">. </w:t>
      </w:r>
      <w:proofErr w:type="spellStart"/>
      <w:r>
        <w:t>Poashtu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shtylla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dinamike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ndryshojnë</w:t>
      </w:r>
      <w:proofErr w:type="spellEnd"/>
      <w:r>
        <w:t xml:space="preserve"> </w:t>
      </w:r>
      <w:proofErr w:type="spellStart"/>
      <w:r>
        <w:t>përgjatë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FSP-</w:t>
      </w:r>
      <w:proofErr w:type="spellStart"/>
      <w:r>
        <w:t>së</w:t>
      </w:r>
      <w:proofErr w:type="spellEnd"/>
      <w:r>
        <w:t>.</w:t>
      </w:r>
    </w:p>
    <w:p w14:paraId="50FEBEDB" w14:textId="77777777" w:rsidR="000E7BCB" w:rsidRDefault="000E7BCB"/>
    <w:p w14:paraId="57ECAA5A" w14:textId="77777777" w:rsidR="000E7BCB" w:rsidRDefault="00A620E4">
      <w:pPr>
        <w:pStyle w:val="Heading3"/>
        <w:numPr>
          <w:ilvl w:val="2"/>
          <w:numId w:val="4"/>
        </w:numPr>
      </w:pPr>
      <w:bookmarkStart w:id="9" w:name="_Toc93312372"/>
      <w:proofErr w:type="spellStart"/>
      <w:r>
        <w:t>Objektivat</w:t>
      </w:r>
      <w:bookmarkEnd w:id="9"/>
      <w:proofErr w:type="spellEnd"/>
    </w:p>
    <w:p w14:paraId="2D5033E2" w14:textId="77777777" w:rsidR="000E7BCB" w:rsidRDefault="000E7BCB"/>
    <w:p w14:paraId="78E3423C" w14:textId="77777777" w:rsidR="000E7BCB" w:rsidRDefault="00A620E4">
      <w:r>
        <w:t xml:space="preserve">Duke u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objektivat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, IMF (2008) ka </w:t>
      </w:r>
      <w:proofErr w:type="spellStart"/>
      <w:r>
        <w:t>klasifikuar</w:t>
      </w:r>
      <w:proofErr w:type="spellEnd"/>
      <w:r>
        <w:t xml:space="preserve"> FSP-</w:t>
      </w:r>
      <w:proofErr w:type="spellStart"/>
      <w:r>
        <w:t>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pesë</w:t>
      </w:r>
      <w:proofErr w:type="spellEnd"/>
      <w:r>
        <w:t xml:space="preserve"> </w:t>
      </w:r>
      <w:proofErr w:type="spellStart"/>
      <w:r>
        <w:t>lloje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Fondet</w:t>
      </w:r>
      <w:proofErr w:type="spellEnd"/>
      <w:r>
        <w:rPr>
          <w:vertAlign w:val="superscript"/>
        </w:rPr>
        <w:footnoteReference w:id="9"/>
      </w:r>
      <w:r>
        <w:t>:</w:t>
      </w:r>
    </w:p>
    <w:p w14:paraId="4170EF88" w14:textId="77777777" w:rsidR="000E7BCB" w:rsidRDefault="00A620E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proofErr w:type="spellStart"/>
      <w:r>
        <w:rPr>
          <w:b/>
          <w:i/>
          <w:color w:val="000000"/>
        </w:rPr>
        <w:t>Stabilizuese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qëllim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rregullimin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buxhetit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stabilizimin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ekonomisë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nevojitet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pasojë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luhatjes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çmimeve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lëndët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bazë</w:t>
      </w:r>
      <w:proofErr w:type="spellEnd"/>
      <w:r>
        <w:rPr>
          <w:color w:val="000000"/>
        </w:rPr>
        <w:t xml:space="preserve"> (i.e., commodity)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nafta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gazi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etj</w:t>
      </w:r>
      <w:proofErr w:type="spellEnd"/>
      <w:r>
        <w:rPr>
          <w:color w:val="000000"/>
        </w:rPr>
        <w:t>.,</w:t>
      </w:r>
    </w:p>
    <w:p w14:paraId="24A21870" w14:textId="77777777" w:rsidR="000E7BCB" w:rsidRDefault="00A620E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b/>
          <w:i/>
          <w:color w:val="000000"/>
        </w:rPr>
        <w:t xml:space="preserve">E </w:t>
      </w:r>
      <w:proofErr w:type="spellStart"/>
      <w:r>
        <w:rPr>
          <w:b/>
          <w:i/>
          <w:color w:val="000000"/>
        </w:rPr>
        <w:t>kursimeve</w:t>
      </w:r>
      <w:proofErr w:type="spellEnd"/>
      <w:r>
        <w:rPr>
          <w:i/>
          <w:color w:val="000000"/>
        </w:rPr>
        <w:t xml:space="preserve"> – </w:t>
      </w:r>
      <w:proofErr w:type="spellStart"/>
      <w:r>
        <w:rPr>
          <w:color w:val="000000"/>
        </w:rPr>
        <w:t>që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color w:val="000000"/>
        </w:rPr>
        <w:t>kanë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qëllim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rritjen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kursimeve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përmes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diversifikimit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portfoliove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zbutjen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dëmit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trashëgojnë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gjeneratat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ardhshme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përdorimi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burimeve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ripërtëritshme</w:t>
      </w:r>
      <w:proofErr w:type="spellEnd"/>
      <w:r>
        <w:rPr>
          <w:color w:val="000000"/>
        </w:rPr>
        <w:t>;</w:t>
      </w:r>
      <w:proofErr w:type="gramEnd"/>
      <w:r>
        <w:rPr>
          <w:i/>
          <w:color w:val="000000"/>
        </w:rPr>
        <w:t xml:space="preserve"> </w:t>
      </w:r>
    </w:p>
    <w:p w14:paraId="799046F8" w14:textId="77777777" w:rsidR="000E7BCB" w:rsidRDefault="00A620E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proofErr w:type="spellStart"/>
      <w:r>
        <w:rPr>
          <w:b/>
          <w:i/>
          <w:color w:val="000000"/>
        </w:rPr>
        <w:t>Për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investimin</w:t>
      </w:r>
      <w:proofErr w:type="spellEnd"/>
      <w:r>
        <w:rPr>
          <w:b/>
          <w:i/>
          <w:color w:val="000000"/>
        </w:rPr>
        <w:t xml:space="preserve"> e </w:t>
      </w:r>
      <w:proofErr w:type="spellStart"/>
      <w:r>
        <w:rPr>
          <w:b/>
          <w:i/>
          <w:color w:val="000000"/>
        </w:rPr>
        <w:t>rezervave</w:t>
      </w:r>
      <w:proofErr w:type="spellEnd"/>
      <w:r>
        <w:rPr>
          <w:i/>
          <w:color w:val="000000"/>
        </w:rPr>
        <w:t xml:space="preserve"> – </w:t>
      </w:r>
      <w:proofErr w:type="spellStart"/>
      <w:r>
        <w:rPr>
          <w:color w:val="000000"/>
        </w:rPr>
        <w:t>që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color w:val="000000"/>
        </w:rPr>
        <w:t>kanë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qëllim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rritjen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kthimit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grumbulluara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rezervë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suficiti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tregtar</w:t>
      </w:r>
      <w:proofErr w:type="spellEnd"/>
      <w:r>
        <w:rPr>
          <w:color w:val="000000"/>
        </w:rPr>
        <w:t xml:space="preserve"> apo </w:t>
      </w:r>
      <w:proofErr w:type="spellStart"/>
      <w:r>
        <w:rPr>
          <w:color w:val="000000"/>
        </w:rPr>
        <w:t>fondet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grumbulluara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privatizimit</w:t>
      </w:r>
      <w:proofErr w:type="spellEnd"/>
      <w:r>
        <w:rPr>
          <w:color w:val="000000"/>
        </w:rPr>
        <w:t>;</w:t>
      </w:r>
      <w:proofErr w:type="gramEnd"/>
    </w:p>
    <w:p w14:paraId="2EFF8078" w14:textId="77777777" w:rsidR="000E7BCB" w:rsidRDefault="00A620E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proofErr w:type="spellStart"/>
      <w:r>
        <w:rPr>
          <w:b/>
          <w:i/>
          <w:color w:val="000000"/>
        </w:rPr>
        <w:t>Zhvillimore</w:t>
      </w:r>
      <w:proofErr w:type="spellEnd"/>
      <w:r>
        <w:rPr>
          <w:i/>
          <w:color w:val="000000"/>
        </w:rPr>
        <w:t xml:space="preserve"> – </w:t>
      </w:r>
      <w:proofErr w:type="spellStart"/>
      <w:r>
        <w:rPr>
          <w:color w:val="000000"/>
        </w:rPr>
        <w:t>që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color w:val="000000"/>
        </w:rPr>
        <w:t>kanë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qëllim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mbështetjen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projekteve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zhvillimore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rrisin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mirëqenien</w:t>
      </w:r>
      <w:proofErr w:type="spellEnd"/>
      <w:r>
        <w:rPr>
          <w:color w:val="000000"/>
        </w:rPr>
        <w:t xml:space="preserve"> socio-</w:t>
      </w:r>
      <w:proofErr w:type="spellStart"/>
      <w:r>
        <w:rPr>
          <w:color w:val="000000"/>
        </w:rPr>
        <w:t>ekonomike</w:t>
      </w:r>
      <w:proofErr w:type="spellEnd"/>
      <w:r>
        <w:rPr>
          <w:color w:val="000000"/>
        </w:rPr>
        <w:t xml:space="preserve"> apo </w:t>
      </w:r>
      <w:proofErr w:type="spellStart"/>
      <w:r>
        <w:rPr>
          <w:color w:val="000000"/>
        </w:rPr>
        <w:t>ndihmojnë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ndërtimin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politikave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industriale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rrisin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prodhimin</w:t>
      </w:r>
      <w:proofErr w:type="spellEnd"/>
      <w:r>
        <w:rPr>
          <w:color w:val="000000"/>
        </w:rPr>
        <w:t>;</w:t>
      </w:r>
      <w:proofErr w:type="gramEnd"/>
    </w:p>
    <w:p w14:paraId="1AF0567C" w14:textId="77777777" w:rsidR="000E7BCB" w:rsidRDefault="00A620E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proofErr w:type="spellStart"/>
      <w:r>
        <w:rPr>
          <w:b/>
          <w:i/>
          <w:color w:val="000000"/>
        </w:rPr>
        <w:t>Për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kontigjencë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të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rezervave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pensionale</w:t>
      </w:r>
      <w:proofErr w:type="spellEnd"/>
      <w:r>
        <w:rPr>
          <w:i/>
          <w:color w:val="000000"/>
        </w:rPr>
        <w:t xml:space="preserve"> –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qëllim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mbulimin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kontigjencës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detyrimeve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pensionale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bilancin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gjendjes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Qeverisë</w:t>
      </w:r>
      <w:proofErr w:type="spellEnd"/>
      <w:r>
        <w:rPr>
          <w:color w:val="000000"/>
        </w:rPr>
        <w:t>.</w:t>
      </w:r>
    </w:p>
    <w:p w14:paraId="11329330" w14:textId="77777777" w:rsidR="000E7BCB" w:rsidRDefault="000E7BCB"/>
    <w:p w14:paraId="5C455E7E" w14:textId="77777777" w:rsidR="000E7BCB" w:rsidRDefault="00A620E4">
      <w:pPr>
        <w:pStyle w:val="Heading3"/>
        <w:numPr>
          <w:ilvl w:val="2"/>
          <w:numId w:val="4"/>
        </w:numPr>
      </w:pPr>
      <w:bookmarkStart w:id="10" w:name="_Toc93312373"/>
      <w:proofErr w:type="spellStart"/>
      <w:r>
        <w:t>Burimet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financimit</w:t>
      </w:r>
      <w:bookmarkEnd w:id="10"/>
      <w:proofErr w:type="spellEnd"/>
    </w:p>
    <w:p w14:paraId="6C47019B" w14:textId="77777777" w:rsidR="000E7BCB" w:rsidRDefault="000E7BCB"/>
    <w:p w14:paraId="7B157E7B" w14:textId="77777777" w:rsidR="000E7BCB" w:rsidRDefault="00A620E4">
      <w:r>
        <w:t xml:space="preserve">Dy </w:t>
      </w:r>
      <w:proofErr w:type="spellStart"/>
      <w:r>
        <w:t>burimet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karakterizojnë</w:t>
      </w:r>
      <w:proofErr w:type="spellEnd"/>
      <w:r>
        <w:t xml:space="preserve"> </w:t>
      </w:r>
      <w:proofErr w:type="spellStart"/>
      <w:r>
        <w:t>origjinën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mënyrën</w:t>
      </w:r>
      <w:proofErr w:type="spellEnd"/>
      <w:r>
        <w:t xml:space="preserve"> e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FSP-</w:t>
      </w:r>
      <w:proofErr w:type="spellStart"/>
      <w:r>
        <w:t>ve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: a)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lëndës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burimet</w:t>
      </w:r>
      <w:proofErr w:type="spellEnd"/>
      <w:r>
        <w:t xml:space="preserve"> </w:t>
      </w:r>
      <w:proofErr w:type="spellStart"/>
      <w:r>
        <w:t>natyrore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nafta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gazi</w:t>
      </w:r>
      <w:proofErr w:type="spellEnd"/>
      <w:r>
        <w:t xml:space="preserve"> (i.e., </w:t>
      </w:r>
      <w:r>
        <w:rPr>
          <w:i/>
        </w:rPr>
        <w:t>commodity</w:t>
      </w:r>
      <w:r>
        <w:t xml:space="preserve">) </w:t>
      </w:r>
      <w:proofErr w:type="spellStart"/>
      <w:r>
        <w:t>dhe</w:t>
      </w:r>
      <w:proofErr w:type="spellEnd"/>
      <w:r>
        <w:t xml:space="preserve">, b)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formave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bazohen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lëndën</w:t>
      </w:r>
      <w:proofErr w:type="spellEnd"/>
      <w:r>
        <w:t xml:space="preserve"> e </w:t>
      </w:r>
      <w:proofErr w:type="spellStart"/>
      <w:r>
        <w:t>parë</w:t>
      </w:r>
      <w:proofErr w:type="spellEnd"/>
      <w:r>
        <w:t xml:space="preserve"> (i.e., </w:t>
      </w:r>
      <w:r>
        <w:rPr>
          <w:i/>
        </w:rPr>
        <w:t>non-commodity</w:t>
      </w:r>
      <w:r>
        <w:t xml:space="preserve">)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mbetjet</w:t>
      </w:r>
      <w:proofErr w:type="spellEnd"/>
      <w:r>
        <w:t xml:space="preserve"> </w:t>
      </w:r>
      <w:proofErr w:type="spellStart"/>
      <w:r>
        <w:t>fiskale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Qeverive</w:t>
      </w:r>
      <w:proofErr w:type="spellEnd"/>
      <w:r>
        <w:t xml:space="preserve">, </w:t>
      </w:r>
      <w:proofErr w:type="spellStart"/>
      <w:r>
        <w:t>fondet</w:t>
      </w:r>
      <w:proofErr w:type="spellEnd"/>
      <w:r>
        <w:t xml:space="preserve"> e </w:t>
      </w:r>
      <w:proofErr w:type="spellStart"/>
      <w:r>
        <w:t>grumbulluara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proceset</w:t>
      </w:r>
      <w:proofErr w:type="spellEnd"/>
      <w:r>
        <w:t xml:space="preserve"> e </w:t>
      </w:r>
      <w:proofErr w:type="spellStart"/>
      <w:r>
        <w:t>privatizimeve</w:t>
      </w:r>
      <w:proofErr w:type="spellEnd"/>
      <w:r>
        <w:t xml:space="preserve">, </w:t>
      </w:r>
      <w:proofErr w:type="spellStart"/>
      <w:r>
        <w:t>etj</w:t>
      </w:r>
      <w:proofErr w:type="spellEnd"/>
      <w:r>
        <w:t>.</w:t>
      </w:r>
    </w:p>
    <w:p w14:paraId="02A23989" w14:textId="77777777" w:rsidR="000E7BCB" w:rsidRDefault="000E7BCB"/>
    <w:p w14:paraId="2485F232" w14:textId="77777777" w:rsidR="000E7BCB" w:rsidRDefault="00A620E4">
      <w:pPr>
        <w:pStyle w:val="Heading3"/>
        <w:numPr>
          <w:ilvl w:val="2"/>
          <w:numId w:val="4"/>
        </w:numPr>
      </w:pPr>
      <w:bookmarkStart w:id="11" w:name="_Toc93312374"/>
      <w:proofErr w:type="spellStart"/>
      <w:r>
        <w:t>Struktura</w:t>
      </w:r>
      <w:bookmarkEnd w:id="11"/>
      <w:proofErr w:type="spellEnd"/>
    </w:p>
    <w:p w14:paraId="41A92F33" w14:textId="77777777" w:rsidR="000E7BCB" w:rsidRDefault="000E7BCB"/>
    <w:p w14:paraId="12848981" w14:textId="77777777" w:rsidR="000E7BCB" w:rsidRDefault="00A620E4">
      <w:proofErr w:type="spellStart"/>
      <w:r>
        <w:t>Struktura</w:t>
      </w:r>
      <w:proofErr w:type="spellEnd"/>
      <w:r>
        <w:t xml:space="preserve"> e </w:t>
      </w:r>
      <w:proofErr w:type="spellStart"/>
      <w:r>
        <w:t>organizative</w:t>
      </w:r>
      <w:proofErr w:type="spellEnd"/>
      <w:r>
        <w:t xml:space="preserve"> e FSP-</w:t>
      </w:r>
      <w:proofErr w:type="spellStart"/>
      <w:r>
        <w:t>vë</w:t>
      </w:r>
      <w:proofErr w:type="spellEnd"/>
      <w:r>
        <w:t xml:space="preserve"> </w:t>
      </w:r>
      <w:proofErr w:type="spellStart"/>
      <w:r>
        <w:t>ndërtohet</w:t>
      </w:r>
      <w:proofErr w:type="spellEnd"/>
      <w:r>
        <w:t xml:space="preserve"> duke u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sërë</w:t>
      </w:r>
      <w:proofErr w:type="spellEnd"/>
      <w:r>
        <w:t xml:space="preserve"> </w:t>
      </w:r>
      <w:proofErr w:type="spellStart"/>
      <w:r>
        <w:t>faktorësh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publikim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Peterson Institute for International Economics (PIIE)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shkurt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2021, </w:t>
      </w:r>
      <w:proofErr w:type="spellStart"/>
      <w:r>
        <w:lastRenderedPageBreak/>
        <w:t>janë</w:t>
      </w:r>
      <w:proofErr w:type="spellEnd"/>
      <w:r>
        <w:t xml:space="preserve"> </w:t>
      </w:r>
      <w:proofErr w:type="spellStart"/>
      <w:r>
        <w:t>vlerësuar</w:t>
      </w:r>
      <w:proofErr w:type="spellEnd"/>
      <w:r>
        <w:t xml:space="preserve"> 64 FPS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botë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notuar</w:t>
      </w:r>
      <w:proofErr w:type="spellEnd"/>
      <w:r>
        <w:t xml:space="preserve"> </w:t>
      </w:r>
      <w:proofErr w:type="spellStart"/>
      <w:r>
        <w:t>komponentë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dalin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Parimet</w:t>
      </w:r>
      <w:proofErr w:type="spellEnd"/>
      <w:r>
        <w:t xml:space="preserve"> e </w:t>
      </w:r>
      <w:proofErr w:type="spellStart"/>
      <w:r>
        <w:t>Santiagos</w:t>
      </w:r>
      <w:proofErr w:type="spellEnd"/>
      <w:r>
        <w:t>.</w:t>
      </w:r>
      <w:r>
        <w:rPr>
          <w:vertAlign w:val="superscript"/>
        </w:rPr>
        <w:footnoteReference w:id="10"/>
      </w:r>
      <w:r>
        <w:t xml:space="preserve"> Sa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përket</w:t>
      </w:r>
      <w:proofErr w:type="spellEnd"/>
      <w:r>
        <w:t xml:space="preserve"> </w:t>
      </w:r>
      <w:proofErr w:type="spellStart"/>
      <w:r>
        <w:t>strukturës</w:t>
      </w:r>
      <w:proofErr w:type="spellEnd"/>
      <w:r>
        <w:t xml:space="preserve">,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vlerësuar</w:t>
      </w:r>
      <w:proofErr w:type="spellEnd"/>
      <w:r>
        <w:t xml:space="preserve">: </w:t>
      </w:r>
      <w:proofErr w:type="spellStart"/>
      <w:r>
        <w:t>objektiva</w:t>
      </w:r>
      <w:proofErr w:type="spellEnd"/>
      <w:r>
        <w:t xml:space="preserve"> e </w:t>
      </w:r>
      <w:proofErr w:type="spellStart"/>
      <w:r>
        <w:t>deklaruar</w:t>
      </w:r>
      <w:proofErr w:type="spellEnd"/>
      <w:r>
        <w:t xml:space="preserve">,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e </w:t>
      </w:r>
      <w:proofErr w:type="spellStart"/>
      <w:r>
        <w:t>deklaruar</w:t>
      </w:r>
      <w:proofErr w:type="spellEnd"/>
      <w:r>
        <w:t xml:space="preserve">, </w:t>
      </w:r>
      <w:proofErr w:type="spellStart"/>
      <w:r>
        <w:t>procedurat</w:t>
      </w:r>
      <w:proofErr w:type="spellEnd"/>
      <w:r>
        <w:t xml:space="preserve"> e </w:t>
      </w:r>
      <w:proofErr w:type="spellStart"/>
      <w:r>
        <w:t>deklaruara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ndryshimin</w:t>
      </w:r>
      <w:proofErr w:type="spellEnd"/>
      <w:r>
        <w:t xml:space="preserve"> e </w:t>
      </w:r>
      <w:proofErr w:type="spellStart"/>
      <w:r>
        <w:t>strukturës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strategjia</w:t>
      </w:r>
      <w:proofErr w:type="spellEnd"/>
      <w:r>
        <w:t xml:space="preserve"> e </w:t>
      </w:r>
      <w:proofErr w:type="spellStart"/>
      <w:r>
        <w:t>deklaruar</w:t>
      </w:r>
      <w:proofErr w:type="spellEnd"/>
      <w:r>
        <w:t xml:space="preserve"> e </w:t>
      </w:r>
      <w:proofErr w:type="spellStart"/>
      <w:r>
        <w:t>investimeve</w:t>
      </w:r>
      <w:proofErr w:type="spellEnd"/>
      <w:r>
        <w:t xml:space="preserve">, </w:t>
      </w:r>
      <w:proofErr w:type="spellStart"/>
      <w:r>
        <w:t>deklarimi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investimeve</w:t>
      </w:r>
      <w:proofErr w:type="spellEnd"/>
      <w:r>
        <w:t xml:space="preserve">, </w:t>
      </w:r>
      <w:proofErr w:type="spellStart"/>
      <w:r>
        <w:t>deklarimi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përdorimit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mjeteve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investuara</w:t>
      </w:r>
      <w:proofErr w:type="spellEnd"/>
      <w:r>
        <w:t xml:space="preserve">, </w:t>
      </w:r>
      <w:proofErr w:type="spellStart"/>
      <w:r>
        <w:t>integrimi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FPS-</w:t>
      </w:r>
      <w:proofErr w:type="spellStart"/>
      <w:r>
        <w:t>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politikat</w:t>
      </w:r>
      <w:proofErr w:type="spellEnd"/>
      <w:r>
        <w:t xml:space="preserve"> e </w:t>
      </w:r>
      <w:proofErr w:type="spellStart"/>
      <w:r>
        <w:t>qeverisë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ndarja</w:t>
      </w:r>
      <w:proofErr w:type="spellEnd"/>
      <w:r>
        <w:t xml:space="preserve"> e </w:t>
      </w:r>
      <w:proofErr w:type="spellStart"/>
      <w:r>
        <w:t>burimeve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FPS-</w:t>
      </w:r>
      <w:proofErr w:type="spellStart"/>
      <w:r>
        <w:t>ës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rezervat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komponentë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pasur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mendohet</w:t>
      </w:r>
      <w:proofErr w:type="spellEnd"/>
      <w:r>
        <w:t xml:space="preserve"> </w:t>
      </w:r>
      <w:proofErr w:type="spellStart"/>
      <w:r>
        <w:t>ndërtimi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structures </w:t>
      </w:r>
      <w:proofErr w:type="spellStart"/>
      <w:r>
        <w:t>së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>.</w:t>
      </w:r>
    </w:p>
    <w:p w14:paraId="019BC267" w14:textId="77777777" w:rsidR="000E7BCB" w:rsidRDefault="000E7BCB"/>
    <w:p w14:paraId="4F7DA729" w14:textId="77777777" w:rsidR="000E7BCB" w:rsidRDefault="00A620E4">
      <w:pPr>
        <w:pStyle w:val="Heading3"/>
        <w:numPr>
          <w:ilvl w:val="2"/>
          <w:numId w:val="4"/>
        </w:numPr>
      </w:pPr>
      <w:bookmarkStart w:id="12" w:name="_Toc93312375"/>
      <w:proofErr w:type="spellStart"/>
      <w:r>
        <w:t>Qeverisja</w:t>
      </w:r>
      <w:bookmarkEnd w:id="12"/>
      <w:proofErr w:type="spellEnd"/>
      <w:r>
        <w:t xml:space="preserve"> </w:t>
      </w:r>
    </w:p>
    <w:p w14:paraId="22829D26" w14:textId="77777777" w:rsidR="000E7BCB" w:rsidRDefault="000E7BCB"/>
    <w:p w14:paraId="07D3842A" w14:textId="77777777" w:rsidR="000E7BCB" w:rsidRDefault="00A620E4">
      <w:proofErr w:type="spellStart"/>
      <w:r>
        <w:t>Rritja</w:t>
      </w:r>
      <w:proofErr w:type="spellEnd"/>
      <w:r>
        <w:t xml:space="preserve"> e FSP-</w:t>
      </w:r>
      <w:proofErr w:type="spellStart"/>
      <w:r>
        <w:t>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tejkalimi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sfidave</w:t>
      </w:r>
      <w:proofErr w:type="spellEnd"/>
      <w:r>
        <w:t xml:space="preserve"> </w:t>
      </w:r>
      <w:proofErr w:type="spellStart"/>
      <w:r>
        <w:t>përgjatë</w:t>
      </w:r>
      <w:proofErr w:type="spellEnd"/>
      <w:r>
        <w:t xml:space="preserve"> </w:t>
      </w:r>
      <w:proofErr w:type="spellStart"/>
      <w:r>
        <w:t>rrugës</w:t>
      </w:r>
      <w:proofErr w:type="spellEnd"/>
      <w:r>
        <w:t xml:space="preserve"> </w:t>
      </w:r>
      <w:proofErr w:type="spellStart"/>
      <w:r>
        <w:t>kërkojnë</w:t>
      </w:r>
      <w:proofErr w:type="spellEnd"/>
      <w:r>
        <w:t xml:space="preserve"> </w:t>
      </w:r>
      <w:proofErr w:type="spellStart"/>
      <w:r>
        <w:t>qeverisje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me </w:t>
      </w:r>
      <w:proofErr w:type="spellStart"/>
      <w:r>
        <w:t>rëndësi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kihen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sërë</w:t>
      </w:r>
      <w:proofErr w:type="spellEnd"/>
      <w:r>
        <w:t xml:space="preserve"> </w:t>
      </w:r>
      <w:proofErr w:type="spellStart"/>
      <w:r>
        <w:t>faktorësh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poashtu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renditur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publikimin</w:t>
      </w:r>
      <w:proofErr w:type="spellEnd"/>
      <w:r>
        <w:t xml:space="preserve"> e PIIE, duke </w:t>
      </w:r>
      <w:proofErr w:type="spellStart"/>
      <w:r>
        <w:t>përfshirë</w:t>
      </w:r>
      <w:proofErr w:type="spellEnd"/>
      <w:r>
        <w:t xml:space="preserve">: </w:t>
      </w:r>
      <w:proofErr w:type="spellStart"/>
      <w:r>
        <w:t>definimin</w:t>
      </w:r>
      <w:proofErr w:type="spellEnd"/>
      <w:r>
        <w:t xml:space="preserve"> e </w:t>
      </w:r>
      <w:proofErr w:type="spellStart"/>
      <w:r>
        <w:t>qartë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rolit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, </w:t>
      </w:r>
      <w:proofErr w:type="spellStart"/>
      <w:r>
        <w:t>definimin</w:t>
      </w:r>
      <w:proofErr w:type="spellEnd"/>
      <w:r>
        <w:t xml:space="preserve"> e </w:t>
      </w:r>
      <w:proofErr w:type="spellStart"/>
      <w:r>
        <w:t>qartë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rolit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trupit</w:t>
      </w:r>
      <w:proofErr w:type="spellEnd"/>
      <w:r>
        <w:t xml:space="preserve"> </w:t>
      </w:r>
      <w:proofErr w:type="spellStart"/>
      <w:r>
        <w:t>qeverisës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), </w:t>
      </w:r>
      <w:proofErr w:type="spellStart"/>
      <w:r>
        <w:t>definimin</w:t>
      </w:r>
      <w:proofErr w:type="spellEnd"/>
      <w:r>
        <w:t xml:space="preserve"> e </w:t>
      </w:r>
      <w:proofErr w:type="spellStart"/>
      <w:r>
        <w:t>qartë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rolit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menaxherëve</w:t>
      </w:r>
      <w:proofErr w:type="spellEnd"/>
      <w:r>
        <w:t xml:space="preserve">, </w:t>
      </w:r>
      <w:proofErr w:type="spellStart"/>
      <w:r>
        <w:t>marrjen</w:t>
      </w:r>
      <w:proofErr w:type="spellEnd"/>
      <w:r>
        <w:t xml:space="preserve"> e </w:t>
      </w:r>
      <w:proofErr w:type="spellStart"/>
      <w:r>
        <w:t>vendimeve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menaxherët</w:t>
      </w:r>
      <w:proofErr w:type="spellEnd"/>
      <w:r>
        <w:t xml:space="preserve">, </w:t>
      </w:r>
      <w:proofErr w:type="spellStart"/>
      <w:r>
        <w:t>specifikimin</w:t>
      </w:r>
      <w:proofErr w:type="spellEnd"/>
      <w:r>
        <w:t xml:space="preserve"> e </w:t>
      </w:r>
      <w:proofErr w:type="spellStart"/>
      <w:r>
        <w:t>standardeve</w:t>
      </w:r>
      <w:proofErr w:type="spellEnd"/>
      <w:r>
        <w:t xml:space="preserve"> </w:t>
      </w:r>
      <w:proofErr w:type="spellStart"/>
      <w:r>
        <w:t>etike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vendosjen</w:t>
      </w:r>
      <w:proofErr w:type="spellEnd"/>
      <w:r>
        <w:t xml:space="preserve"> e </w:t>
      </w:r>
      <w:proofErr w:type="spellStart"/>
      <w:r>
        <w:t>udhëzimeve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përgjegjësi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vendosjen</w:t>
      </w:r>
      <w:proofErr w:type="spellEnd"/>
      <w:r>
        <w:t xml:space="preserve"> e </w:t>
      </w:r>
      <w:proofErr w:type="spellStart"/>
      <w:r>
        <w:t>udhëzimeve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etikën</w:t>
      </w:r>
      <w:proofErr w:type="spellEnd"/>
      <w:r>
        <w:t xml:space="preserve"> e </w:t>
      </w:r>
      <w:proofErr w:type="spellStart"/>
      <w:r>
        <w:t>investimeve</w:t>
      </w:r>
      <w:proofErr w:type="spellEnd"/>
      <w:r>
        <w:t>.</w:t>
      </w:r>
      <w:r>
        <w:rPr>
          <w:vertAlign w:val="superscript"/>
        </w:rPr>
        <w:footnoteReference w:id="11"/>
      </w:r>
    </w:p>
    <w:p w14:paraId="5881EC10" w14:textId="77777777" w:rsidR="000E7BCB" w:rsidRDefault="000E7BCB"/>
    <w:p w14:paraId="0B4A137B" w14:textId="77777777" w:rsidR="000E7BCB" w:rsidRDefault="00A620E4">
      <w:r>
        <w:t xml:space="preserve">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rritjes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bashkëpunimit</w:t>
      </w:r>
      <w:proofErr w:type="spellEnd"/>
      <w:r>
        <w:t xml:space="preserve"> </w:t>
      </w:r>
      <w:proofErr w:type="spellStart"/>
      <w:r>
        <w:t>ndërkombëtarë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përmirësimit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qeverisjes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2009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themeluar</w:t>
      </w:r>
      <w:proofErr w:type="spellEnd"/>
      <w:r>
        <w:t xml:space="preserve"> </w:t>
      </w:r>
      <w:proofErr w:type="spellStart"/>
      <w:r>
        <w:t>Forumi</w:t>
      </w:r>
      <w:proofErr w:type="spellEnd"/>
      <w:r>
        <w:t xml:space="preserve"> </w:t>
      </w:r>
      <w:proofErr w:type="spellStart"/>
      <w:r>
        <w:t>Ndërkombëtar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Pasurisë</w:t>
      </w:r>
      <w:proofErr w:type="spellEnd"/>
      <w:r>
        <w:t xml:space="preserve"> </w:t>
      </w:r>
      <w:proofErr w:type="spellStart"/>
      <w:r>
        <w:t>Sovrane</w:t>
      </w:r>
      <w:proofErr w:type="spellEnd"/>
      <w:r>
        <w:t xml:space="preserve"> (FNFPS)</w:t>
      </w:r>
      <w:r>
        <w:rPr>
          <w:vertAlign w:val="superscript"/>
        </w:rPr>
        <w:footnoteReference w:id="12"/>
      </w:r>
      <w:r>
        <w:t xml:space="preserve">. </w:t>
      </w:r>
      <w:proofErr w:type="spellStart"/>
      <w:r>
        <w:t>Anëtarësimi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forum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vullnetar</w:t>
      </w:r>
      <w:proofErr w:type="spellEnd"/>
      <w:r>
        <w:t xml:space="preserve">. </w:t>
      </w:r>
      <w:proofErr w:type="spellStart"/>
      <w:r>
        <w:t>Aktualisht</w:t>
      </w:r>
      <w:proofErr w:type="spellEnd"/>
      <w:r>
        <w:t xml:space="preserve"> FNFPS ka </w:t>
      </w:r>
      <w:proofErr w:type="spellStart"/>
      <w:r>
        <w:t>mbi</w:t>
      </w:r>
      <w:proofErr w:type="spellEnd"/>
      <w:r>
        <w:t xml:space="preserve"> 30 FPS </w:t>
      </w:r>
      <w:proofErr w:type="spellStart"/>
      <w:r>
        <w:t>anëtare</w:t>
      </w:r>
      <w:proofErr w:type="spellEnd"/>
      <w:r>
        <w:t xml:space="preserve">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FPS-</w:t>
      </w:r>
      <w:proofErr w:type="spellStart"/>
      <w:r>
        <w:t>të</w:t>
      </w:r>
      <w:proofErr w:type="spellEnd"/>
      <w:r>
        <w:t xml:space="preserve"> e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forumi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adoptuar</w:t>
      </w:r>
      <w:proofErr w:type="spellEnd"/>
      <w:r>
        <w:t xml:space="preserve"> </w:t>
      </w:r>
      <w:proofErr w:type="spellStart"/>
      <w:r>
        <w:t>Parimet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Praktikat</w:t>
      </w:r>
      <w:proofErr w:type="spellEnd"/>
      <w:r>
        <w:t xml:space="preserve"> e </w:t>
      </w:r>
      <w:proofErr w:type="spellStart"/>
      <w:r>
        <w:t>Pranuara</w:t>
      </w:r>
      <w:proofErr w:type="spellEnd"/>
      <w:r>
        <w:t xml:space="preserve"> </w:t>
      </w:r>
      <w:proofErr w:type="spellStart"/>
      <w:r>
        <w:t>Përgjithësisht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njihen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Parimet</w:t>
      </w:r>
      <w:proofErr w:type="spellEnd"/>
      <w:r>
        <w:t xml:space="preserve"> e </w:t>
      </w:r>
      <w:proofErr w:type="spellStart"/>
      <w:r>
        <w:t>Santiagos</w:t>
      </w:r>
      <w:proofErr w:type="spellEnd"/>
      <w:r>
        <w:t>.</w:t>
      </w:r>
      <w:r>
        <w:rPr>
          <w:vertAlign w:val="superscript"/>
        </w:rPr>
        <w:footnoteReference w:id="13"/>
      </w:r>
      <w:r>
        <w:t xml:space="preserve"> </w:t>
      </w:r>
      <w:proofErr w:type="spellStart"/>
      <w:r>
        <w:t>Këto</w:t>
      </w:r>
      <w:proofErr w:type="spellEnd"/>
      <w:r>
        <w:t xml:space="preserve"> 24 </w:t>
      </w:r>
      <w:proofErr w:type="spellStart"/>
      <w:r>
        <w:t>parime</w:t>
      </w:r>
      <w:proofErr w:type="spellEnd"/>
      <w:r>
        <w:t xml:space="preserve"> </w:t>
      </w:r>
      <w:proofErr w:type="spellStart"/>
      <w:r>
        <w:t>përfshijnë</w:t>
      </w:r>
      <w:proofErr w:type="spellEnd"/>
      <w:r>
        <w:t xml:space="preserve"> </w:t>
      </w:r>
      <w:proofErr w:type="spellStart"/>
      <w:r>
        <w:t>udhëzime</w:t>
      </w:r>
      <w:proofErr w:type="spellEnd"/>
      <w:r>
        <w:t xml:space="preserve"> </w:t>
      </w:r>
      <w:proofErr w:type="spellStart"/>
      <w:r>
        <w:t>praktike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qeverisjen</w:t>
      </w:r>
      <w:proofErr w:type="spellEnd"/>
      <w:r>
        <w:t xml:space="preserve"> e </w:t>
      </w:r>
      <w:proofErr w:type="spellStart"/>
      <w:r>
        <w:t>mirë</w:t>
      </w:r>
      <w:proofErr w:type="spellEnd"/>
      <w:r>
        <w:t xml:space="preserve">, </w:t>
      </w:r>
      <w:proofErr w:type="spellStart"/>
      <w:r>
        <w:t>transparencën</w:t>
      </w:r>
      <w:proofErr w:type="spellEnd"/>
      <w:r>
        <w:t xml:space="preserve">, </w:t>
      </w:r>
      <w:proofErr w:type="spellStart"/>
      <w:r>
        <w:t>llogaridhënien</w:t>
      </w:r>
      <w:proofErr w:type="spellEnd"/>
      <w:r>
        <w:t xml:space="preserve">, </w:t>
      </w:r>
      <w:proofErr w:type="spellStart"/>
      <w:r>
        <w:t>promovimin</w:t>
      </w:r>
      <w:proofErr w:type="spellEnd"/>
      <w:r>
        <w:t xml:space="preserve"> e </w:t>
      </w:r>
      <w:proofErr w:type="spellStart"/>
      <w:r>
        <w:t>investimeve</w:t>
      </w:r>
      <w:proofErr w:type="spellEnd"/>
      <w:r>
        <w:t xml:space="preserve">, </w:t>
      </w:r>
      <w:proofErr w:type="spellStart"/>
      <w:r>
        <w:t>stabilitetin</w:t>
      </w:r>
      <w:proofErr w:type="spellEnd"/>
      <w:r>
        <w:t xml:space="preserve"> e </w:t>
      </w:r>
      <w:proofErr w:type="spellStart"/>
      <w:r>
        <w:t>sistemeve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bashkëpunimin</w:t>
      </w:r>
      <w:proofErr w:type="spellEnd"/>
      <w:r>
        <w:t xml:space="preserve"> </w:t>
      </w:r>
      <w:proofErr w:type="spellStart"/>
      <w:r>
        <w:t>ndërkombëtarë</w:t>
      </w:r>
      <w:proofErr w:type="spellEnd"/>
      <w:r>
        <w:t>.</w:t>
      </w:r>
      <w:r>
        <w:rPr>
          <w:vertAlign w:val="superscript"/>
        </w:rPr>
        <w:footnoteReference w:id="14"/>
      </w:r>
    </w:p>
    <w:p w14:paraId="33DA1E37" w14:textId="77777777" w:rsidR="000E7BCB" w:rsidRDefault="000E7BCB"/>
    <w:p w14:paraId="51C5F73A" w14:textId="77777777" w:rsidR="000E7BCB" w:rsidRDefault="000E7BCB"/>
    <w:p w14:paraId="32AA3E58" w14:textId="77777777" w:rsidR="000E7BCB" w:rsidRDefault="00A620E4">
      <w:pPr>
        <w:pStyle w:val="Heading2"/>
        <w:numPr>
          <w:ilvl w:val="1"/>
          <w:numId w:val="4"/>
        </w:numPr>
      </w:pPr>
      <w:bookmarkStart w:id="13" w:name="_Toc93312376"/>
      <w:r>
        <w:t>MODELET KRAHASUESE</w:t>
      </w:r>
      <w:bookmarkEnd w:id="13"/>
    </w:p>
    <w:p w14:paraId="48267A61" w14:textId="77777777" w:rsidR="000E7BCB" w:rsidRDefault="000E7BCB"/>
    <w:p w14:paraId="0731AEDD" w14:textId="77777777" w:rsidR="000E7BCB" w:rsidRDefault="00A620E4">
      <w:proofErr w:type="spellStart"/>
      <w:r>
        <w:t>Ndonëse</w:t>
      </w:r>
      <w:proofErr w:type="spellEnd"/>
      <w:r>
        <w:t xml:space="preserve"> IFPS-ja </w:t>
      </w:r>
      <w:proofErr w:type="spellStart"/>
      <w:r>
        <w:t>i</w:t>
      </w:r>
      <w:proofErr w:type="spellEnd"/>
      <w:r>
        <w:t xml:space="preserve"> </w:t>
      </w:r>
      <w:proofErr w:type="spellStart"/>
      <w:r>
        <w:t>rendit</w:t>
      </w:r>
      <w:proofErr w:type="spellEnd"/>
      <w:r>
        <w:t xml:space="preserve"> 134 FPS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botë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shkak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karakteritikave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lartpërmendura</w:t>
      </w:r>
      <w:proofErr w:type="spellEnd"/>
      <w:r>
        <w:t>, FSP-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dallime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theksuara</w:t>
      </w:r>
      <w:proofErr w:type="spellEnd"/>
      <w:r>
        <w:t xml:space="preserve">. </w:t>
      </w:r>
      <w:proofErr w:type="spellStart"/>
      <w:r>
        <w:t>Prandaj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ta </w:t>
      </w:r>
      <w:proofErr w:type="spellStart"/>
      <w:r>
        <w:t>ndërtuar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model </w:t>
      </w:r>
      <w:proofErr w:type="spellStart"/>
      <w:r>
        <w:t>të</w:t>
      </w:r>
      <w:proofErr w:type="spellEnd"/>
      <w:r>
        <w:t xml:space="preserve"> FSP-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Kosovën</w:t>
      </w:r>
      <w:proofErr w:type="spellEnd"/>
      <w:r>
        <w:t xml:space="preserve">,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pasur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sërë</w:t>
      </w:r>
      <w:proofErr w:type="spellEnd"/>
      <w:r>
        <w:t xml:space="preserve"> </w:t>
      </w:r>
      <w:proofErr w:type="spellStart"/>
      <w:r>
        <w:t>parametrash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cilave</w:t>
      </w:r>
      <w:proofErr w:type="spellEnd"/>
      <w:r>
        <w:t xml:space="preserve"> </w:t>
      </w:r>
      <w:proofErr w:type="spellStart"/>
      <w:r>
        <w:t>gjenden</w:t>
      </w:r>
      <w:proofErr w:type="spellEnd"/>
      <w:r>
        <w:t xml:space="preserve"> </w:t>
      </w:r>
      <w:proofErr w:type="spellStart"/>
      <w:r>
        <w:t>modelet</w:t>
      </w:r>
      <w:proofErr w:type="spellEnd"/>
      <w:r>
        <w:t xml:space="preserve"> </w:t>
      </w:r>
      <w:proofErr w:type="spellStart"/>
      <w:r>
        <w:t>krahasuese</w:t>
      </w:r>
      <w:proofErr w:type="spellEnd"/>
      <w:r>
        <w:t xml:space="preserve">. </w:t>
      </w:r>
      <w:proofErr w:type="spellStart"/>
      <w:r>
        <w:t>Ndonëse</w:t>
      </w:r>
      <w:proofErr w:type="spellEnd"/>
      <w:r>
        <w:t xml:space="preserve"> jo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modelet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parametrat</w:t>
      </w:r>
      <w:proofErr w:type="spellEnd"/>
      <w:r>
        <w:t xml:space="preserve">,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rëndësishme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to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përkojnë</w:t>
      </w:r>
      <w:proofErr w:type="spellEnd"/>
      <w:r>
        <w:t xml:space="preserve"> me </w:t>
      </w:r>
      <w:proofErr w:type="spellStart"/>
      <w:r>
        <w:t>rastet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krahasohen</w:t>
      </w:r>
      <w:proofErr w:type="spellEnd"/>
      <w:r>
        <w:t xml:space="preserve">. </w:t>
      </w:r>
    </w:p>
    <w:p w14:paraId="180DFCAD" w14:textId="77777777" w:rsidR="000E7BCB" w:rsidRDefault="000E7BCB"/>
    <w:p w14:paraId="6BA328A6" w14:textId="77777777" w:rsidR="000E7BCB" w:rsidRDefault="00A620E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b/>
          <w:color w:val="000000"/>
        </w:rPr>
        <w:t>Objektivat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klasifikimeve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lartpërmendura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objektivat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kryesore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FPS-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</w:t>
      </w:r>
      <w:proofErr w:type="spellEnd"/>
      <w:r>
        <w:rPr>
          <w:color w:val="000000"/>
        </w:rPr>
        <w:t xml:space="preserve"> do ta </w:t>
      </w:r>
      <w:proofErr w:type="spellStart"/>
      <w:r>
        <w:rPr>
          <w:color w:val="000000"/>
        </w:rPr>
        <w:t>karakterizonin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investiv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meqë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Kosova</w:t>
      </w:r>
      <w:proofErr w:type="spellEnd"/>
      <w:r>
        <w:rPr>
          <w:color w:val="000000"/>
        </w:rPr>
        <w:t xml:space="preserve"> ka </w:t>
      </w:r>
      <w:proofErr w:type="spellStart"/>
      <w:r>
        <w:rPr>
          <w:color w:val="000000"/>
        </w:rPr>
        <w:t>ndërmarrjet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AKP),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zhvillimorë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meqë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rritur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mirëqenia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socioekonomike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mbështetjes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ri-industrializimit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mundësi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rritje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punësimit</w:t>
      </w:r>
      <w:proofErr w:type="spellEnd"/>
      <w:r>
        <w:rPr>
          <w:color w:val="000000"/>
        </w:rPr>
        <w:t xml:space="preserve">).  </w:t>
      </w:r>
    </w:p>
    <w:p w14:paraId="6D5B6429" w14:textId="77777777" w:rsidR="000E7BCB" w:rsidRDefault="000E7BCB"/>
    <w:p w14:paraId="661E5C79" w14:textId="77777777" w:rsidR="000E7BCB" w:rsidRDefault="00A620E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proofErr w:type="spellStart"/>
      <w:r>
        <w:rPr>
          <w:b/>
          <w:color w:val="000000"/>
        </w:rPr>
        <w:t>Burimet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kryesore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të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financimit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color w:val="000000"/>
        </w:rPr>
        <w:t>Meqë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prodhuese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naftës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gazit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atëherë</w:t>
      </w:r>
      <w:proofErr w:type="spellEnd"/>
      <w:r>
        <w:rPr>
          <w:color w:val="000000"/>
        </w:rPr>
        <w:t xml:space="preserve"> FPS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kishte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burim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investimet</w:t>
      </w:r>
      <w:proofErr w:type="spellEnd"/>
      <w:r>
        <w:rPr>
          <w:color w:val="000000"/>
        </w:rPr>
        <w:t xml:space="preserve"> forma </w:t>
      </w:r>
      <w:proofErr w:type="spellStart"/>
      <w:r>
        <w:rPr>
          <w:color w:val="000000"/>
        </w:rPr>
        <w:t>tjera</w:t>
      </w:r>
      <w:proofErr w:type="spellEnd"/>
      <w:r>
        <w:rPr>
          <w:color w:val="000000"/>
        </w:rPr>
        <w:t xml:space="preserve"> (i.e., non-commodity).</w:t>
      </w:r>
    </w:p>
    <w:p w14:paraId="35CE773B" w14:textId="77777777" w:rsidR="000E7BCB" w:rsidRDefault="000E7BCB"/>
    <w:p w14:paraId="4CC0F424" w14:textId="77777777" w:rsidR="000E7BCB" w:rsidRDefault="00A620E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proofErr w:type="spellStart"/>
      <w:r>
        <w:rPr>
          <w:b/>
          <w:color w:val="000000"/>
        </w:rPr>
        <w:t>Krahasueshmëria</w:t>
      </w:r>
      <w:proofErr w:type="spellEnd"/>
      <w:r>
        <w:rPr>
          <w:b/>
          <w:color w:val="000000"/>
        </w:rPr>
        <w:t xml:space="preserve"> e </w:t>
      </w:r>
      <w:proofErr w:type="spellStart"/>
      <w:r>
        <w:rPr>
          <w:b/>
          <w:color w:val="000000"/>
        </w:rPr>
        <w:t>kontekstit</w:t>
      </w:r>
      <w:proofErr w:type="spellEnd"/>
      <w:r>
        <w:rPr>
          <w:b/>
          <w:color w:val="000000"/>
        </w:rPr>
        <w:t xml:space="preserve">: </w:t>
      </w:r>
      <w:proofErr w:type="spellStart"/>
      <w:r>
        <w:rPr>
          <w:color w:val="000000"/>
        </w:rPr>
        <w:t>Ndonëse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FSP-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aspekte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rëndësishme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krahasim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zhvilluar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kontekste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ngjashme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Kosovën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një</w:t>
      </w:r>
      <w:proofErr w:type="spellEnd"/>
      <w:r>
        <w:rPr>
          <w:color w:val="000000"/>
        </w:rPr>
        <w:t xml:space="preserve"> apo </w:t>
      </w:r>
      <w:proofErr w:type="spellStart"/>
      <w:r>
        <w:rPr>
          <w:color w:val="000000"/>
        </w:rPr>
        <w:t>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shumë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aspekte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historia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zhvillimit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ekonomik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social; </w:t>
      </w:r>
      <w:proofErr w:type="spellStart"/>
      <w:r>
        <w:rPr>
          <w:color w:val="000000"/>
        </w:rPr>
        <w:t>rajoni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popullsia</w:t>
      </w:r>
      <w:proofErr w:type="spellEnd"/>
      <w:r>
        <w:rPr>
          <w:color w:val="000000"/>
        </w:rPr>
        <w:t>.</w:t>
      </w:r>
    </w:p>
    <w:p w14:paraId="2162DD86" w14:textId="77777777" w:rsidR="000E7BCB" w:rsidRDefault="000E7BCB"/>
    <w:p w14:paraId="68D92C5A" w14:textId="77777777" w:rsidR="000E7BCB" w:rsidRDefault="00A620E4">
      <w:r>
        <w:t xml:space="preserve">Duke </w:t>
      </w:r>
      <w:proofErr w:type="spellStart"/>
      <w:r>
        <w:t>pasur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parametra</w:t>
      </w:r>
      <w:proofErr w:type="spellEnd"/>
      <w:r>
        <w:t xml:space="preserve"> – </w:t>
      </w:r>
      <w:proofErr w:type="spellStart"/>
      <w:r>
        <w:t>pra</w:t>
      </w:r>
      <w:proofErr w:type="spellEnd"/>
      <w:r>
        <w:t xml:space="preserve">, </w:t>
      </w:r>
      <w:proofErr w:type="spellStart"/>
      <w:r>
        <w:t>objektivat</w:t>
      </w:r>
      <w:proofErr w:type="spellEnd"/>
      <w:r>
        <w:t xml:space="preserve">, </w:t>
      </w:r>
      <w:proofErr w:type="spellStart"/>
      <w:r>
        <w:t>burimet</w:t>
      </w:r>
      <w:proofErr w:type="spellEnd"/>
      <w:r>
        <w:t xml:space="preserve"> e </w:t>
      </w:r>
      <w:proofErr w:type="spellStart"/>
      <w:r>
        <w:t>financimit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krahasueshmërinë</w:t>
      </w:r>
      <w:proofErr w:type="spellEnd"/>
      <w:r>
        <w:t xml:space="preserve"> e </w:t>
      </w:r>
      <w:proofErr w:type="spellStart"/>
      <w:r>
        <w:t>kontekstit</w:t>
      </w:r>
      <w:proofErr w:type="spellEnd"/>
      <w:r>
        <w:t xml:space="preserve"> –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modele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përfshijnë</w:t>
      </w:r>
      <w:proofErr w:type="spellEnd"/>
      <w:r>
        <w:t xml:space="preserve">: </w:t>
      </w:r>
      <w:proofErr w:type="spellStart"/>
      <w:r>
        <w:rPr>
          <w:i/>
        </w:rPr>
        <w:t>Tamasek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Singapur</w:t>
      </w:r>
      <w:proofErr w:type="spellEnd"/>
      <w:r>
        <w:t xml:space="preserve">, </w:t>
      </w:r>
      <w:r>
        <w:rPr>
          <w:i/>
        </w:rPr>
        <w:t>Slovenian Sovereign Holding</w:t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Slloveni</w:t>
      </w:r>
      <w:proofErr w:type="spellEnd"/>
      <w:r>
        <w:t xml:space="preserve">, </w:t>
      </w:r>
      <w:r>
        <w:rPr>
          <w:i/>
        </w:rPr>
        <w:t xml:space="preserve">Turkey Wealth Fund </w:t>
      </w:r>
      <w:proofErr w:type="spellStart"/>
      <w:r>
        <w:rPr>
          <w:i/>
        </w:rPr>
        <w:t>në</w:t>
      </w:r>
      <w:proofErr w:type="spellEnd"/>
      <w:r>
        <w:t xml:space="preserve"> </w:t>
      </w:r>
      <w:proofErr w:type="spellStart"/>
      <w:r>
        <w:t>Turqi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r>
        <w:rPr>
          <w:i/>
        </w:rPr>
        <w:t>Ireland Strategic Investment Fund</w:t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Irlandë</w:t>
      </w:r>
      <w:proofErr w:type="spellEnd"/>
      <w:r>
        <w:t>.</w:t>
      </w:r>
      <w:r>
        <w:rPr>
          <w:vertAlign w:val="superscript"/>
        </w:rPr>
        <w:footnoteReference w:id="15"/>
      </w:r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 </w:t>
      </w:r>
      <w:proofErr w:type="spellStart"/>
      <w:r>
        <w:t>paraqesim</w:t>
      </w:r>
      <w:proofErr w:type="spellEnd"/>
      <w:r>
        <w:t xml:space="preserve"> </w:t>
      </w:r>
      <w:proofErr w:type="spellStart"/>
      <w:r>
        <w:t>aspekte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fondeve</w:t>
      </w:r>
      <w:proofErr w:type="spellEnd"/>
      <w:r>
        <w:t>.</w:t>
      </w:r>
    </w:p>
    <w:p w14:paraId="6E876E41" w14:textId="77777777" w:rsidR="000E7BCB" w:rsidRDefault="000E7BCB"/>
    <w:p w14:paraId="5C9DB397" w14:textId="77777777" w:rsidR="000E7BCB" w:rsidRDefault="00A620E4">
      <w:pPr>
        <w:pStyle w:val="Heading3"/>
        <w:numPr>
          <w:ilvl w:val="2"/>
          <w:numId w:val="4"/>
        </w:numPr>
      </w:pPr>
      <w:bookmarkStart w:id="14" w:name="_Toc93312377"/>
      <w:r>
        <w:t xml:space="preserve">Temasek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Singapur</w:t>
      </w:r>
      <w:bookmarkEnd w:id="14"/>
      <w:proofErr w:type="spellEnd"/>
    </w:p>
    <w:p w14:paraId="28FF8AFD" w14:textId="77777777" w:rsidR="000E7BCB" w:rsidRDefault="000E7BCB"/>
    <w:p w14:paraId="6E83CB4C" w14:textId="77777777" w:rsidR="000E7BCB" w:rsidRDefault="00A620E4">
      <w:r>
        <w:rPr>
          <w:i/>
        </w:rPr>
        <w:t>Temasek</w:t>
      </w:r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kompani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 xml:space="preserve">, me </w:t>
      </w:r>
      <w:proofErr w:type="spellStart"/>
      <w:r>
        <w:t>fushëveprimtari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, </w:t>
      </w:r>
      <w:proofErr w:type="spellStart"/>
      <w:r>
        <w:t>themeluar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1974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Singapur</w:t>
      </w:r>
      <w:proofErr w:type="spellEnd"/>
      <w:r>
        <w:t xml:space="preserve">, </w:t>
      </w:r>
      <w:proofErr w:type="spellStart"/>
      <w:r>
        <w:t>nëntë</w:t>
      </w:r>
      <w:proofErr w:type="spellEnd"/>
      <w:r>
        <w:t xml:space="preserve"> </w:t>
      </w:r>
      <w:proofErr w:type="spellStart"/>
      <w:r>
        <w:t>vite</w:t>
      </w:r>
      <w:proofErr w:type="spellEnd"/>
      <w:r>
        <w:t xml:space="preserve"> pas </w:t>
      </w:r>
      <w:proofErr w:type="spellStart"/>
      <w:r>
        <w:t>pavarësimit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Singapurit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Britania</w:t>
      </w:r>
      <w:proofErr w:type="spellEnd"/>
      <w:r>
        <w:t xml:space="preserve"> e </w:t>
      </w:r>
      <w:proofErr w:type="spellStart"/>
      <w:r>
        <w:t>Madhe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kohën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u </w:t>
      </w:r>
      <w:proofErr w:type="spellStart"/>
      <w:r>
        <w:t>themelua</w:t>
      </w:r>
      <w:proofErr w:type="spellEnd"/>
      <w:r>
        <w:t xml:space="preserve">, </w:t>
      </w:r>
      <w:proofErr w:type="spellStart"/>
      <w:r>
        <w:t>pra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1974, </w:t>
      </w:r>
      <w:proofErr w:type="spellStart"/>
      <w:r>
        <w:t>popullsia</w:t>
      </w:r>
      <w:proofErr w:type="spellEnd"/>
      <w:r>
        <w:t xml:space="preserve"> e </w:t>
      </w:r>
      <w:proofErr w:type="spellStart"/>
      <w:r>
        <w:t>Singapurit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2.2 </w:t>
      </w:r>
      <w:proofErr w:type="spellStart"/>
      <w:r>
        <w:t>milionë</w:t>
      </w:r>
      <w:proofErr w:type="spellEnd"/>
      <w:r>
        <w:t xml:space="preserve">,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Produkti</w:t>
      </w:r>
      <w:proofErr w:type="spellEnd"/>
      <w:r>
        <w:t xml:space="preserve"> Vendor (BPV) (me </w:t>
      </w:r>
      <w:proofErr w:type="spellStart"/>
      <w:r>
        <w:t>çmime</w:t>
      </w:r>
      <w:proofErr w:type="spellEnd"/>
      <w:r>
        <w:t xml:space="preserve"> </w:t>
      </w:r>
      <w:proofErr w:type="spellStart"/>
      <w:r>
        <w:t>aktuale</w:t>
      </w:r>
      <w:proofErr w:type="spellEnd"/>
      <w:r>
        <w:t xml:space="preserve">)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5.2 </w:t>
      </w:r>
      <w:proofErr w:type="spellStart"/>
      <w:r>
        <w:t>miliardë</w:t>
      </w:r>
      <w:proofErr w:type="spellEnd"/>
      <w:r>
        <w:t xml:space="preserve"> </w:t>
      </w:r>
      <w:proofErr w:type="spellStart"/>
      <w:r>
        <w:t>dollarë</w:t>
      </w:r>
      <w:proofErr w:type="spellEnd"/>
      <w:r>
        <w:t xml:space="preserve"> </w:t>
      </w:r>
      <w:proofErr w:type="spellStart"/>
      <w:r>
        <w:t>amerikanë</w:t>
      </w:r>
      <w:proofErr w:type="spellEnd"/>
      <w:r>
        <w:t xml:space="preserve">, </w:t>
      </w:r>
      <w:proofErr w:type="spellStart"/>
      <w:r>
        <w:t>ndërsa</w:t>
      </w:r>
      <w:proofErr w:type="spellEnd"/>
      <w:r>
        <w:t xml:space="preserve"> ai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kokë</w:t>
      </w:r>
      <w:proofErr w:type="spellEnd"/>
      <w:r>
        <w:t xml:space="preserve"> </w:t>
      </w:r>
      <w:proofErr w:type="spellStart"/>
      <w:r>
        <w:t>banori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2,342 </w:t>
      </w:r>
      <w:proofErr w:type="spellStart"/>
      <w:r>
        <w:t>dollarë</w:t>
      </w:r>
      <w:proofErr w:type="spellEnd"/>
      <w:r>
        <w:t xml:space="preserve"> </w:t>
      </w:r>
      <w:proofErr w:type="spellStart"/>
      <w:r>
        <w:t>amerikanë</w:t>
      </w:r>
      <w:proofErr w:type="spellEnd"/>
      <w:r>
        <w:t>.</w:t>
      </w:r>
      <w:r>
        <w:rPr>
          <w:vertAlign w:val="superscript"/>
        </w:rPr>
        <w:footnoteReference w:id="16"/>
      </w:r>
      <w:r>
        <w:t xml:space="preserve"> </w:t>
      </w:r>
      <w:proofErr w:type="spellStart"/>
      <w:r>
        <w:t>Këta</w:t>
      </w:r>
      <w:proofErr w:type="spellEnd"/>
      <w:r>
        <w:t xml:space="preserve"> </w:t>
      </w:r>
      <w:proofErr w:type="spellStart"/>
      <w:r>
        <w:t>indikatorë</w:t>
      </w:r>
      <w:proofErr w:type="spellEnd"/>
      <w:r>
        <w:t xml:space="preserve"> </w:t>
      </w:r>
      <w:proofErr w:type="spellStart"/>
      <w:r>
        <w:t>ekonomikë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popullsisë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krahasueshëm</w:t>
      </w:r>
      <w:proofErr w:type="spellEnd"/>
      <w:r>
        <w:t xml:space="preserve"> me </w:t>
      </w:r>
      <w:proofErr w:type="spellStart"/>
      <w:r>
        <w:t>situatën</w:t>
      </w:r>
      <w:proofErr w:type="spellEnd"/>
      <w:r>
        <w:t xml:space="preserve"> </w:t>
      </w:r>
      <w:proofErr w:type="spellStart"/>
      <w:r>
        <w:t>aktuale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>.</w:t>
      </w:r>
    </w:p>
    <w:p w14:paraId="511B1613" w14:textId="77777777" w:rsidR="000E7BCB" w:rsidRDefault="000E7BCB"/>
    <w:p w14:paraId="172AAD4C" w14:textId="77777777" w:rsidR="000E7BCB" w:rsidRDefault="00A620E4"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gjendjen</w:t>
      </w:r>
      <w:proofErr w:type="spellEnd"/>
      <w:r>
        <w:t xml:space="preserve"> e 31 </w:t>
      </w:r>
      <w:proofErr w:type="spellStart"/>
      <w:r>
        <w:t>marsit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2021, </w:t>
      </w:r>
      <w:r>
        <w:rPr>
          <w:i/>
        </w:rPr>
        <w:t>Temasek</w:t>
      </w:r>
      <w:r>
        <w:t xml:space="preserve"> ka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portfolio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283 </w:t>
      </w:r>
      <w:proofErr w:type="spellStart"/>
      <w:r>
        <w:t>miliardë</w:t>
      </w:r>
      <w:proofErr w:type="spellEnd"/>
      <w:r>
        <w:t xml:space="preserve"> </w:t>
      </w:r>
      <w:proofErr w:type="spellStart"/>
      <w:r>
        <w:t>dollarësh</w:t>
      </w:r>
      <w:proofErr w:type="spellEnd"/>
      <w:r>
        <w:t xml:space="preserve"> </w:t>
      </w:r>
      <w:proofErr w:type="spellStart"/>
      <w:r>
        <w:t>amerikanë</w:t>
      </w:r>
      <w:proofErr w:type="spellEnd"/>
      <w:r>
        <w:t>.</w:t>
      </w:r>
      <w:r>
        <w:rPr>
          <w:vertAlign w:val="superscript"/>
        </w:rPr>
        <w:footnoteReference w:id="17"/>
      </w:r>
      <w:r>
        <w:t xml:space="preserve"> 10 </w:t>
      </w:r>
      <w:proofErr w:type="spellStart"/>
      <w:r>
        <w:t>nga</w:t>
      </w:r>
      <w:proofErr w:type="spellEnd"/>
      <w:r>
        <w:t xml:space="preserve"> 35 </w:t>
      </w:r>
      <w:proofErr w:type="spellStart"/>
      <w:r>
        <w:t>kompanitë</w:t>
      </w:r>
      <w:proofErr w:type="spellEnd"/>
      <w:r>
        <w:t xml:space="preserve"> </w:t>
      </w:r>
      <w:proofErr w:type="spellStart"/>
      <w:r>
        <w:t>fillestare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mbesin</w:t>
      </w:r>
      <w:proofErr w:type="spellEnd"/>
      <w:r>
        <w:t xml:space="preserve"> </w:t>
      </w:r>
      <w:proofErr w:type="spellStart"/>
      <w:r>
        <w:lastRenderedPageBreak/>
        <w:t>pjesë</w:t>
      </w:r>
      <w:proofErr w:type="spellEnd"/>
      <w:r>
        <w:t xml:space="preserve"> e portfolios </w:t>
      </w:r>
      <w:proofErr w:type="spellStart"/>
      <w:r>
        <w:t>së</w:t>
      </w:r>
      <w:proofErr w:type="spellEnd"/>
      <w:r>
        <w:t xml:space="preserve"> Temasek.</w:t>
      </w:r>
      <w:r>
        <w:rPr>
          <w:vertAlign w:val="superscript"/>
        </w:rPr>
        <w:footnoteReference w:id="18"/>
      </w:r>
      <w:r>
        <w:t xml:space="preserve"> </w:t>
      </w:r>
      <w:proofErr w:type="spellStart"/>
      <w:r>
        <w:t>Objektiva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</w:t>
      </w:r>
      <w:proofErr w:type="spellStart"/>
      <w:r>
        <w:t>mbetet</w:t>
      </w:r>
      <w:proofErr w:type="spellEnd"/>
      <w:r>
        <w:t xml:space="preserve"> </w:t>
      </w:r>
      <w:proofErr w:type="spellStart"/>
      <w:r>
        <w:t>rritja</w:t>
      </w:r>
      <w:proofErr w:type="spellEnd"/>
      <w:r>
        <w:t xml:space="preserve"> e </w:t>
      </w:r>
      <w:proofErr w:type="spellStart"/>
      <w:r>
        <w:t>vlerës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kthimit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qëndrueshëm</w:t>
      </w:r>
      <w:proofErr w:type="spellEnd"/>
      <w:r>
        <w:t xml:space="preserve"> </w:t>
      </w:r>
      <w:proofErr w:type="spellStart"/>
      <w:r>
        <w:t>afatgjatë</w:t>
      </w:r>
      <w:proofErr w:type="spellEnd"/>
      <w:r>
        <w:t xml:space="preserve">, </w:t>
      </w:r>
      <w:proofErr w:type="spellStart"/>
      <w:r>
        <w:t>ndërsa</w:t>
      </w:r>
      <w:proofErr w:type="spellEnd"/>
      <w:r>
        <w:t xml:space="preserve"> </w:t>
      </w:r>
      <w:proofErr w:type="spellStart"/>
      <w:r>
        <w:t>burimet</w:t>
      </w:r>
      <w:proofErr w:type="spellEnd"/>
      <w:r>
        <w:t xml:space="preserve"> e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përbëjnë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lëndë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(i.e., non-commodity, </w:t>
      </w:r>
      <w:proofErr w:type="spellStart"/>
      <w:r>
        <w:t>meqë</w:t>
      </w:r>
      <w:proofErr w:type="spellEnd"/>
      <w:r>
        <w:t xml:space="preserve"> </w:t>
      </w:r>
      <w:proofErr w:type="spellStart"/>
      <w:r>
        <w:t>Singapuri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vend me </w:t>
      </w:r>
      <w:proofErr w:type="spellStart"/>
      <w:r>
        <w:t>pasuri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mëdha</w:t>
      </w:r>
      <w:proofErr w:type="spellEnd"/>
      <w:r>
        <w:t xml:space="preserve"> </w:t>
      </w:r>
      <w:proofErr w:type="spellStart"/>
      <w:r>
        <w:t>natyrore</w:t>
      </w:r>
      <w:proofErr w:type="spellEnd"/>
      <w:r>
        <w:t xml:space="preserve">). Portfolio </w:t>
      </w:r>
      <w:proofErr w:type="spellStart"/>
      <w:r>
        <w:t>i</w:t>
      </w:r>
      <w:proofErr w:type="spellEnd"/>
      <w:r>
        <w:t xml:space="preserve"> </w:t>
      </w:r>
      <w:r>
        <w:rPr>
          <w:i/>
        </w:rPr>
        <w:t>Temasek</w:t>
      </w:r>
      <w:r>
        <w:t xml:space="preserve"> </w:t>
      </w:r>
      <w:proofErr w:type="spellStart"/>
      <w:r>
        <w:t>përbëhet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kompani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sektorin</w:t>
      </w:r>
      <w:proofErr w:type="spellEnd"/>
      <w:r>
        <w:t xml:space="preserve"> e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</w:t>
      </w:r>
      <w:proofErr w:type="spellStart"/>
      <w:r>
        <w:t>telekomunikimit</w:t>
      </w:r>
      <w:proofErr w:type="spellEnd"/>
      <w:r>
        <w:t xml:space="preserve">, </w:t>
      </w:r>
      <w:proofErr w:type="spellStart"/>
      <w:r>
        <w:t>transportit</w:t>
      </w:r>
      <w:proofErr w:type="spellEnd"/>
      <w:r>
        <w:t xml:space="preserve">, </w:t>
      </w:r>
      <w:proofErr w:type="spellStart"/>
      <w:r>
        <w:t>patundshmërive</w:t>
      </w:r>
      <w:proofErr w:type="spellEnd"/>
      <w:r>
        <w:t xml:space="preserve">, </w:t>
      </w:r>
      <w:proofErr w:type="spellStart"/>
      <w:r>
        <w:t>produkteve</w:t>
      </w:r>
      <w:proofErr w:type="spellEnd"/>
      <w:r>
        <w:t xml:space="preserve"> </w:t>
      </w:r>
      <w:proofErr w:type="spellStart"/>
      <w:r>
        <w:t>ushqimore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bujqësia</w:t>
      </w:r>
      <w:proofErr w:type="spellEnd"/>
      <w:r>
        <w:t xml:space="preserve">, </w:t>
      </w:r>
      <w:proofErr w:type="spellStart"/>
      <w:r>
        <w:t>etj</w:t>
      </w:r>
      <w:proofErr w:type="spellEnd"/>
      <w:r>
        <w:t>.</w:t>
      </w:r>
    </w:p>
    <w:p w14:paraId="5B4700A5" w14:textId="77777777" w:rsidR="000E7BCB" w:rsidRDefault="000E7BCB"/>
    <w:p w14:paraId="4DF09115" w14:textId="77777777" w:rsidR="000E7BCB" w:rsidRDefault="00A620E4">
      <w:r>
        <w:t xml:space="preserve">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ta </w:t>
      </w:r>
      <w:proofErr w:type="spellStart"/>
      <w:r>
        <w:t>linte</w:t>
      </w:r>
      <w:proofErr w:type="spellEnd"/>
      <w:r>
        <w:t xml:space="preserve"> </w:t>
      </w:r>
      <w:proofErr w:type="spellStart"/>
      <w:r>
        <w:t>Qeverinë</w:t>
      </w:r>
      <w:proofErr w:type="spellEnd"/>
      <w:r>
        <w:t xml:space="preserve"> e </w:t>
      </w:r>
      <w:proofErr w:type="spellStart"/>
      <w:r>
        <w:t>Singapurit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përgjegjëse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bërjen</w:t>
      </w:r>
      <w:proofErr w:type="spellEnd"/>
      <w:r>
        <w:t xml:space="preserve"> e </w:t>
      </w:r>
      <w:proofErr w:type="spellStart"/>
      <w:r>
        <w:t>politikave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vendi</w:t>
      </w:r>
      <w:proofErr w:type="spellEnd"/>
      <w:r>
        <w:t xml:space="preserve"> por jo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fillet e </w:t>
      </w:r>
      <w:proofErr w:type="spellStart"/>
      <w:r>
        <w:t>veta</w:t>
      </w:r>
      <w:proofErr w:type="spellEnd"/>
      <w:r>
        <w:t xml:space="preserve">, </w:t>
      </w:r>
      <w:r>
        <w:rPr>
          <w:i/>
        </w:rPr>
        <w:t>Temasek</w:t>
      </w:r>
      <w:r>
        <w:t xml:space="preserve"> </w:t>
      </w:r>
      <w:proofErr w:type="spellStart"/>
      <w:r>
        <w:t>kishte</w:t>
      </w:r>
      <w:proofErr w:type="spellEnd"/>
      <w:r>
        <w:t xml:space="preserve"> </w:t>
      </w:r>
      <w:proofErr w:type="spellStart"/>
      <w:r>
        <w:t>marrur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menaxhim</w:t>
      </w:r>
      <w:proofErr w:type="spellEnd"/>
      <w:r>
        <w:t xml:space="preserve"> 35 </w:t>
      </w:r>
      <w:proofErr w:type="spellStart"/>
      <w:r>
        <w:t>kompani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vlerësoheshin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354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dollarë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Singapurit</w:t>
      </w:r>
      <w:proofErr w:type="spellEnd"/>
      <w:r>
        <w:t xml:space="preserve"> (apo </w:t>
      </w:r>
      <w:proofErr w:type="spellStart"/>
      <w:r>
        <w:t>rreth</w:t>
      </w:r>
      <w:proofErr w:type="spellEnd"/>
      <w:r>
        <w:t xml:space="preserve"> 144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dollarë</w:t>
      </w:r>
      <w:proofErr w:type="spellEnd"/>
      <w:r>
        <w:t xml:space="preserve"> </w:t>
      </w:r>
      <w:proofErr w:type="spellStart"/>
      <w:r>
        <w:t>amerikanë</w:t>
      </w:r>
      <w:proofErr w:type="spellEnd"/>
      <w:r>
        <w:t xml:space="preserve">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ishin</w:t>
      </w:r>
      <w:proofErr w:type="spellEnd"/>
      <w:r>
        <w:t xml:space="preserve"> </w:t>
      </w:r>
      <w:proofErr w:type="spellStart"/>
      <w:r>
        <w:t>bartuar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Ministria</w:t>
      </w:r>
      <w:proofErr w:type="spellEnd"/>
      <w:r>
        <w:t xml:space="preserve"> e </w:t>
      </w:r>
      <w:proofErr w:type="spellStart"/>
      <w:r>
        <w:t>Financave</w:t>
      </w:r>
      <w:proofErr w:type="spellEnd"/>
      <w:r>
        <w:t>.</w:t>
      </w:r>
      <w:r>
        <w:rPr>
          <w:vertAlign w:val="superscript"/>
        </w:rPr>
        <w:footnoteReference w:id="19"/>
      </w:r>
      <w:r>
        <w:t xml:space="preserve"> </w:t>
      </w:r>
      <w:proofErr w:type="spellStart"/>
      <w:r>
        <w:t>Kështu</w:t>
      </w:r>
      <w:proofErr w:type="spellEnd"/>
      <w:r>
        <w:t xml:space="preserve">, </w:t>
      </w:r>
      <w:proofErr w:type="spellStart"/>
      <w:r>
        <w:t>ndahej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rregulluese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politikbërëse</w:t>
      </w:r>
      <w:proofErr w:type="spellEnd"/>
      <w:r>
        <w:t xml:space="preserve"> me </w:t>
      </w:r>
      <w:proofErr w:type="spellStart"/>
      <w:r>
        <w:t>rolin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aksionare</w:t>
      </w:r>
      <w:proofErr w:type="spellEnd"/>
      <w:r>
        <w:t xml:space="preserve">. </w:t>
      </w:r>
    </w:p>
    <w:p w14:paraId="20FAB5FC" w14:textId="77777777" w:rsidR="000E7BCB" w:rsidRDefault="000E7BCB"/>
    <w:p w14:paraId="4D2458D7" w14:textId="77777777" w:rsidR="000E7BCB" w:rsidRDefault="00A620E4">
      <w:r>
        <w:t xml:space="preserve">Ende </w:t>
      </w:r>
      <w:proofErr w:type="spellStart"/>
      <w:r>
        <w:t>ekziston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ndarje</w:t>
      </w:r>
      <w:proofErr w:type="spellEnd"/>
      <w:r>
        <w:t xml:space="preserve"> e </w:t>
      </w:r>
      <w:proofErr w:type="spellStart"/>
      <w:r>
        <w:t>qartë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roleve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, </w:t>
      </w:r>
      <w:r>
        <w:rPr>
          <w:i/>
        </w:rPr>
        <w:t>Temasek</w:t>
      </w:r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kompanive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ajo ka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menaxhim</w:t>
      </w:r>
      <w:proofErr w:type="spellEnd"/>
      <w:r>
        <w:t xml:space="preserve">.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përzihet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vendimet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investime</w:t>
      </w:r>
      <w:proofErr w:type="spellEnd"/>
      <w:r>
        <w:t xml:space="preserve">, </w:t>
      </w:r>
      <w:proofErr w:type="spellStart"/>
      <w:r>
        <w:t>përveç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ka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bëjë</w:t>
      </w:r>
      <w:proofErr w:type="spellEnd"/>
      <w:r>
        <w:t xml:space="preserve"> me </w:t>
      </w:r>
      <w:proofErr w:type="spellStart"/>
      <w:r>
        <w:t>ruajtjen</w:t>
      </w:r>
      <w:proofErr w:type="spellEnd"/>
      <w:r>
        <w:t xml:space="preserve"> e </w:t>
      </w:r>
      <w:proofErr w:type="spellStart"/>
      <w:r>
        <w:t>rezervave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r>
        <w:rPr>
          <w:i/>
        </w:rPr>
        <w:t>Temasek</w:t>
      </w:r>
      <w:r>
        <w:t>.</w:t>
      </w:r>
      <w:r>
        <w:rPr>
          <w:vertAlign w:val="superscript"/>
        </w:rPr>
        <w:footnoteReference w:id="20"/>
      </w:r>
      <w:r>
        <w:t xml:space="preserve"> </w:t>
      </w:r>
      <w:proofErr w:type="spellStart"/>
      <w:r>
        <w:t>Ndërsa</w:t>
      </w:r>
      <w:proofErr w:type="spellEnd"/>
      <w:r>
        <w:t xml:space="preserve"> </w:t>
      </w:r>
      <w:r>
        <w:rPr>
          <w:i/>
        </w:rPr>
        <w:t>Temasek</w:t>
      </w:r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merr</w:t>
      </w:r>
      <w:proofErr w:type="spellEnd"/>
      <w:r>
        <w:t xml:space="preserve"> </w:t>
      </w:r>
      <w:proofErr w:type="spellStart"/>
      <w:r>
        <w:t>vendime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operimin</w:t>
      </w:r>
      <w:proofErr w:type="spellEnd"/>
      <w:r>
        <w:t xml:space="preserve"> e </w:t>
      </w:r>
      <w:proofErr w:type="spellStart"/>
      <w:r>
        <w:t>kompanive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ka </w:t>
      </w:r>
      <w:proofErr w:type="spellStart"/>
      <w:r>
        <w:t>në</w:t>
      </w:r>
      <w:proofErr w:type="spellEnd"/>
      <w:r>
        <w:t xml:space="preserve"> portfolio, </w:t>
      </w:r>
      <w:proofErr w:type="spellStart"/>
      <w:r>
        <w:t>pasiqë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shihet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bordeve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menaxhmenteve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vetë</w:t>
      </w:r>
      <w:proofErr w:type="spellEnd"/>
      <w:r>
        <w:t xml:space="preserve">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kompanive</w:t>
      </w:r>
      <w:proofErr w:type="spellEnd"/>
      <w:r>
        <w:t>.</w:t>
      </w:r>
      <w:r>
        <w:rPr>
          <w:vertAlign w:val="superscript"/>
        </w:rPr>
        <w:footnoteReference w:id="21"/>
      </w:r>
      <w:r>
        <w:t xml:space="preserve"> </w:t>
      </w:r>
    </w:p>
    <w:p w14:paraId="06711736" w14:textId="77777777" w:rsidR="000E7BCB" w:rsidRDefault="000E7BCB"/>
    <w:p w14:paraId="3B9423B2" w14:textId="77777777" w:rsidR="000E7BCB" w:rsidRDefault="00A620E4">
      <w:proofErr w:type="spellStart"/>
      <w:r>
        <w:t>Qeveria</w:t>
      </w:r>
      <w:proofErr w:type="spellEnd"/>
      <w:r>
        <w:t xml:space="preserve"> e </w:t>
      </w:r>
      <w:proofErr w:type="spellStart"/>
      <w:r>
        <w:t>Singaporit</w:t>
      </w:r>
      <w:proofErr w:type="spellEnd"/>
      <w:r>
        <w:t xml:space="preserve">, </w:t>
      </w:r>
      <w:proofErr w:type="spellStart"/>
      <w:r>
        <w:t>konkretisht</w:t>
      </w:r>
      <w:proofErr w:type="spellEnd"/>
      <w:r>
        <w:t xml:space="preserve"> </w:t>
      </w:r>
      <w:proofErr w:type="spellStart"/>
      <w:r>
        <w:t>Ministria</w:t>
      </w:r>
      <w:proofErr w:type="spellEnd"/>
      <w:r>
        <w:t xml:space="preserve"> e </w:t>
      </w:r>
      <w:proofErr w:type="spellStart"/>
      <w:r>
        <w:t>Financave</w:t>
      </w:r>
      <w:proofErr w:type="spellEnd"/>
      <w:r>
        <w:t xml:space="preserve">, </w:t>
      </w:r>
      <w:proofErr w:type="spellStart"/>
      <w:r>
        <w:t>vazhdon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mbetet</w:t>
      </w:r>
      <w:proofErr w:type="spellEnd"/>
      <w:r>
        <w:t xml:space="preserve"> </w:t>
      </w:r>
      <w:proofErr w:type="spellStart"/>
      <w:r>
        <w:t>aksionari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i/>
        </w:rPr>
        <w:t>Temasek</w:t>
      </w:r>
      <w:r>
        <w:t xml:space="preserve">, por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i/>
        </w:rPr>
        <w:t>Temasek</w:t>
      </w:r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ai </w:t>
      </w:r>
      <w:proofErr w:type="spellStart"/>
      <w:r>
        <w:t>i</w:t>
      </w:r>
      <w:proofErr w:type="spellEnd"/>
      <w:r>
        <w:t xml:space="preserve"> </w:t>
      </w:r>
      <w:proofErr w:type="spellStart"/>
      <w:r>
        <w:t>menaxherit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>.</w:t>
      </w:r>
      <w:r>
        <w:rPr>
          <w:vertAlign w:val="superscript"/>
        </w:rPr>
        <w:footnoteReference w:id="22"/>
      </w:r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sepse</w:t>
      </w:r>
      <w:proofErr w:type="spellEnd"/>
      <w:r>
        <w:t xml:space="preserve"> </w:t>
      </w:r>
      <w:r>
        <w:rPr>
          <w:i/>
        </w:rPr>
        <w:t>Temasek</w:t>
      </w:r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kompani</w:t>
      </w:r>
      <w:proofErr w:type="spellEnd"/>
      <w:r>
        <w:t xml:space="preserve"> e </w:t>
      </w:r>
      <w:proofErr w:type="spellStart"/>
      <w:r>
        <w:t>investimeve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, ka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asetet</w:t>
      </w:r>
      <w:proofErr w:type="spellEnd"/>
      <w:r>
        <w:t xml:space="preserve"> e </w:t>
      </w:r>
      <w:proofErr w:type="spellStart"/>
      <w:r>
        <w:t>veta</w:t>
      </w:r>
      <w:proofErr w:type="spellEnd"/>
      <w:r>
        <w:t xml:space="preserve">, </w:t>
      </w:r>
      <w:proofErr w:type="spellStart"/>
      <w:r>
        <w:t>gjë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rregulluar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Dekreti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Kompanive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Singaporit</w:t>
      </w:r>
      <w:proofErr w:type="spellEnd"/>
      <w:r>
        <w:t>.</w:t>
      </w:r>
      <w:r>
        <w:rPr>
          <w:vertAlign w:val="superscript"/>
        </w:rPr>
        <w:footnoteReference w:id="23"/>
      </w:r>
      <w:r>
        <w:t xml:space="preserve"> </w:t>
      </w:r>
      <w:proofErr w:type="spellStart"/>
      <w:r>
        <w:t>Statusi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i/>
        </w:rPr>
        <w:t>Temasek</w:t>
      </w:r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definuar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me </w:t>
      </w:r>
      <w:proofErr w:type="spellStart"/>
      <w:r>
        <w:t>Kushtetutë</w:t>
      </w:r>
      <w:proofErr w:type="spellEnd"/>
      <w:r>
        <w:t xml:space="preserve">. </w:t>
      </w:r>
      <w:proofErr w:type="spellStart"/>
      <w:r>
        <w:t>Ndarja</w:t>
      </w:r>
      <w:proofErr w:type="spellEnd"/>
      <w:r>
        <w:t xml:space="preserve"> e </w:t>
      </w:r>
      <w:proofErr w:type="spellStart"/>
      <w:r>
        <w:t>roleve</w:t>
      </w:r>
      <w:proofErr w:type="spellEnd"/>
      <w:r>
        <w:t xml:space="preserve"> me </w:t>
      </w:r>
      <w:proofErr w:type="spellStart"/>
      <w:r>
        <w:t>Qeverinë</w:t>
      </w:r>
      <w:proofErr w:type="spellEnd"/>
      <w:r>
        <w:t xml:space="preserve">, ka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r>
        <w:rPr>
          <w:i/>
        </w:rPr>
        <w:t>Temasek</w:t>
      </w:r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udhëhiqet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bord </w:t>
      </w:r>
      <w:proofErr w:type="spellStart"/>
      <w:r>
        <w:t>i</w:t>
      </w:r>
      <w:proofErr w:type="spellEnd"/>
      <w:r>
        <w:t xml:space="preserve"> </w:t>
      </w:r>
      <w:proofErr w:type="spellStart"/>
      <w:r>
        <w:t>pavarur</w:t>
      </w:r>
      <w:proofErr w:type="spellEnd"/>
      <w:r>
        <w:t xml:space="preserve"> (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përbëhet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komitete</w:t>
      </w:r>
      <w:proofErr w:type="spellEnd"/>
      <w:r>
        <w:t xml:space="preserve">: </w:t>
      </w:r>
      <w:proofErr w:type="spellStart"/>
      <w:r>
        <w:t>ekzekutiv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auditimit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udhëheqësisë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kompenzimit</w:t>
      </w:r>
      <w:proofErr w:type="spellEnd"/>
      <w:r>
        <w:t xml:space="preserve">), </w:t>
      </w:r>
      <w:proofErr w:type="spellStart"/>
      <w:r>
        <w:t>shumica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cilit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jo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përbëhet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biznesmenë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njohur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sektori</w:t>
      </w:r>
      <w:proofErr w:type="spellEnd"/>
      <w:r>
        <w:t xml:space="preserve"> </w:t>
      </w:r>
      <w:proofErr w:type="spellStart"/>
      <w:r>
        <w:t>privat</w:t>
      </w:r>
      <w:proofErr w:type="spellEnd"/>
      <w:r>
        <w:t>.</w:t>
      </w:r>
      <w:r>
        <w:rPr>
          <w:vertAlign w:val="superscript"/>
        </w:rPr>
        <w:footnoteReference w:id="24"/>
      </w:r>
      <w:r>
        <w:t xml:space="preserve"> </w:t>
      </w:r>
      <w:proofErr w:type="spellStart"/>
      <w:r>
        <w:t>Kështu</w:t>
      </w:r>
      <w:proofErr w:type="spellEnd"/>
      <w:r>
        <w:t xml:space="preserve">, </w:t>
      </w:r>
      <w:proofErr w:type="spellStart"/>
      <w:r>
        <w:t>përderisa</w:t>
      </w:r>
      <w:proofErr w:type="spellEnd"/>
      <w:r>
        <w:t xml:space="preserve"> </w:t>
      </w:r>
      <w:proofErr w:type="spellStart"/>
      <w:r>
        <w:t>ruajtja</w:t>
      </w:r>
      <w:proofErr w:type="spellEnd"/>
      <w:r>
        <w:t xml:space="preserve"> e </w:t>
      </w:r>
      <w:proofErr w:type="spellStart"/>
      <w:r>
        <w:t>rezervave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rritja</w:t>
      </w:r>
      <w:proofErr w:type="spellEnd"/>
      <w:r>
        <w:t xml:space="preserve"> e </w:t>
      </w:r>
      <w:proofErr w:type="spellStart"/>
      <w:r>
        <w:t>vlerës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portfolios, </w:t>
      </w:r>
      <w:proofErr w:type="spellStart"/>
      <w:r>
        <w:t>ku</w:t>
      </w:r>
      <w:proofErr w:type="spellEnd"/>
      <w:r>
        <w:t xml:space="preserve"> </w:t>
      </w:r>
      <w:proofErr w:type="spellStart"/>
      <w:r>
        <w:t>aksionar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, </w:t>
      </w:r>
      <w:proofErr w:type="spellStart"/>
      <w:r>
        <w:t>mbeten</w:t>
      </w:r>
      <w:proofErr w:type="spellEnd"/>
      <w:r>
        <w:t xml:space="preserve"> </w:t>
      </w:r>
      <w:proofErr w:type="spellStart"/>
      <w:r>
        <w:t>detyra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r>
        <w:rPr>
          <w:i/>
        </w:rPr>
        <w:t>Temasek</w:t>
      </w:r>
      <w:r>
        <w:t xml:space="preserve">, ajo </w:t>
      </w:r>
      <w:proofErr w:type="spellStart"/>
      <w:r>
        <w:t>udhëhiqet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parimeve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qeverisje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disiplinën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kompanie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>.</w:t>
      </w:r>
    </w:p>
    <w:p w14:paraId="3D2A3C88" w14:textId="77777777" w:rsidR="000E7BCB" w:rsidRDefault="000E7BCB"/>
    <w:p w14:paraId="1860F138" w14:textId="77777777" w:rsidR="000E7BCB" w:rsidRDefault="00A620E4">
      <w:pPr>
        <w:pStyle w:val="Heading3"/>
        <w:numPr>
          <w:ilvl w:val="2"/>
          <w:numId w:val="4"/>
        </w:numPr>
      </w:pPr>
      <w:bookmarkStart w:id="15" w:name="_Toc93312378"/>
      <w:r>
        <w:t xml:space="preserve">Slovenian Sovereign Holding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Slloveni</w:t>
      </w:r>
      <w:bookmarkEnd w:id="15"/>
      <w:proofErr w:type="spellEnd"/>
    </w:p>
    <w:p w14:paraId="5A12B394" w14:textId="77777777" w:rsidR="000E7BCB" w:rsidRDefault="000E7BCB"/>
    <w:p w14:paraId="1A80247C" w14:textId="77777777" w:rsidR="000E7BCB" w:rsidRDefault="00A620E4">
      <w:proofErr w:type="spellStart"/>
      <w:r>
        <w:t>Një</w:t>
      </w:r>
      <w:proofErr w:type="spellEnd"/>
      <w:r>
        <w:t xml:space="preserve"> model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krahsues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r>
        <w:rPr>
          <w:i/>
        </w:rPr>
        <w:t>Slovenian Sovereign Holding</w:t>
      </w:r>
      <w:r>
        <w:t xml:space="preserve"> (SSH), </w:t>
      </w:r>
      <w:proofErr w:type="spellStart"/>
      <w:r>
        <w:t>që</w:t>
      </w:r>
      <w:proofErr w:type="spellEnd"/>
      <w:r>
        <w:t xml:space="preserve"> fillet </w:t>
      </w:r>
      <w:proofErr w:type="spellStart"/>
      <w:r>
        <w:t>themelimit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ka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1993, </w:t>
      </w:r>
      <w:proofErr w:type="spellStart"/>
      <w:r>
        <w:t>rreth</w:t>
      </w:r>
      <w:proofErr w:type="spellEnd"/>
      <w:r>
        <w:t xml:space="preserve"> 2 </w:t>
      </w:r>
      <w:proofErr w:type="spellStart"/>
      <w:r>
        <w:t>vite</w:t>
      </w:r>
      <w:proofErr w:type="spellEnd"/>
      <w:r>
        <w:t xml:space="preserve"> pas </w:t>
      </w:r>
      <w:proofErr w:type="spellStart"/>
      <w:r>
        <w:t>shpalljes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Pavarësisë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Sllovenisë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daljes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ish-Jugosllavia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kohë</w:t>
      </w:r>
      <w:proofErr w:type="spellEnd"/>
      <w:r>
        <w:t xml:space="preserve">, </w:t>
      </w:r>
      <w:proofErr w:type="spellStart"/>
      <w:r>
        <w:t>popullsia</w:t>
      </w:r>
      <w:proofErr w:type="spellEnd"/>
      <w:r>
        <w:t xml:space="preserve"> e </w:t>
      </w:r>
      <w:proofErr w:type="spellStart"/>
      <w:r>
        <w:t>Sllovenisë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2 </w:t>
      </w:r>
      <w:proofErr w:type="spellStart"/>
      <w:r>
        <w:t>milionë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BPV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kokë</w:t>
      </w:r>
      <w:proofErr w:type="spellEnd"/>
      <w:r>
        <w:t xml:space="preserve"> </w:t>
      </w:r>
      <w:proofErr w:type="spellStart"/>
      <w:r>
        <w:t>banori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5,100 €.</w:t>
      </w:r>
      <w:r>
        <w:rPr>
          <w:vertAlign w:val="superscript"/>
        </w:rPr>
        <w:footnoteReference w:id="25"/>
      </w:r>
      <w:r>
        <w:t xml:space="preserve"> </w:t>
      </w:r>
      <w:r>
        <w:rPr>
          <w:vertAlign w:val="superscript"/>
        </w:rPr>
        <w:footnoteReference w:id="26"/>
      </w:r>
      <w:r>
        <w:t xml:space="preserve"> </w:t>
      </w:r>
      <w:proofErr w:type="spellStart"/>
      <w:r>
        <w:t>Konteksti</w:t>
      </w:r>
      <w:proofErr w:type="spellEnd"/>
      <w:r>
        <w:t xml:space="preserve"> </w:t>
      </w:r>
      <w:proofErr w:type="spellStart"/>
      <w:r>
        <w:t>historik</w:t>
      </w:r>
      <w:proofErr w:type="spellEnd"/>
      <w:r>
        <w:t xml:space="preserve"> </w:t>
      </w:r>
      <w:proofErr w:type="spellStart"/>
      <w:r>
        <w:t>parametrat</w:t>
      </w:r>
      <w:proofErr w:type="spellEnd"/>
      <w:r>
        <w:t xml:space="preserve"> </w:t>
      </w:r>
      <w:proofErr w:type="spellStart"/>
      <w:r>
        <w:t>ekonomikë</w:t>
      </w:r>
      <w:proofErr w:type="spellEnd"/>
      <w:r>
        <w:t xml:space="preserve"> e </w:t>
      </w:r>
      <w:proofErr w:type="spellStart"/>
      <w:r>
        <w:t>bëjnë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model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krahasueshëm</w:t>
      </w:r>
      <w:proofErr w:type="spellEnd"/>
      <w:r>
        <w:t xml:space="preserve"> me </w:t>
      </w:r>
      <w:proofErr w:type="spellStart"/>
      <w:r>
        <w:t>kontekstin</w:t>
      </w:r>
      <w:proofErr w:type="spellEnd"/>
      <w:r>
        <w:t xml:space="preserve"> </w:t>
      </w:r>
      <w:proofErr w:type="spellStart"/>
      <w:r>
        <w:t>aktual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>.</w:t>
      </w:r>
    </w:p>
    <w:p w14:paraId="41047C38" w14:textId="77777777" w:rsidR="000E7BCB" w:rsidRDefault="000E7BCB"/>
    <w:p w14:paraId="641E3BA5" w14:textId="77777777" w:rsidR="000E7BCB" w:rsidRDefault="00A620E4"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gjendjen</w:t>
      </w:r>
      <w:proofErr w:type="spellEnd"/>
      <w:r>
        <w:t xml:space="preserve"> e 31 </w:t>
      </w:r>
      <w:proofErr w:type="spellStart"/>
      <w:r>
        <w:t>dhjetor</w:t>
      </w:r>
      <w:proofErr w:type="spellEnd"/>
      <w:r>
        <w:t xml:space="preserve"> 2020, </w:t>
      </w:r>
      <w:proofErr w:type="spellStart"/>
      <w:r>
        <w:t>vlera</w:t>
      </w:r>
      <w:proofErr w:type="spellEnd"/>
      <w:r>
        <w:t xml:space="preserve"> e </w:t>
      </w:r>
      <w:proofErr w:type="spellStart"/>
      <w:r>
        <w:t>përgjitshme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portfolion</w:t>
      </w:r>
      <w:proofErr w:type="spellEnd"/>
      <w:r>
        <w:t xml:space="preserve"> e SSH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9.9 </w:t>
      </w:r>
      <w:proofErr w:type="spellStart"/>
      <w:r>
        <w:t>miliardë</w:t>
      </w:r>
      <w:proofErr w:type="spellEnd"/>
      <w:r>
        <w:t xml:space="preserve"> €.</w:t>
      </w:r>
      <w:r>
        <w:rPr>
          <w:vertAlign w:val="superscript"/>
        </w:rPr>
        <w:footnoteReference w:id="27"/>
      </w:r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rastin</w:t>
      </w:r>
      <w:proofErr w:type="spellEnd"/>
      <w:r>
        <w:t xml:space="preserve"> e SSH, </w:t>
      </w:r>
      <w:proofErr w:type="spellStart"/>
      <w:r>
        <w:t>burimet</w:t>
      </w:r>
      <w:proofErr w:type="spellEnd"/>
      <w:r>
        <w:t xml:space="preserve"> e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përbëjnë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lëndë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(i.e., non-commodity). Top-10 </w:t>
      </w:r>
      <w:proofErr w:type="spellStart"/>
      <w:r>
        <w:t>asetet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përbëjnë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79%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vlerës</w:t>
      </w:r>
      <w:proofErr w:type="spellEnd"/>
      <w:r>
        <w:t xml:space="preserve"> </w:t>
      </w:r>
      <w:proofErr w:type="spellStart"/>
      <w:r>
        <w:t>vijnë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industria</w:t>
      </w:r>
      <w:proofErr w:type="spellEnd"/>
      <w:r>
        <w:t xml:space="preserve"> e </w:t>
      </w:r>
      <w:proofErr w:type="spellStart"/>
      <w:r>
        <w:t>transportit</w:t>
      </w:r>
      <w:proofErr w:type="spellEnd"/>
      <w:r>
        <w:t xml:space="preserve">, </w:t>
      </w:r>
      <w:proofErr w:type="spellStart"/>
      <w:r>
        <w:t>sektori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energjisë</w:t>
      </w:r>
      <w:proofErr w:type="spellEnd"/>
      <w:r>
        <w:t xml:space="preserve">, </w:t>
      </w:r>
      <w:proofErr w:type="spellStart"/>
      <w:r>
        <w:t>sektori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turizmi</w:t>
      </w:r>
      <w:proofErr w:type="spellEnd"/>
      <w:r>
        <w:t>.</w:t>
      </w:r>
      <w:r>
        <w:rPr>
          <w:vertAlign w:val="superscript"/>
        </w:rPr>
        <w:footnoteReference w:id="28"/>
      </w:r>
      <w:r>
        <w:t xml:space="preserve"> </w:t>
      </w:r>
    </w:p>
    <w:p w14:paraId="76E317D5" w14:textId="77777777" w:rsidR="000E7BCB" w:rsidRDefault="000E7BCB"/>
    <w:p w14:paraId="01163FFE" w14:textId="77777777" w:rsidR="000E7BCB" w:rsidRDefault="00A620E4">
      <w:r>
        <w:t xml:space="preserve">Fillet e SSH nisin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1993, me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njihej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Kompensimit</w:t>
      </w:r>
      <w:proofErr w:type="spellEnd"/>
      <w:r>
        <w:t xml:space="preserve">,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organizatë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merrej</w:t>
      </w:r>
      <w:proofErr w:type="spellEnd"/>
      <w:r>
        <w:t xml:space="preserve"> me </w:t>
      </w:r>
      <w:proofErr w:type="spellStart"/>
      <w:r>
        <w:t>detyrimet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dilnin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dekretet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rregullonin</w:t>
      </w:r>
      <w:proofErr w:type="spellEnd"/>
      <w:r>
        <w:t xml:space="preserve">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denacionalizimit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pronës</w:t>
      </w:r>
      <w:proofErr w:type="spellEnd"/>
      <w:r>
        <w:t>.</w:t>
      </w:r>
      <w:r>
        <w:rPr>
          <w:vertAlign w:val="superscript"/>
        </w:rPr>
        <w:footnoteReference w:id="29"/>
      </w:r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kryer</w:t>
      </w:r>
      <w:proofErr w:type="spellEnd"/>
      <w:r>
        <w:t xml:space="preserve"> </w:t>
      </w:r>
      <w:proofErr w:type="spellStart"/>
      <w:r>
        <w:t>obligimet</w:t>
      </w:r>
      <w:proofErr w:type="spellEnd"/>
      <w:r>
        <w:t xml:space="preserve">,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lëshonte</w:t>
      </w:r>
      <w:proofErr w:type="spellEnd"/>
      <w:r>
        <w:t xml:space="preserve"> bono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sigurime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menaxhonte</w:t>
      </w:r>
      <w:proofErr w:type="spellEnd"/>
      <w:r>
        <w:t xml:space="preserve"> </w:t>
      </w:r>
      <w:proofErr w:type="spellStart"/>
      <w:r>
        <w:t>sigurimet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asetet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ishin</w:t>
      </w:r>
      <w:proofErr w:type="spellEnd"/>
      <w:r>
        <w:t xml:space="preserve"> </w:t>
      </w:r>
      <w:proofErr w:type="spellStart"/>
      <w:r>
        <w:t>përcaktuar</w:t>
      </w:r>
      <w:proofErr w:type="spellEnd"/>
      <w:r>
        <w:t xml:space="preserve"> me </w:t>
      </w:r>
      <w:proofErr w:type="spellStart"/>
      <w:r>
        <w:t>ligj</w:t>
      </w:r>
      <w:proofErr w:type="spellEnd"/>
      <w:r>
        <w:t xml:space="preserve">. </w:t>
      </w:r>
      <w:proofErr w:type="spellStart"/>
      <w:r>
        <w:t>Seria</w:t>
      </w:r>
      <w:proofErr w:type="spellEnd"/>
      <w:r>
        <w:t xml:space="preserve"> e </w:t>
      </w:r>
      <w:proofErr w:type="spellStart"/>
      <w:r>
        <w:t>parë</w:t>
      </w:r>
      <w:proofErr w:type="spellEnd"/>
      <w:r>
        <w:t xml:space="preserve"> e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bonove</w:t>
      </w:r>
      <w:proofErr w:type="spellEnd"/>
      <w:r>
        <w:t xml:space="preserve"> (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formën</w:t>
      </w:r>
      <w:proofErr w:type="spellEnd"/>
      <w:r>
        <w:t xml:space="preserve"> e </w:t>
      </w:r>
      <w:proofErr w:type="spellStart"/>
      <w:r>
        <w:t>letrave</w:t>
      </w:r>
      <w:proofErr w:type="spellEnd"/>
      <w:r>
        <w:t xml:space="preserve"> me </w:t>
      </w:r>
      <w:proofErr w:type="spellStart"/>
      <w:r>
        <w:t>vlerë</w:t>
      </w:r>
      <w:proofErr w:type="spellEnd"/>
      <w:r>
        <w:t xml:space="preserve">) </w:t>
      </w:r>
      <w:proofErr w:type="spellStart"/>
      <w:r>
        <w:t>kishte</w:t>
      </w:r>
      <w:proofErr w:type="spellEnd"/>
      <w:r>
        <w:t xml:space="preserve"> </w:t>
      </w:r>
      <w:proofErr w:type="spellStart"/>
      <w:r>
        <w:t>filluar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lëshohej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1995.</w:t>
      </w:r>
      <w:r>
        <w:rPr>
          <w:vertAlign w:val="superscript"/>
        </w:rPr>
        <w:footnoteReference w:id="30"/>
      </w:r>
      <w:r>
        <w:t xml:space="preserve"> </w:t>
      </w:r>
      <w:proofErr w:type="spellStart"/>
      <w:r>
        <w:t>Ndër</w:t>
      </w:r>
      <w:proofErr w:type="spellEnd"/>
      <w:r>
        <w:t xml:space="preserve"> </w:t>
      </w:r>
      <w:proofErr w:type="spellStart"/>
      <w:r>
        <w:t>vite</w:t>
      </w:r>
      <w:proofErr w:type="spellEnd"/>
      <w:r>
        <w:t xml:space="preserve"> u </w:t>
      </w:r>
      <w:proofErr w:type="spellStart"/>
      <w:r>
        <w:t>ndryshua</w:t>
      </w:r>
      <w:proofErr w:type="spellEnd"/>
      <w:r>
        <w:t xml:space="preserve"> forma e </w:t>
      </w:r>
      <w:proofErr w:type="spellStart"/>
      <w:r>
        <w:t>lëshimit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bonove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2010, u </w:t>
      </w:r>
      <w:proofErr w:type="spellStart"/>
      <w:r>
        <w:t>themelua</w:t>
      </w:r>
      <w:proofErr w:type="spellEnd"/>
      <w:r>
        <w:t xml:space="preserve"> </w:t>
      </w:r>
      <w:proofErr w:type="spellStart"/>
      <w:r>
        <w:t>Agjencia</w:t>
      </w:r>
      <w:proofErr w:type="spellEnd"/>
      <w:r>
        <w:t xml:space="preserve"> per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Kapitale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Sllovënisë</w:t>
      </w:r>
      <w:proofErr w:type="spellEnd"/>
      <w:r>
        <w:t xml:space="preserve">,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autonome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pavarur</w:t>
      </w:r>
      <w:proofErr w:type="spellEnd"/>
      <w:r>
        <w:t xml:space="preserve"> e </w:t>
      </w:r>
      <w:proofErr w:type="spellStart"/>
      <w:r>
        <w:t>profesionale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menaxhonte</w:t>
      </w:r>
      <w:proofErr w:type="spellEnd"/>
      <w:r>
        <w:t xml:space="preserve"> </w:t>
      </w:r>
      <w:proofErr w:type="spellStart"/>
      <w:r>
        <w:t>asetetet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>.</w:t>
      </w:r>
      <w:r>
        <w:rPr>
          <w:vertAlign w:val="superscript"/>
        </w:rPr>
        <w:footnoteReference w:id="31"/>
      </w:r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agjenci</w:t>
      </w:r>
      <w:proofErr w:type="spellEnd"/>
      <w:r>
        <w:t xml:space="preserve"> u </w:t>
      </w:r>
      <w:proofErr w:type="spellStart"/>
      <w:r>
        <w:t>shua</w:t>
      </w:r>
      <w:proofErr w:type="spellEnd"/>
      <w:r>
        <w:t xml:space="preserve"> 2 </w:t>
      </w:r>
      <w:proofErr w:type="spellStart"/>
      <w:r>
        <w:t>vite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vonë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, </w:t>
      </w:r>
      <w:proofErr w:type="spellStart"/>
      <w:r>
        <w:t>më</w:t>
      </w:r>
      <w:proofErr w:type="spellEnd"/>
      <w:r>
        <w:t xml:space="preserve"> pas,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2014 u </w:t>
      </w:r>
      <w:proofErr w:type="spellStart"/>
      <w:r>
        <w:t>themelua</w:t>
      </w:r>
      <w:proofErr w:type="spellEnd"/>
      <w:r>
        <w:t xml:space="preserve"> SSH – </w:t>
      </w:r>
      <w:proofErr w:type="spellStart"/>
      <w:r>
        <w:t>pra</w:t>
      </w:r>
      <w:proofErr w:type="spellEnd"/>
      <w:r>
        <w:t xml:space="preserve">, </w:t>
      </w:r>
      <w:proofErr w:type="spellStart"/>
      <w:r>
        <w:t>fondi</w:t>
      </w:r>
      <w:proofErr w:type="spellEnd"/>
      <w:r>
        <w:t xml:space="preserve"> me </w:t>
      </w:r>
      <w:proofErr w:type="spellStart"/>
      <w:r>
        <w:t>emrin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mbanë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sot.</w:t>
      </w:r>
      <w:r>
        <w:rPr>
          <w:vertAlign w:val="superscript"/>
        </w:rPr>
        <w:footnoteReference w:id="32"/>
      </w:r>
    </w:p>
    <w:p w14:paraId="4DA19F41" w14:textId="77777777" w:rsidR="000E7BCB" w:rsidRDefault="000E7BCB"/>
    <w:p w14:paraId="4C67725B" w14:textId="77777777" w:rsidR="000E7BCB" w:rsidRDefault="00A620E4">
      <w:r>
        <w:t xml:space="preserve">Si </w:t>
      </w:r>
      <w:proofErr w:type="spellStart"/>
      <w:r>
        <w:t>objektivë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, SSH ka </w:t>
      </w:r>
      <w:proofErr w:type="spellStart"/>
      <w:r>
        <w:t>rritjen</w:t>
      </w:r>
      <w:proofErr w:type="spellEnd"/>
      <w:r>
        <w:t xml:space="preserve"> e </w:t>
      </w:r>
      <w:proofErr w:type="spellStart"/>
      <w:r>
        <w:t>vlerës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portfolios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përbëhet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ndërmarrjet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. </w:t>
      </w:r>
      <w:proofErr w:type="spellStart"/>
      <w:r>
        <w:t>Katër</w:t>
      </w:r>
      <w:proofErr w:type="spellEnd"/>
      <w:r>
        <w:t xml:space="preserve"> </w:t>
      </w:r>
      <w:proofErr w:type="spellStart"/>
      <w:r>
        <w:t>sferat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merret</w:t>
      </w:r>
      <w:proofErr w:type="spellEnd"/>
      <w:r>
        <w:t xml:space="preserve"> SSH </w:t>
      </w:r>
      <w:proofErr w:type="spellStart"/>
      <w:r>
        <w:t>përfshijnë</w:t>
      </w:r>
      <w:proofErr w:type="spellEnd"/>
      <w:r>
        <w:t xml:space="preserve">: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kapitale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Sllovenisë</w:t>
      </w:r>
      <w:proofErr w:type="spellEnd"/>
      <w:r>
        <w:t xml:space="preserve">), </w:t>
      </w:r>
      <w:proofErr w:type="spellStart"/>
      <w:r>
        <w:t>privatizimin</w:t>
      </w:r>
      <w:proofErr w:type="spellEnd"/>
      <w:r>
        <w:t xml:space="preserve"> e </w:t>
      </w:r>
      <w:proofErr w:type="spellStart"/>
      <w:r>
        <w:t>kompanive</w:t>
      </w:r>
      <w:proofErr w:type="spellEnd"/>
      <w:r>
        <w:t xml:space="preserve">, </w:t>
      </w:r>
      <w:proofErr w:type="spellStart"/>
      <w:r>
        <w:t>denacionalizimin</w:t>
      </w:r>
      <w:proofErr w:type="spellEnd"/>
      <w:r>
        <w:t xml:space="preserve"> (i.e., </w:t>
      </w:r>
      <w:proofErr w:type="spellStart"/>
      <w:r>
        <w:t>pjesëmarrjen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çështjet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bëjnë</w:t>
      </w:r>
      <w:proofErr w:type="spellEnd"/>
      <w:r>
        <w:t xml:space="preserve"> me </w:t>
      </w:r>
      <w:proofErr w:type="spellStart"/>
      <w:r>
        <w:t>kompenzimin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konfiskimin</w:t>
      </w:r>
      <w:proofErr w:type="spellEnd"/>
      <w:r>
        <w:t xml:space="preserve"> e </w:t>
      </w:r>
      <w:proofErr w:type="spellStart"/>
      <w:r>
        <w:t>pronës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detyrimeve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SSH),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zgjidhjen</w:t>
      </w:r>
      <w:proofErr w:type="spellEnd"/>
      <w:r>
        <w:t xml:space="preserve"> e </w:t>
      </w:r>
      <w:proofErr w:type="spellStart"/>
      <w:r>
        <w:t>kontesteve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detyrimeve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emër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Sllovenisë</w:t>
      </w:r>
      <w:proofErr w:type="spellEnd"/>
      <w:r>
        <w:t>.</w:t>
      </w:r>
      <w:r>
        <w:rPr>
          <w:vertAlign w:val="superscript"/>
        </w:rPr>
        <w:footnoteReference w:id="33"/>
      </w:r>
      <w:r>
        <w:t xml:space="preserve"> </w:t>
      </w:r>
    </w:p>
    <w:p w14:paraId="379AE806" w14:textId="77777777" w:rsidR="000E7BCB" w:rsidRDefault="000E7BCB"/>
    <w:p w14:paraId="4CC3F549" w14:textId="77777777" w:rsidR="000E7BCB" w:rsidRDefault="00A620E4">
      <w:proofErr w:type="spellStart"/>
      <w:r>
        <w:lastRenderedPageBreak/>
        <w:t>Sistemi</w:t>
      </w:r>
      <w:proofErr w:type="spellEnd"/>
      <w:r>
        <w:t xml:space="preserve"> </w:t>
      </w:r>
      <w:proofErr w:type="spellStart"/>
      <w:r>
        <w:t>korporativ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SSH </w:t>
      </w:r>
      <w:proofErr w:type="spellStart"/>
      <w:r>
        <w:t>përbëhet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Menaxhues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merret</w:t>
      </w:r>
      <w:proofErr w:type="spellEnd"/>
      <w:r>
        <w:t xml:space="preserve"> me </w:t>
      </w:r>
      <w:proofErr w:type="spellStart"/>
      <w:r>
        <w:t>menaxhimin</w:t>
      </w:r>
      <w:proofErr w:type="spellEnd"/>
      <w:r>
        <w:t xml:space="preserve"> e SSH,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Mbikëqyrës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merret</w:t>
      </w:r>
      <w:proofErr w:type="spellEnd"/>
      <w:r>
        <w:t xml:space="preserve"> me </w:t>
      </w:r>
      <w:proofErr w:type="spellStart"/>
      <w:r>
        <w:t>kontrollimin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mbikëqyrjen</w:t>
      </w:r>
      <w:proofErr w:type="spellEnd"/>
      <w:r>
        <w:t xml:space="preserve"> e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Menaxhues</w:t>
      </w:r>
      <w:proofErr w:type="spellEnd"/>
      <w:r>
        <w:t>.</w:t>
      </w:r>
      <w:r>
        <w:rPr>
          <w:vertAlign w:val="superscript"/>
        </w:rPr>
        <w:footnoteReference w:id="34"/>
      </w:r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trup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rëndëishëm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ai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Përgjithshëm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Kompanisë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përbëhet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e </w:t>
      </w:r>
      <w:proofErr w:type="spellStart"/>
      <w:r>
        <w:t>Sllovenisë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aksionari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SSH.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dallim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r>
        <w:rPr>
          <w:i/>
        </w:rPr>
        <w:t>Temasek</w:t>
      </w:r>
      <w:r>
        <w:t xml:space="preserve">,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strukturën</w:t>
      </w:r>
      <w:proofErr w:type="spellEnd"/>
      <w:r>
        <w:t xml:space="preserve"> e SSH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madh</w:t>
      </w:r>
      <w:proofErr w:type="spellEnd"/>
      <w:r>
        <w:t>.</w:t>
      </w:r>
    </w:p>
    <w:p w14:paraId="14A5D9D3" w14:textId="77777777" w:rsidR="000E7BCB" w:rsidRDefault="000E7BCB"/>
    <w:p w14:paraId="39A22122" w14:textId="77777777" w:rsidR="000E7BCB" w:rsidRDefault="00A620E4">
      <w:pPr>
        <w:pStyle w:val="Heading3"/>
        <w:numPr>
          <w:ilvl w:val="2"/>
          <w:numId w:val="4"/>
        </w:numPr>
      </w:pPr>
      <w:bookmarkStart w:id="16" w:name="_Toc93312379"/>
      <w:r>
        <w:t xml:space="preserve">Turkey Wealth Fund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Turqi</w:t>
      </w:r>
      <w:bookmarkEnd w:id="16"/>
      <w:proofErr w:type="spellEnd"/>
    </w:p>
    <w:p w14:paraId="1BDDF902" w14:textId="77777777" w:rsidR="000E7BCB" w:rsidRDefault="000E7BCB"/>
    <w:p w14:paraId="2DA68B88" w14:textId="77777777" w:rsidR="000E7BCB" w:rsidRDefault="00A620E4">
      <w:r>
        <w:rPr>
          <w:i/>
        </w:rPr>
        <w:t>Turkey Wealth Fund</w:t>
      </w:r>
      <w:r>
        <w:t xml:space="preserve"> (TWF)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model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FPS </w:t>
      </w:r>
      <w:proofErr w:type="spellStart"/>
      <w:r>
        <w:t>i</w:t>
      </w:r>
      <w:proofErr w:type="spellEnd"/>
      <w:r>
        <w:t xml:space="preserve"> </w:t>
      </w:r>
      <w:proofErr w:type="spellStart"/>
      <w:r>
        <w:t>themeluar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2016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Turqi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dallim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rPr>
          <w:i/>
        </w:rPr>
        <w:t>Tamasek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SSH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kohën</w:t>
      </w:r>
      <w:proofErr w:type="spellEnd"/>
      <w:r>
        <w:t xml:space="preserve"> e </w:t>
      </w:r>
      <w:proofErr w:type="spellStart"/>
      <w:r>
        <w:t>themelimit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popullsisë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madhësia</w:t>
      </w:r>
      <w:proofErr w:type="spellEnd"/>
      <w:r>
        <w:t xml:space="preserve"> e </w:t>
      </w:r>
      <w:proofErr w:type="spellStart"/>
      <w:r>
        <w:t>ekonomive</w:t>
      </w:r>
      <w:proofErr w:type="spellEnd"/>
      <w:r>
        <w:t xml:space="preserve"> </w:t>
      </w:r>
      <w:proofErr w:type="spellStart"/>
      <w:r>
        <w:t>ishin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ngjashme</w:t>
      </w:r>
      <w:proofErr w:type="spellEnd"/>
      <w:r>
        <w:t xml:space="preserve"> me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sot, </w:t>
      </w:r>
      <w:proofErr w:type="spellStart"/>
      <w:r>
        <w:t>popullsia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ekonomia</w:t>
      </w:r>
      <w:proofErr w:type="spellEnd"/>
      <w:r>
        <w:t xml:space="preserve"> e </w:t>
      </w:r>
      <w:proofErr w:type="spellStart"/>
      <w:r>
        <w:t>Turqisë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2016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dukshëm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mëdha</w:t>
      </w:r>
      <w:proofErr w:type="spellEnd"/>
      <w:r>
        <w:t xml:space="preserve"> se </w:t>
      </w:r>
      <w:proofErr w:type="spellStart"/>
      <w:r>
        <w:t>ato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. </w:t>
      </w:r>
      <w:proofErr w:type="spellStart"/>
      <w:r>
        <w:t>Megjithatë</w:t>
      </w:r>
      <w:proofErr w:type="spellEnd"/>
      <w:r>
        <w:t xml:space="preserve"> TWF </w:t>
      </w:r>
      <w:proofErr w:type="spellStart"/>
      <w:r>
        <w:t>përbën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shembull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mire </w:t>
      </w:r>
      <w:proofErr w:type="spellStart"/>
      <w:r>
        <w:t>krahasues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shkak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objektivave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ka, por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shembull</w:t>
      </w:r>
      <w:proofErr w:type="spellEnd"/>
      <w:r>
        <w:t xml:space="preserve"> jo </w:t>
      </w:r>
      <w:proofErr w:type="spellStart"/>
      <w:r>
        <w:t>të</w:t>
      </w:r>
      <w:proofErr w:type="spellEnd"/>
      <w:r>
        <w:t xml:space="preserve"> mire </w:t>
      </w:r>
      <w:proofErr w:type="spellStart"/>
      <w:r>
        <w:t>krahasues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shkak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strukturës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qeverisjes</w:t>
      </w:r>
      <w:proofErr w:type="spellEnd"/>
      <w:r>
        <w:t>.</w:t>
      </w:r>
    </w:p>
    <w:p w14:paraId="6943B705" w14:textId="77777777" w:rsidR="000E7BCB" w:rsidRDefault="000E7BCB"/>
    <w:p w14:paraId="65D13A1E" w14:textId="77777777" w:rsidR="000E7BCB" w:rsidRDefault="00A620E4">
      <w:r>
        <w:t xml:space="preserve">Portfolio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TWF </w:t>
      </w:r>
      <w:proofErr w:type="spellStart"/>
      <w:r>
        <w:t>përbëhet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23 </w:t>
      </w:r>
      <w:proofErr w:type="spellStart"/>
      <w:r>
        <w:t>kompani</w:t>
      </w:r>
      <w:proofErr w:type="spellEnd"/>
      <w:r>
        <w:t xml:space="preserve">, </w:t>
      </w:r>
      <w:proofErr w:type="spellStart"/>
      <w:r>
        <w:t>dy</w:t>
      </w:r>
      <w:proofErr w:type="spellEnd"/>
      <w:r>
        <w:t xml:space="preserve"> </w:t>
      </w:r>
      <w:proofErr w:type="spellStart"/>
      <w:r>
        <w:t>licenca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patundshmëri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tetë</w:t>
      </w:r>
      <w:proofErr w:type="spellEnd"/>
      <w:r>
        <w:t xml:space="preserve"> </w:t>
      </w:r>
      <w:proofErr w:type="spellStart"/>
      <w:r>
        <w:t>sektorë</w:t>
      </w:r>
      <w:proofErr w:type="spellEnd"/>
      <w:r>
        <w:t xml:space="preserve">. </w:t>
      </w:r>
      <w:proofErr w:type="spellStart"/>
      <w:r>
        <w:t>Përbërja</w:t>
      </w:r>
      <w:proofErr w:type="spellEnd"/>
      <w:r>
        <w:t xml:space="preserve"> e portfolios </w:t>
      </w:r>
      <w:proofErr w:type="spellStart"/>
      <w:r>
        <w:t>është</w:t>
      </w:r>
      <w:proofErr w:type="spellEnd"/>
      <w:r>
        <w:t xml:space="preserve"> 35%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sektorin</w:t>
      </w:r>
      <w:proofErr w:type="spellEnd"/>
      <w:r>
        <w:t xml:space="preserve"> e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27%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energji</w:t>
      </w:r>
      <w:proofErr w:type="spellEnd"/>
      <w:r>
        <w:t xml:space="preserve">, 13% </w:t>
      </w:r>
      <w:proofErr w:type="spellStart"/>
      <w:r>
        <w:t>në</w:t>
      </w:r>
      <w:proofErr w:type="spellEnd"/>
      <w:r>
        <w:t xml:space="preserve"> transport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logjistikë</w:t>
      </w:r>
      <w:proofErr w:type="spellEnd"/>
      <w:r>
        <w:t xml:space="preserve">, 9%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miniera</w:t>
      </w:r>
      <w:proofErr w:type="spellEnd"/>
      <w:r>
        <w:t xml:space="preserve">, 8%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lojëra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fatit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4%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teknologji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telekom</w:t>
      </w:r>
      <w:proofErr w:type="spellEnd"/>
      <w:r>
        <w:t xml:space="preserve">, 2%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bujqësi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ushqim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2%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patundshmëri</w:t>
      </w:r>
      <w:proofErr w:type="spellEnd"/>
      <w:r>
        <w:t xml:space="preserve">.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rastin</w:t>
      </w:r>
      <w:proofErr w:type="spellEnd"/>
      <w:r>
        <w:t xml:space="preserve"> e TWF, </w:t>
      </w:r>
      <w:proofErr w:type="spellStart"/>
      <w:r>
        <w:t>burimet</w:t>
      </w:r>
      <w:proofErr w:type="spellEnd"/>
      <w:r>
        <w:t xml:space="preserve"> e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përbëjnë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lëndë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(i.e., non-commodity).</w:t>
      </w:r>
    </w:p>
    <w:p w14:paraId="26AF820B" w14:textId="77777777" w:rsidR="000E7BCB" w:rsidRDefault="000E7BCB"/>
    <w:p w14:paraId="361C9E1D" w14:textId="77777777" w:rsidR="000E7BCB" w:rsidRDefault="00A620E4">
      <w:r>
        <w:t xml:space="preserve">TWF </w:t>
      </w:r>
      <w:proofErr w:type="spellStart"/>
      <w:r>
        <w:t>dallon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r>
        <w:rPr>
          <w:i/>
        </w:rPr>
        <w:t>Temasek</w:t>
      </w:r>
      <w:r>
        <w:t xml:space="preserve"> </w:t>
      </w:r>
      <w:proofErr w:type="spellStart"/>
      <w:r>
        <w:t>dhe</w:t>
      </w:r>
      <w:proofErr w:type="spellEnd"/>
      <w:r>
        <w:t xml:space="preserve"> SSH </w:t>
      </w:r>
      <w:proofErr w:type="spellStart"/>
      <w:r>
        <w:t>tek</w:t>
      </w:r>
      <w:proofErr w:type="spellEnd"/>
      <w:r>
        <w:t xml:space="preserve"> </w:t>
      </w:r>
      <w:proofErr w:type="spellStart"/>
      <w:r>
        <w:t>raporti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me </w:t>
      </w:r>
      <w:proofErr w:type="spellStart"/>
      <w:r>
        <w:t>Qeverinë</w:t>
      </w:r>
      <w:proofErr w:type="spellEnd"/>
      <w:r>
        <w:t xml:space="preserve">. </w:t>
      </w:r>
      <w:proofErr w:type="spellStart"/>
      <w:r>
        <w:t>Përderisa</w:t>
      </w:r>
      <w:proofErr w:type="spellEnd"/>
      <w:r>
        <w:t xml:space="preserve"> </w:t>
      </w:r>
      <w:proofErr w:type="spellStart"/>
      <w:r>
        <w:t>detyrat</w:t>
      </w:r>
      <w:proofErr w:type="spellEnd"/>
      <w:r>
        <w:t xml:space="preserve"> e </w:t>
      </w:r>
      <w:r>
        <w:rPr>
          <w:i/>
        </w:rPr>
        <w:t>Temasek</w:t>
      </w:r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qartësisht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ndara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, e </w:t>
      </w:r>
      <w:proofErr w:type="spellStart"/>
      <w:r>
        <w:t>në</w:t>
      </w:r>
      <w:proofErr w:type="spellEnd"/>
      <w:r>
        <w:t xml:space="preserve"> SSH </w:t>
      </w:r>
      <w:proofErr w:type="spellStart"/>
      <w:r>
        <w:t>Qeveria</w:t>
      </w:r>
      <w:proofErr w:type="spellEnd"/>
      <w:r>
        <w:t xml:space="preserve"> ka </w:t>
      </w:r>
      <w:proofErr w:type="spellStart"/>
      <w:r>
        <w:t>ndikim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madh</w:t>
      </w:r>
      <w:proofErr w:type="spellEnd"/>
      <w:r>
        <w:t xml:space="preserve">,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Drejtorëve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TWF </w:t>
      </w:r>
      <w:proofErr w:type="spellStart"/>
      <w:r>
        <w:t>udhëhiqet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vetë</w:t>
      </w:r>
      <w:proofErr w:type="spellEnd"/>
      <w:r>
        <w:t xml:space="preserve"> </w:t>
      </w:r>
      <w:proofErr w:type="spellStart"/>
      <w:r>
        <w:t>Presidenti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Turqisë</w:t>
      </w:r>
      <w:proofErr w:type="spellEnd"/>
      <w:r>
        <w:t xml:space="preserve">. </w:t>
      </w:r>
      <w:proofErr w:type="spellStart"/>
      <w:r>
        <w:t>Përveç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, </w:t>
      </w:r>
      <w:proofErr w:type="spellStart"/>
      <w:r>
        <w:t>ky</w:t>
      </w:r>
      <w:proofErr w:type="spellEnd"/>
      <w:r>
        <w:t xml:space="preserve"> Bord ka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zëvendës</w:t>
      </w:r>
      <w:proofErr w:type="spellEnd"/>
      <w:r>
        <w:t xml:space="preserve"> </w:t>
      </w:r>
      <w:proofErr w:type="spellStart"/>
      <w:r>
        <w:t>udhëheqës</w:t>
      </w:r>
      <w:proofErr w:type="spellEnd"/>
      <w:r>
        <w:t xml:space="preserve">, </w:t>
      </w:r>
      <w:proofErr w:type="spellStart"/>
      <w:r>
        <w:t>katër</w:t>
      </w:r>
      <w:proofErr w:type="spellEnd"/>
      <w:r>
        <w:t xml:space="preserve"> </w:t>
      </w:r>
      <w:proofErr w:type="spellStart"/>
      <w:r>
        <w:t>anëtarë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Kryeshefin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. </w:t>
      </w:r>
      <w:proofErr w:type="spellStart"/>
      <w:r>
        <w:t>Komitetet</w:t>
      </w:r>
      <w:proofErr w:type="spellEnd"/>
      <w:r>
        <w:t xml:space="preserve"> e </w:t>
      </w:r>
      <w:proofErr w:type="spellStart"/>
      <w:r>
        <w:t>Bordit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përbëhen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anëtarët</w:t>
      </w:r>
      <w:proofErr w:type="spellEnd"/>
      <w:r>
        <w:t xml:space="preserve"> e </w:t>
      </w:r>
      <w:proofErr w:type="spellStart"/>
      <w:r>
        <w:t>Bordit</w:t>
      </w:r>
      <w:proofErr w:type="spellEnd"/>
      <w:r>
        <w:t xml:space="preserve">, </w:t>
      </w:r>
      <w:proofErr w:type="spellStart"/>
      <w:r>
        <w:t>janë</w:t>
      </w:r>
      <w:proofErr w:type="spellEnd"/>
      <w:r>
        <w:t xml:space="preserve">: </w:t>
      </w:r>
      <w:proofErr w:type="spellStart"/>
      <w:r>
        <w:t>Komiteti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Burimeve</w:t>
      </w:r>
      <w:proofErr w:type="spellEnd"/>
      <w:r>
        <w:t xml:space="preserve"> </w:t>
      </w:r>
      <w:proofErr w:type="spellStart"/>
      <w:r>
        <w:t>Njerëzore</w:t>
      </w:r>
      <w:proofErr w:type="spellEnd"/>
      <w:r>
        <w:t xml:space="preserve">, </w:t>
      </w:r>
      <w:proofErr w:type="spellStart"/>
      <w:r>
        <w:t>Komiteti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Qeverisjes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 xml:space="preserve">, </w:t>
      </w:r>
      <w:proofErr w:type="spellStart"/>
      <w:r>
        <w:t>Komiteti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Detektimit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Hershëm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Riskut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Komiteti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Auditimit</w:t>
      </w:r>
      <w:proofErr w:type="spellEnd"/>
      <w:r>
        <w:t xml:space="preserve">. </w:t>
      </w:r>
      <w:proofErr w:type="spellStart"/>
      <w:r>
        <w:t>Pra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dallim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modelet</w:t>
      </w:r>
      <w:proofErr w:type="spellEnd"/>
      <w:r>
        <w:t xml:space="preserve"> e </w:t>
      </w:r>
      <w:proofErr w:type="spellStart"/>
      <w:r>
        <w:t>më</w:t>
      </w:r>
      <w:proofErr w:type="spellEnd"/>
      <w:r>
        <w:t xml:space="preserve"> </w:t>
      </w:r>
      <w:proofErr w:type="spellStart"/>
      <w:r>
        <w:t>hershme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ruajnë</w:t>
      </w:r>
      <w:proofErr w:type="spellEnd"/>
      <w:r>
        <w:t xml:space="preserve"> </w:t>
      </w:r>
      <w:proofErr w:type="spellStart"/>
      <w:r>
        <w:t>autonominë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fondeve</w:t>
      </w:r>
      <w:proofErr w:type="spellEnd"/>
      <w:r>
        <w:t xml:space="preserve">, </w:t>
      </w:r>
      <w:proofErr w:type="spellStart"/>
      <w:r>
        <w:t>ky</w:t>
      </w:r>
      <w:proofErr w:type="spellEnd"/>
      <w:r>
        <w:t xml:space="preserve"> model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centralizuar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drejtpërsëdrejti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lidhur</w:t>
      </w:r>
      <w:proofErr w:type="spellEnd"/>
      <w:r>
        <w:t xml:space="preserve"> me </w:t>
      </w:r>
      <w:proofErr w:type="spellStart"/>
      <w:r>
        <w:t>ekzekutivin</w:t>
      </w:r>
      <w:proofErr w:type="spellEnd"/>
      <w:r>
        <w:t>.</w:t>
      </w:r>
    </w:p>
    <w:p w14:paraId="02EA8845" w14:textId="77777777" w:rsidR="000E7BCB" w:rsidRDefault="000E7BCB"/>
    <w:p w14:paraId="7A7A6859" w14:textId="77777777" w:rsidR="000E7BCB" w:rsidRDefault="00A620E4">
      <w:proofErr w:type="spellStart"/>
      <w:r>
        <w:t>Objektiva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e TWF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mbështetja</w:t>
      </w:r>
      <w:proofErr w:type="spellEnd"/>
      <w:r>
        <w:t xml:space="preserve"> e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Turqisë</w:t>
      </w:r>
      <w:proofErr w:type="spellEnd"/>
      <w:r>
        <w:t xml:space="preserve">. </w:t>
      </w:r>
      <w:proofErr w:type="spellStart"/>
      <w:r>
        <w:t>Mandati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ka 4 </w:t>
      </w:r>
      <w:proofErr w:type="spellStart"/>
      <w:r>
        <w:t>shtylla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përfshijnë</w:t>
      </w:r>
      <w:proofErr w:type="spellEnd"/>
      <w:r>
        <w:t xml:space="preserve">: </w:t>
      </w:r>
      <w:proofErr w:type="spellStart"/>
      <w:r>
        <w:t>rritjen</w:t>
      </w:r>
      <w:proofErr w:type="spellEnd"/>
      <w:r>
        <w:t xml:space="preserve"> e </w:t>
      </w:r>
      <w:proofErr w:type="spellStart"/>
      <w:r>
        <w:t>vlerës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fond, </w:t>
      </w:r>
      <w:proofErr w:type="spellStart"/>
      <w:r>
        <w:t>financimin</w:t>
      </w:r>
      <w:proofErr w:type="spellEnd"/>
      <w:r>
        <w:t xml:space="preserve"> e </w:t>
      </w:r>
      <w:proofErr w:type="spellStart"/>
      <w:r>
        <w:t>investimeve</w:t>
      </w:r>
      <w:proofErr w:type="spellEnd"/>
      <w:r>
        <w:t xml:space="preserve"> </w:t>
      </w:r>
      <w:proofErr w:type="spellStart"/>
      <w:r>
        <w:t>strategjike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Turqi</w:t>
      </w:r>
      <w:proofErr w:type="spellEnd"/>
      <w:r>
        <w:t xml:space="preserve">, </w:t>
      </w:r>
      <w:proofErr w:type="spellStart"/>
      <w:r>
        <w:t>mbështetjen</w:t>
      </w:r>
      <w:proofErr w:type="spellEnd"/>
      <w:r>
        <w:t xml:space="preserve"> e </w:t>
      </w:r>
      <w:proofErr w:type="spellStart"/>
      <w:r>
        <w:t>objektivave</w:t>
      </w:r>
      <w:proofErr w:type="spellEnd"/>
      <w:r>
        <w:t xml:space="preserve"> </w:t>
      </w:r>
      <w:proofErr w:type="spellStart"/>
      <w:r>
        <w:t>ekonomike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Turqisë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shtytjen</w:t>
      </w:r>
      <w:proofErr w:type="spellEnd"/>
      <w:r>
        <w:t xml:space="preserve"> e </w:t>
      </w:r>
      <w:proofErr w:type="spellStart"/>
      <w:r>
        <w:t>përmirësimit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thellimit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tregjeve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>.</w:t>
      </w:r>
    </w:p>
    <w:p w14:paraId="450221C2" w14:textId="77777777" w:rsidR="000E7BCB" w:rsidRDefault="000E7BCB"/>
    <w:p w14:paraId="7DD5F0F4" w14:textId="77777777" w:rsidR="000E7BCB" w:rsidRDefault="00A620E4">
      <w:proofErr w:type="spellStart"/>
      <w:r>
        <w:lastRenderedPageBreak/>
        <w:t>Përderisa</w:t>
      </w:r>
      <w:proofErr w:type="spellEnd"/>
      <w:r>
        <w:t xml:space="preserve"> </w:t>
      </w:r>
      <w:proofErr w:type="spellStart"/>
      <w:r>
        <w:t>objektivat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burimet</w:t>
      </w:r>
      <w:proofErr w:type="spellEnd"/>
      <w:r>
        <w:t xml:space="preserve"> e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TWF </w:t>
      </w:r>
      <w:proofErr w:type="spellStart"/>
      <w:r>
        <w:t>ngjasojnë</w:t>
      </w:r>
      <w:proofErr w:type="spellEnd"/>
      <w:r>
        <w:t xml:space="preserve"> me </w:t>
      </w:r>
      <w:proofErr w:type="spellStart"/>
      <w:r>
        <w:t>modelin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ta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,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qeverisja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duken</w:t>
      </w:r>
      <w:proofErr w:type="spellEnd"/>
      <w:r>
        <w:t xml:space="preserve"> </w:t>
      </w:r>
      <w:proofErr w:type="spellStart"/>
      <w:r>
        <w:t>shembuj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shkak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ndikimit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madh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. </w:t>
      </w:r>
    </w:p>
    <w:p w14:paraId="1389CCE9" w14:textId="77777777" w:rsidR="000E7BCB" w:rsidRDefault="000E7BCB"/>
    <w:p w14:paraId="2886BB52" w14:textId="77777777" w:rsidR="000E7BCB" w:rsidRDefault="00A620E4">
      <w:pPr>
        <w:pStyle w:val="Heading3"/>
        <w:numPr>
          <w:ilvl w:val="2"/>
          <w:numId w:val="4"/>
        </w:numPr>
      </w:pPr>
      <w:bookmarkStart w:id="17" w:name="_Toc93312380"/>
      <w:r>
        <w:t xml:space="preserve">Ireland Strategic Investment Fund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Irlandë</w:t>
      </w:r>
      <w:bookmarkEnd w:id="17"/>
      <w:proofErr w:type="spellEnd"/>
    </w:p>
    <w:p w14:paraId="53CD06DD" w14:textId="77777777" w:rsidR="000E7BCB" w:rsidRDefault="000E7BCB"/>
    <w:p w14:paraId="7B8D3076" w14:textId="77777777" w:rsidR="000E7BCB" w:rsidRDefault="00A620E4">
      <w:r>
        <w:rPr>
          <w:i/>
        </w:rPr>
        <w:t>Ireland Strategic Investment Fund</w:t>
      </w:r>
      <w:r>
        <w:t xml:space="preserve"> (ISIF)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fond </w:t>
      </w:r>
      <w:proofErr w:type="spellStart"/>
      <w:r>
        <w:t>zhvillimor</w:t>
      </w:r>
      <w:proofErr w:type="spellEnd"/>
      <w:r>
        <w:t xml:space="preserve"> sovran, </w:t>
      </w:r>
      <w:proofErr w:type="spellStart"/>
      <w:r>
        <w:t>i</w:t>
      </w:r>
      <w:proofErr w:type="spellEnd"/>
      <w:r>
        <w:t xml:space="preserve"> </w:t>
      </w:r>
      <w:proofErr w:type="spellStart"/>
      <w:r>
        <w:t>themeluar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2016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Irlandë</w:t>
      </w:r>
      <w:proofErr w:type="spellEnd"/>
      <w:r>
        <w:t xml:space="preserve">,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Agjencise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Thesarit</w:t>
      </w:r>
      <w:proofErr w:type="spellEnd"/>
      <w:r>
        <w:t xml:space="preserve"> </w:t>
      </w:r>
      <w:proofErr w:type="spellStart"/>
      <w:r>
        <w:t>Kombëtar</w:t>
      </w:r>
      <w:proofErr w:type="spellEnd"/>
      <w:r>
        <w:t xml:space="preserve"> (AMTK),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shërbën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njëlloj</w:t>
      </w:r>
      <w:proofErr w:type="spellEnd"/>
      <w:r>
        <w:t xml:space="preserve"> </w:t>
      </w:r>
      <w:proofErr w:type="spellStart"/>
      <w:r>
        <w:t>agjencie</w:t>
      </w:r>
      <w:proofErr w:type="spellEnd"/>
      <w:r>
        <w:t xml:space="preserve"> </w:t>
      </w:r>
      <w:proofErr w:type="spellStart"/>
      <w:r>
        <w:t>zhvillimore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raporton</w:t>
      </w:r>
      <w:proofErr w:type="spellEnd"/>
      <w:r>
        <w:t xml:space="preserve"> 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Financave</w:t>
      </w:r>
      <w:proofErr w:type="spellEnd"/>
      <w:r>
        <w:t>.</w:t>
      </w:r>
      <w:r>
        <w:rPr>
          <w:vertAlign w:val="superscript"/>
        </w:rPr>
        <w:footnoteReference w:id="35"/>
      </w:r>
      <w:r>
        <w:t xml:space="preserve"> </w:t>
      </w:r>
      <w:proofErr w:type="spellStart"/>
      <w:r>
        <w:t>Përderisa</w:t>
      </w:r>
      <w:proofErr w:type="spellEnd"/>
      <w:r>
        <w:t xml:space="preserve"> </w:t>
      </w:r>
      <w:proofErr w:type="spellStart"/>
      <w:r>
        <w:t>popullsia</w:t>
      </w:r>
      <w:proofErr w:type="spellEnd"/>
      <w:r>
        <w:t xml:space="preserve"> e </w:t>
      </w:r>
      <w:proofErr w:type="spellStart"/>
      <w:r>
        <w:t>sidomos</w:t>
      </w:r>
      <w:proofErr w:type="spellEnd"/>
      <w:r>
        <w:t xml:space="preserve"> BPV e </w:t>
      </w:r>
      <w:proofErr w:type="spellStart"/>
      <w:r>
        <w:t>Irlandës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2016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herë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e </w:t>
      </w:r>
      <w:proofErr w:type="spellStart"/>
      <w:r>
        <w:t>madhe</w:t>
      </w:r>
      <w:proofErr w:type="spellEnd"/>
      <w:r>
        <w:t xml:space="preserve"> se ajo e </w:t>
      </w:r>
      <w:proofErr w:type="spellStart"/>
      <w:r>
        <w:t>Kosovës</w:t>
      </w:r>
      <w:proofErr w:type="spellEnd"/>
      <w:r>
        <w:t xml:space="preserve">, ISIF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shërbejë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shembull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vend </w:t>
      </w:r>
      <w:proofErr w:type="spellStart"/>
      <w:r>
        <w:t>i</w:t>
      </w:r>
      <w:proofErr w:type="spellEnd"/>
      <w:r>
        <w:t xml:space="preserve"> </w:t>
      </w:r>
      <w:proofErr w:type="spellStart"/>
      <w:r>
        <w:t>Bashkimit</w:t>
      </w:r>
      <w:proofErr w:type="spellEnd"/>
      <w:r>
        <w:t xml:space="preserve"> </w:t>
      </w:r>
      <w:proofErr w:type="spellStart"/>
      <w:r>
        <w:t>Evropian</w:t>
      </w:r>
      <w:proofErr w:type="spellEnd"/>
      <w:r>
        <w:t xml:space="preserve">, por me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dallime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SSH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Slloveni</w:t>
      </w:r>
      <w:proofErr w:type="spellEnd"/>
      <w:r>
        <w:t>.</w:t>
      </w:r>
    </w:p>
    <w:p w14:paraId="72891972" w14:textId="77777777" w:rsidR="000E7BCB" w:rsidRDefault="000E7BCB"/>
    <w:p w14:paraId="10A230EA" w14:textId="77777777" w:rsidR="000E7BCB" w:rsidRDefault="00A620E4">
      <w:proofErr w:type="spellStart"/>
      <w:r>
        <w:t>Në</w:t>
      </w:r>
      <w:proofErr w:type="spellEnd"/>
      <w:r>
        <w:t xml:space="preserve"> fund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2020, portfolio </w:t>
      </w:r>
      <w:proofErr w:type="spellStart"/>
      <w:r>
        <w:t>globale</w:t>
      </w:r>
      <w:proofErr w:type="spellEnd"/>
      <w:r>
        <w:t xml:space="preserve"> e ISIF </w:t>
      </w:r>
      <w:proofErr w:type="spellStart"/>
      <w:r>
        <w:t>kishte</w:t>
      </w:r>
      <w:proofErr w:type="spellEnd"/>
      <w:r>
        <w:t xml:space="preserve"> 5.4 </w:t>
      </w:r>
      <w:proofErr w:type="spellStart"/>
      <w:r>
        <w:t>miliardë</w:t>
      </w:r>
      <w:proofErr w:type="spellEnd"/>
      <w:r>
        <w:t xml:space="preserve"> €.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rastin</w:t>
      </w:r>
      <w:proofErr w:type="spellEnd"/>
      <w:r>
        <w:t xml:space="preserve"> e ISIF, </w:t>
      </w:r>
      <w:proofErr w:type="spellStart"/>
      <w:r>
        <w:t>burimet</w:t>
      </w:r>
      <w:proofErr w:type="spellEnd"/>
      <w:r>
        <w:t xml:space="preserve"> e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përbëjnë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lëndë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(i.e., non-commodity).</w:t>
      </w:r>
      <w:r>
        <w:rPr>
          <w:vertAlign w:val="superscript"/>
        </w:rPr>
        <w:footnoteReference w:id="36"/>
      </w:r>
      <w:r>
        <w:t xml:space="preserve">  </w:t>
      </w:r>
    </w:p>
    <w:p w14:paraId="393B3648" w14:textId="77777777" w:rsidR="000E7BCB" w:rsidRDefault="000E7BCB"/>
    <w:p w14:paraId="2F9E479E" w14:textId="77777777" w:rsidR="000E7BCB" w:rsidRDefault="00A620E4">
      <w:proofErr w:type="spellStart"/>
      <w:r>
        <w:t>Objektivi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përgjithshëm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ISIF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mbështetja</w:t>
      </w:r>
      <w:proofErr w:type="spellEnd"/>
      <w:r>
        <w:t xml:space="preserve"> e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ekonomike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punësimit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Irlandë</w:t>
      </w:r>
      <w:proofErr w:type="spellEnd"/>
      <w:r>
        <w:t xml:space="preserve">. Ai ka </w:t>
      </w:r>
      <w:proofErr w:type="spellStart"/>
      <w:r>
        <w:t>dy</w:t>
      </w:r>
      <w:proofErr w:type="spellEnd"/>
      <w:r>
        <w:t xml:space="preserve"> portfolio: </w:t>
      </w:r>
      <w:proofErr w:type="spellStart"/>
      <w:r>
        <w:t>diskrecionare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drejtuar</w:t>
      </w:r>
      <w:proofErr w:type="spellEnd"/>
      <w:r>
        <w:t>.</w:t>
      </w:r>
      <w:r>
        <w:rPr>
          <w:vertAlign w:val="superscript"/>
        </w:rPr>
        <w:footnoteReference w:id="37"/>
      </w:r>
      <w:r>
        <w:t xml:space="preserve"> E para, ka </w:t>
      </w:r>
      <w:proofErr w:type="spellStart"/>
      <w:r>
        <w:t>mandatin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investime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, por </w:t>
      </w:r>
      <w:proofErr w:type="spellStart"/>
      <w:r>
        <w:t>gjithnjë</w:t>
      </w:r>
      <w:proofErr w:type="spellEnd"/>
      <w:r>
        <w:t xml:space="preserve"> duke </w:t>
      </w:r>
      <w:proofErr w:type="spellStart"/>
      <w:r>
        <w:t>synuar</w:t>
      </w:r>
      <w:proofErr w:type="spellEnd"/>
      <w:r>
        <w:t xml:space="preserve"> </w:t>
      </w:r>
      <w:proofErr w:type="spellStart"/>
      <w:r>
        <w:t>mbështetjen</w:t>
      </w:r>
      <w:proofErr w:type="spellEnd"/>
      <w:r>
        <w:t xml:space="preserve"> e </w:t>
      </w:r>
      <w:proofErr w:type="spellStart"/>
      <w:r>
        <w:t>ekonomisë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rritjen</w:t>
      </w:r>
      <w:proofErr w:type="spellEnd"/>
      <w:r>
        <w:t xml:space="preserve"> e </w:t>
      </w:r>
      <w:proofErr w:type="spellStart"/>
      <w:r>
        <w:t>punësimit</w:t>
      </w:r>
      <w:proofErr w:type="spellEnd"/>
      <w:r>
        <w:t xml:space="preserve">. E </w:t>
      </w:r>
      <w:proofErr w:type="spellStart"/>
      <w:r>
        <w:t>dyta</w:t>
      </w:r>
      <w:proofErr w:type="spellEnd"/>
      <w:r>
        <w:t xml:space="preserve">, ka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bëjë</w:t>
      </w:r>
      <w:proofErr w:type="spellEnd"/>
      <w:r>
        <w:t xml:space="preserve"> me </w:t>
      </w:r>
      <w:proofErr w:type="spellStart"/>
      <w:r>
        <w:t>investime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realizimin</w:t>
      </w:r>
      <w:proofErr w:type="spellEnd"/>
      <w:r>
        <w:t xml:space="preserve"> e </w:t>
      </w:r>
      <w:proofErr w:type="spellStart"/>
      <w:r>
        <w:t>politikave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, </w:t>
      </w:r>
      <w:proofErr w:type="spellStart"/>
      <w:r>
        <w:t>ndonëse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ISIF, </w:t>
      </w:r>
      <w:proofErr w:type="spellStart"/>
      <w:r>
        <w:t>drejtimin</w:t>
      </w:r>
      <w:proofErr w:type="spellEnd"/>
      <w:r>
        <w:t xml:space="preserve"> </w:t>
      </w:r>
      <w:proofErr w:type="spellStart"/>
      <w:r>
        <w:t>kryesorë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cilës</w:t>
      </w:r>
      <w:proofErr w:type="spellEnd"/>
      <w:r>
        <w:t xml:space="preserve"> e ka </w:t>
      </w:r>
      <w:proofErr w:type="spellStart"/>
      <w:r>
        <w:t>Ministria</w:t>
      </w:r>
      <w:proofErr w:type="spellEnd"/>
      <w:r>
        <w:t xml:space="preserve"> e </w:t>
      </w:r>
      <w:proofErr w:type="spellStart"/>
      <w:r>
        <w:t>Financave</w:t>
      </w:r>
      <w:proofErr w:type="spellEnd"/>
      <w:r>
        <w:t xml:space="preserve">. </w:t>
      </w:r>
      <w:proofErr w:type="spellStart"/>
      <w:r>
        <w:t>Pesë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prioritare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ISIF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investime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: </w:t>
      </w:r>
      <w:proofErr w:type="spellStart"/>
      <w:r>
        <w:t>zhvillimi</w:t>
      </w:r>
      <w:proofErr w:type="spellEnd"/>
      <w:r>
        <w:t xml:space="preserve"> </w:t>
      </w:r>
      <w:proofErr w:type="spellStart"/>
      <w:r>
        <w:t>rajonal</w:t>
      </w:r>
      <w:proofErr w:type="spellEnd"/>
      <w:r>
        <w:t xml:space="preserve">, </w:t>
      </w:r>
      <w:proofErr w:type="spellStart"/>
      <w:r>
        <w:t>çështjet</w:t>
      </w:r>
      <w:proofErr w:type="spellEnd"/>
      <w:r>
        <w:t xml:space="preserve"> e </w:t>
      </w:r>
      <w:proofErr w:type="spellStart"/>
      <w:r>
        <w:t>banimit</w:t>
      </w:r>
      <w:proofErr w:type="spellEnd"/>
      <w:r>
        <w:t xml:space="preserve">, </w:t>
      </w:r>
      <w:proofErr w:type="spellStart"/>
      <w:r>
        <w:t>bizneset</w:t>
      </w:r>
      <w:proofErr w:type="spellEnd"/>
      <w:r>
        <w:t xml:space="preserve"> e </w:t>
      </w:r>
      <w:proofErr w:type="spellStart"/>
      <w:r>
        <w:t>grupeve</w:t>
      </w:r>
      <w:proofErr w:type="spellEnd"/>
      <w:r>
        <w:t xml:space="preserve"> </w:t>
      </w:r>
      <w:proofErr w:type="spellStart"/>
      <w:r>
        <w:t>indigjene</w:t>
      </w:r>
      <w:proofErr w:type="spellEnd"/>
      <w:r>
        <w:t xml:space="preserve">, </w:t>
      </w:r>
      <w:proofErr w:type="spellStart"/>
      <w:r>
        <w:t>çështjet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ndryshimeve</w:t>
      </w:r>
      <w:proofErr w:type="spellEnd"/>
      <w:r>
        <w:t xml:space="preserve"> </w:t>
      </w:r>
      <w:proofErr w:type="spellStart"/>
      <w:r>
        <w:t>klimatike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Brexit-it.</w:t>
      </w:r>
      <w:r>
        <w:rPr>
          <w:vertAlign w:val="superscript"/>
        </w:rPr>
        <w:footnoteReference w:id="38"/>
      </w:r>
    </w:p>
    <w:p w14:paraId="662E3B9B" w14:textId="77777777" w:rsidR="000E7BCB" w:rsidRDefault="000E7BCB"/>
    <w:p w14:paraId="16B1A6E4" w14:textId="77777777" w:rsidR="000E7BCB" w:rsidRDefault="00A620E4">
      <w:proofErr w:type="spellStart"/>
      <w:r>
        <w:t>Dallimi</w:t>
      </w:r>
      <w:proofErr w:type="spellEnd"/>
      <w:r>
        <w:t xml:space="preserve"> </w:t>
      </w:r>
      <w:proofErr w:type="spellStart"/>
      <w:r>
        <w:t>kryesor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ISIF me </w:t>
      </w:r>
      <w:r>
        <w:rPr>
          <w:i/>
        </w:rPr>
        <w:t>Temasek</w:t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Singapur</w:t>
      </w:r>
      <w:proofErr w:type="spellEnd"/>
      <w:r>
        <w:t xml:space="preserve">, SSH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Slloveni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TWF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Turqi</w:t>
      </w:r>
      <w:proofErr w:type="spellEnd"/>
      <w:r>
        <w:t xml:space="preserve">,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strukturën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dallim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shembujt</w:t>
      </w:r>
      <w:proofErr w:type="spellEnd"/>
      <w:r>
        <w:t xml:space="preserve"> e </w:t>
      </w:r>
      <w:proofErr w:type="spellStart"/>
      <w:r>
        <w:t>mëhershëm</w:t>
      </w:r>
      <w:proofErr w:type="spellEnd"/>
      <w:r>
        <w:t xml:space="preserve">, </w:t>
      </w:r>
      <w:proofErr w:type="spellStart"/>
      <w:r>
        <w:t>ky</w:t>
      </w:r>
      <w:proofErr w:type="spellEnd"/>
      <w:r>
        <w:t xml:space="preserve"> fond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agjencie</w:t>
      </w:r>
      <w:proofErr w:type="spellEnd"/>
      <w:r>
        <w:t xml:space="preserve"> </w:t>
      </w:r>
      <w:proofErr w:type="spellStart"/>
      <w:r>
        <w:t>zhvillimore</w:t>
      </w:r>
      <w:proofErr w:type="spellEnd"/>
      <w:r>
        <w:t xml:space="preserve">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AMTK. </w:t>
      </w:r>
      <w:proofErr w:type="spellStart"/>
      <w:r>
        <w:t>Dhe</w:t>
      </w:r>
      <w:proofErr w:type="spellEnd"/>
      <w:r>
        <w:t xml:space="preserve">, </w:t>
      </w:r>
      <w:proofErr w:type="spellStart"/>
      <w:r>
        <w:t>ndonëse</w:t>
      </w:r>
      <w:proofErr w:type="spellEnd"/>
      <w:r>
        <w:t xml:space="preserve"> ka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pavarësi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qeverisje</w:t>
      </w:r>
      <w:proofErr w:type="spellEnd"/>
      <w:r>
        <w:t xml:space="preserve"> se TWF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Turqi</w:t>
      </w:r>
      <w:proofErr w:type="spellEnd"/>
      <w:r>
        <w:t xml:space="preserve">, </w:t>
      </w:r>
      <w:proofErr w:type="spellStart"/>
      <w:r>
        <w:t>lidhja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ISIF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Financave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Irlandës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e </w:t>
      </w:r>
      <w:proofErr w:type="spellStart"/>
      <w:r>
        <w:t>dukshme</w:t>
      </w:r>
      <w:proofErr w:type="spellEnd"/>
      <w:r>
        <w:t xml:space="preserve"> </w:t>
      </w:r>
      <w:proofErr w:type="spellStart"/>
      <w:r>
        <w:t>sesa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shembull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rastin</w:t>
      </w:r>
      <w:proofErr w:type="spellEnd"/>
      <w:r>
        <w:t xml:space="preserve"> e </w:t>
      </w:r>
      <w:r>
        <w:rPr>
          <w:i/>
        </w:rPr>
        <w:t>Temasek</w:t>
      </w:r>
      <w:r>
        <w:t xml:space="preserve">. ISIF </w:t>
      </w:r>
      <w:proofErr w:type="spellStart"/>
      <w:r>
        <w:t>shërben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shembull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funksionimit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FPS-</w:t>
      </w:r>
      <w:proofErr w:type="spellStart"/>
      <w:r>
        <w:t>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agjencie</w:t>
      </w:r>
      <w:proofErr w:type="spellEnd"/>
      <w:r>
        <w:t xml:space="preserve"> </w:t>
      </w:r>
      <w:proofErr w:type="spellStart"/>
      <w:r>
        <w:t>zhvillimore</w:t>
      </w:r>
      <w:proofErr w:type="spellEnd"/>
      <w:r>
        <w:t>.</w:t>
      </w:r>
    </w:p>
    <w:p w14:paraId="385C3CCA" w14:textId="77777777" w:rsidR="000E7BCB" w:rsidRDefault="000E7BCB"/>
    <w:p w14:paraId="4594E18E" w14:textId="77777777" w:rsidR="000E7BCB" w:rsidRDefault="00A620E4">
      <w:pPr>
        <w:pStyle w:val="Heading2"/>
        <w:numPr>
          <w:ilvl w:val="1"/>
          <w:numId w:val="4"/>
        </w:numPr>
      </w:pPr>
      <w:bookmarkStart w:id="18" w:name="_Toc93312381"/>
      <w:r>
        <w:t>PËRFUNDIM</w:t>
      </w:r>
      <w:bookmarkEnd w:id="18"/>
    </w:p>
    <w:p w14:paraId="7B9DEC0F" w14:textId="77777777" w:rsidR="000E7BCB" w:rsidRDefault="000E7BCB"/>
    <w:p w14:paraId="7475F5BB" w14:textId="77777777" w:rsidR="000E7BCB" w:rsidRDefault="00A620E4">
      <w:proofErr w:type="spellStart"/>
      <w:r>
        <w:t>Siç</w:t>
      </w:r>
      <w:proofErr w:type="spellEnd"/>
      <w:r>
        <w:t xml:space="preserve"> </w:t>
      </w:r>
      <w:proofErr w:type="spellStart"/>
      <w:r>
        <w:t>tregon</w:t>
      </w:r>
      <w:proofErr w:type="spellEnd"/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pasqyrë</w:t>
      </w:r>
      <w:proofErr w:type="spellEnd"/>
      <w:r>
        <w:t xml:space="preserve"> e </w:t>
      </w:r>
      <w:proofErr w:type="spellStart"/>
      <w:r>
        <w:t>shkurtër</w:t>
      </w:r>
      <w:proofErr w:type="spellEnd"/>
      <w:r>
        <w:t xml:space="preserve"> e FPS-</w:t>
      </w:r>
      <w:proofErr w:type="spellStart"/>
      <w:r>
        <w:t>ve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botë</w:t>
      </w:r>
      <w:proofErr w:type="spellEnd"/>
      <w:r>
        <w:t xml:space="preserve"> </w:t>
      </w:r>
      <w:proofErr w:type="spellStart"/>
      <w:r>
        <w:t>ekzistojnë</w:t>
      </w:r>
      <w:proofErr w:type="spellEnd"/>
      <w:r>
        <w:t xml:space="preserve"> </w:t>
      </w:r>
      <w:proofErr w:type="spellStart"/>
      <w:r>
        <w:t>modele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financimit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organizimit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mandateve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FPS-</w:t>
      </w:r>
      <w:proofErr w:type="spellStart"/>
      <w:r>
        <w:t>ve</w:t>
      </w:r>
      <w:proofErr w:type="spellEnd"/>
      <w:r>
        <w:t xml:space="preserve">. </w:t>
      </w:r>
      <w:proofErr w:type="spellStart"/>
      <w:r>
        <w:t>Meqë</w:t>
      </w:r>
      <w:proofErr w:type="spellEnd"/>
      <w:r>
        <w:t xml:space="preserve"> </w:t>
      </w:r>
      <w:proofErr w:type="spellStart"/>
      <w:r>
        <w:t>Kosova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gjeneron</w:t>
      </w:r>
      <w:proofErr w:type="spellEnd"/>
      <w:r>
        <w:t xml:space="preserve"> </w:t>
      </w:r>
      <w:proofErr w:type="spellStart"/>
      <w:r>
        <w:t>rentë</w:t>
      </w:r>
      <w:proofErr w:type="spellEnd"/>
      <w:r>
        <w:t xml:space="preserve"> </w:t>
      </w:r>
      <w:proofErr w:type="spellStart"/>
      <w:r>
        <w:t>tepricë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burimet</w:t>
      </w:r>
      <w:proofErr w:type="spellEnd"/>
      <w:r>
        <w:t xml:space="preserve"> </w:t>
      </w:r>
      <w:proofErr w:type="spellStart"/>
      <w:r>
        <w:t>natyrore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shembuj</w:t>
      </w:r>
      <w:proofErr w:type="spellEnd"/>
      <w:r>
        <w:t xml:space="preserve"> </w:t>
      </w:r>
      <w:proofErr w:type="spellStart"/>
      <w:r>
        <w:t>kryesorë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rastet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burimet</w:t>
      </w:r>
      <w:proofErr w:type="spellEnd"/>
      <w:r>
        <w:t xml:space="preserve"> e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lidhura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komoditet</w:t>
      </w:r>
      <w:proofErr w:type="spellEnd"/>
      <w:r>
        <w:t xml:space="preserve"> (non-commodity). </w:t>
      </w:r>
      <w:proofErr w:type="spellStart"/>
      <w:r>
        <w:t>Ndërkaq</w:t>
      </w:r>
      <w:proofErr w:type="spellEnd"/>
      <w:r>
        <w:t xml:space="preserve">, </w:t>
      </w:r>
      <w:proofErr w:type="spellStart"/>
      <w:r>
        <w:t>modelet</w:t>
      </w:r>
      <w:proofErr w:type="spellEnd"/>
      <w:r>
        <w:t xml:space="preserve"> </w:t>
      </w:r>
      <w:proofErr w:type="spellStart"/>
      <w:r>
        <w:lastRenderedPageBreak/>
        <w:t>dëshmojnë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suksesshme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FPS-</w:t>
      </w:r>
      <w:proofErr w:type="spellStart"/>
      <w:r>
        <w:t>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ndjekjen</w:t>
      </w:r>
      <w:proofErr w:type="spellEnd"/>
      <w:r>
        <w:t xml:space="preserve"> e </w:t>
      </w:r>
      <w:proofErr w:type="spellStart"/>
      <w:r>
        <w:t>qëllimeve</w:t>
      </w:r>
      <w:proofErr w:type="spellEnd"/>
      <w:r>
        <w:t xml:space="preserve"> </w:t>
      </w:r>
      <w:proofErr w:type="spellStart"/>
      <w:r>
        <w:t>ekonomike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vendit</w:t>
      </w:r>
      <w:proofErr w:type="spellEnd"/>
      <w:r>
        <w:t xml:space="preserve">,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fondve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veprojnë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entitete</w:t>
      </w:r>
      <w:proofErr w:type="spellEnd"/>
      <w:r>
        <w:t xml:space="preserve"> </w:t>
      </w:r>
      <w:proofErr w:type="spellStart"/>
      <w:r>
        <w:t>investive</w:t>
      </w:r>
      <w:proofErr w:type="spellEnd"/>
      <w:r>
        <w:t xml:space="preserve">,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shtetit</w:t>
      </w:r>
      <w:proofErr w:type="spellEnd"/>
      <w:r>
        <w:t xml:space="preserve">. Nga ana </w:t>
      </w:r>
      <w:proofErr w:type="spellStart"/>
      <w:r>
        <w:t>tjetër</w:t>
      </w:r>
      <w:proofErr w:type="spellEnd"/>
      <w:r>
        <w:t xml:space="preserve">, </w:t>
      </w:r>
      <w:proofErr w:type="spellStart"/>
      <w:r>
        <w:t>pasqyra</w:t>
      </w:r>
      <w:proofErr w:type="spellEnd"/>
      <w:r>
        <w:t xml:space="preserve"> </w:t>
      </w:r>
      <w:proofErr w:type="spellStart"/>
      <w:r>
        <w:t>tregon</w:t>
      </w:r>
      <w:proofErr w:type="spellEnd"/>
      <w:r>
        <w:t xml:space="preserve"> se </w:t>
      </w:r>
      <w:proofErr w:type="spellStart"/>
      <w:r>
        <w:t>ekzistojnë</w:t>
      </w:r>
      <w:proofErr w:type="spellEnd"/>
      <w:r>
        <w:t xml:space="preserve"> </w:t>
      </w:r>
      <w:proofErr w:type="spellStart"/>
      <w:r>
        <w:t>modele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raporteve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FPS-</w:t>
      </w:r>
      <w:proofErr w:type="spellStart"/>
      <w:r>
        <w:t>ve</w:t>
      </w:r>
      <w:proofErr w:type="spellEnd"/>
      <w:r>
        <w:t xml:space="preserve"> me </w:t>
      </w:r>
      <w:proofErr w:type="spellStart"/>
      <w:r>
        <w:t>Qeverinë</w:t>
      </w:r>
      <w:proofErr w:type="spellEnd"/>
      <w:r>
        <w:t xml:space="preserve">,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centralizuara</w:t>
      </w:r>
      <w:proofErr w:type="spellEnd"/>
      <w:r>
        <w:t xml:space="preserve"> se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tjerat</w:t>
      </w:r>
      <w:proofErr w:type="spellEnd"/>
      <w:r>
        <w:t xml:space="preserve">. Duke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</w:t>
      </w:r>
      <w:proofErr w:type="spellStart"/>
      <w:r>
        <w:t>parimet</w:t>
      </w:r>
      <w:proofErr w:type="spellEnd"/>
      <w:r>
        <w:t xml:space="preserve"> e </w:t>
      </w:r>
      <w:proofErr w:type="spellStart"/>
      <w:r>
        <w:t>qeverisjes</w:t>
      </w:r>
      <w:proofErr w:type="spellEnd"/>
      <w:r>
        <w:t xml:space="preserve"> </w:t>
      </w:r>
      <w:proofErr w:type="spellStart"/>
      <w:r>
        <w:t>demokratike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shtet</w:t>
      </w:r>
      <w:proofErr w:type="spellEnd"/>
      <w:r>
        <w:t xml:space="preserve"> </w:t>
      </w:r>
      <w:proofErr w:type="spellStart"/>
      <w:r>
        <w:t>republikan</w:t>
      </w:r>
      <w:proofErr w:type="spellEnd"/>
      <w:r>
        <w:t xml:space="preserve">,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ka </w:t>
      </w:r>
      <w:proofErr w:type="spellStart"/>
      <w:r>
        <w:t>synuar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model </w:t>
      </w:r>
      <w:proofErr w:type="spellStart"/>
      <w:r>
        <w:t>ku</w:t>
      </w:r>
      <w:proofErr w:type="spellEnd"/>
      <w:r>
        <w:t xml:space="preserve"> </w:t>
      </w:r>
      <w:proofErr w:type="spellStart"/>
      <w:r>
        <w:t>instancave</w:t>
      </w:r>
      <w:proofErr w:type="spellEnd"/>
      <w:r>
        <w:t xml:space="preserve"> </w:t>
      </w:r>
      <w:proofErr w:type="spellStart"/>
      <w:r>
        <w:t>ekzekutive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përfaqësuese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mundësohet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monitorim</w:t>
      </w:r>
      <w:proofErr w:type="spellEnd"/>
      <w:r>
        <w:t xml:space="preserve"> </w:t>
      </w:r>
      <w:proofErr w:type="spellStart"/>
      <w:r>
        <w:t>efektiv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ushtrimi</w:t>
      </w:r>
      <w:proofErr w:type="spellEnd"/>
      <w:r>
        <w:t xml:space="preserve"> </w:t>
      </w:r>
      <w:proofErr w:type="spellStart"/>
      <w:r>
        <w:t>efeketiv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aksionarit</w:t>
      </w:r>
      <w:proofErr w:type="spellEnd"/>
      <w:r>
        <w:t xml:space="preserve">, por </w:t>
      </w:r>
      <w:proofErr w:type="spellStart"/>
      <w:r>
        <w:t>nga</w:t>
      </w:r>
      <w:proofErr w:type="spellEnd"/>
      <w:r>
        <w:t xml:space="preserve"> ana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ruhet</w:t>
      </w:r>
      <w:proofErr w:type="spellEnd"/>
      <w:r>
        <w:t xml:space="preserve"> </w:t>
      </w:r>
      <w:proofErr w:type="spellStart"/>
      <w:r>
        <w:t>autonomia</w:t>
      </w:r>
      <w:proofErr w:type="spellEnd"/>
      <w:r>
        <w:t xml:space="preserve"> </w:t>
      </w:r>
      <w:proofErr w:type="spellStart"/>
      <w:r>
        <w:t>organizative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menaxheriale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>.</w:t>
      </w:r>
    </w:p>
    <w:p w14:paraId="6C60F18E" w14:textId="77777777" w:rsidR="000E7BCB" w:rsidRDefault="000E7BCB"/>
    <w:p w14:paraId="5E1FC0B5" w14:textId="77777777" w:rsidR="000E7BCB" w:rsidRDefault="000E7BCB"/>
    <w:p w14:paraId="0330BDCB" w14:textId="77777777" w:rsidR="000E7BCB" w:rsidRDefault="00A620E4">
      <w:r>
        <w:br w:type="page"/>
      </w:r>
    </w:p>
    <w:p w14:paraId="7FEDC6A5" w14:textId="77777777" w:rsidR="000E7BCB" w:rsidRDefault="00A620E4">
      <w:pPr>
        <w:pStyle w:val="Heading1"/>
        <w:rPr>
          <w:rFonts w:ascii="Times New Roman" w:eastAsia="Times New Roman" w:hAnsi="Times New Roman" w:cs="Times New Roman"/>
        </w:rPr>
      </w:pPr>
      <w:bookmarkStart w:id="19" w:name="_Toc93312382"/>
      <w:r>
        <w:lastRenderedPageBreak/>
        <w:t>KAPITULLI 3.</w:t>
      </w:r>
      <w:r>
        <w:rPr>
          <w:rFonts w:ascii="Times New Roman" w:eastAsia="Times New Roman" w:hAnsi="Times New Roman" w:cs="Times New Roman"/>
        </w:rPr>
        <w:t xml:space="preserve"> </w:t>
      </w:r>
      <w:r>
        <w:t>KORNIZA LIGJORE DHE IMPLIKIMI LIGJOR</w:t>
      </w:r>
      <w:bookmarkEnd w:id="19"/>
    </w:p>
    <w:p w14:paraId="5FEAA718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48193DED" w14:textId="77777777" w:rsidR="000E7BCB" w:rsidRDefault="00A620E4" w:rsidP="004F76C8">
      <w:pPr>
        <w:pStyle w:val="Heading2"/>
        <w:numPr>
          <w:ilvl w:val="0"/>
          <w:numId w:val="0"/>
        </w:numPr>
        <w:rPr>
          <w:rFonts w:ascii="Times New Roman" w:eastAsia="Times New Roman" w:hAnsi="Times New Roman" w:cs="Times New Roman"/>
        </w:rPr>
      </w:pPr>
      <w:bookmarkStart w:id="20" w:name="_Toc93312383"/>
      <w:r>
        <w:t>3.1. HYRJE</w:t>
      </w:r>
      <w:bookmarkEnd w:id="20"/>
    </w:p>
    <w:p w14:paraId="0B6990C1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6BE305EA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t>Themelimi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kërkon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ndryshime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pasqyrën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institucionale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përfshirë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ligjore</w:t>
      </w:r>
      <w:proofErr w:type="spellEnd"/>
      <w:r>
        <w:rPr>
          <w:color w:val="000000"/>
        </w:rPr>
        <w:t xml:space="preserve">. Mu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këtë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vlerësimi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impaktit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pashmangshëm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Aktualisht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krijimin</w:t>
      </w:r>
      <w:proofErr w:type="spellEnd"/>
      <w:r>
        <w:rPr>
          <w:color w:val="000000"/>
        </w:rPr>
        <w:t xml:space="preserve"> e FSRK </w:t>
      </w:r>
      <w:proofErr w:type="spellStart"/>
      <w:r>
        <w:rPr>
          <w:color w:val="000000"/>
        </w:rPr>
        <w:t>nuk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ekziston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domosdoshme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ndryshimet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hartimit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kornizës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re </w:t>
      </w:r>
      <w:proofErr w:type="spellStart"/>
      <w:r>
        <w:rPr>
          <w:color w:val="000000"/>
        </w:rPr>
        <w:t>ligjore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t’i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përshtateshin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nevojave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krijimin</w:t>
      </w:r>
      <w:proofErr w:type="spellEnd"/>
      <w:r>
        <w:rPr>
          <w:color w:val="000000"/>
        </w:rPr>
        <w:t xml:space="preserve"> e FSRK. </w:t>
      </w:r>
    </w:p>
    <w:p w14:paraId="7F66DEFC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288568DA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t>Kushtetuta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Republikës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shprehimisht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kategorinë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aseteve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shtetit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parasheh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mundësi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krijimin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institucioneve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cilave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bëhet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transaktimi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tyre</w:t>
      </w:r>
      <w:proofErr w:type="spellEnd"/>
      <w:r>
        <w:rPr>
          <w:color w:val="000000"/>
        </w:rPr>
        <w:t>. </w:t>
      </w:r>
    </w:p>
    <w:p w14:paraId="21143E0D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209D3DCF" w14:textId="0CFADCC2" w:rsidR="000E7BCB" w:rsidRPr="00B35609" w:rsidRDefault="00A620E4">
      <w:pPr>
        <w:rPr>
          <w:color w:val="000000"/>
        </w:rPr>
      </w:pPr>
      <w:r>
        <w:rPr>
          <w:color w:val="000000"/>
        </w:rPr>
        <w:t xml:space="preserve">Duke </w:t>
      </w:r>
      <w:proofErr w:type="spellStart"/>
      <w:r>
        <w:rPr>
          <w:color w:val="000000"/>
        </w:rPr>
        <w:t>marrë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parasysh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FSRK do </w:t>
      </w:r>
      <w:proofErr w:type="spellStart"/>
      <w:r>
        <w:rPr>
          <w:color w:val="000000"/>
        </w:rPr>
        <w:t>ngërthente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pronësinë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ndërmarrjeve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këtu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parasysh</w:t>
      </w:r>
      <w:proofErr w:type="spellEnd"/>
      <w:r>
        <w:rPr>
          <w:color w:val="000000"/>
        </w:rPr>
        <w:t xml:space="preserve"> </w:t>
      </w:r>
      <w:proofErr w:type="spellStart"/>
      <w:r w:rsidR="00B35609">
        <w:rPr>
          <w:color w:val="000000"/>
        </w:rPr>
        <w:t>historikun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ligjor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që</w:t>
      </w:r>
      <w:proofErr w:type="spellEnd"/>
      <w:r w:rsidR="00B35609">
        <w:rPr>
          <w:color w:val="000000"/>
        </w:rPr>
        <w:t xml:space="preserve"> I </w:t>
      </w:r>
      <w:proofErr w:type="spellStart"/>
      <w:r w:rsidR="00B35609">
        <w:rPr>
          <w:color w:val="000000"/>
        </w:rPr>
        <w:t>referohet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menaxhimit</w:t>
      </w:r>
      <w:proofErr w:type="spellEnd"/>
      <w:r w:rsidR="00B35609">
        <w:rPr>
          <w:color w:val="000000"/>
        </w:rPr>
        <w:t xml:space="preserve"> me </w:t>
      </w:r>
      <w:proofErr w:type="spellStart"/>
      <w:r w:rsidR="00B35609">
        <w:rPr>
          <w:color w:val="000000"/>
        </w:rPr>
        <w:t>asetet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publike</w:t>
      </w:r>
      <w:proofErr w:type="spellEnd"/>
      <w:r w:rsidR="00B35609">
        <w:rPr>
          <w:color w:val="000000"/>
        </w:rPr>
        <w:t xml:space="preserve">. Mu </w:t>
      </w:r>
      <w:proofErr w:type="spellStart"/>
      <w:r w:rsidR="00B35609">
        <w:rPr>
          <w:color w:val="000000"/>
        </w:rPr>
        <w:t>për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këtë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duhet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referuar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edhe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aspekteve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ligjore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që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nuk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janë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aktualisht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të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aplikueshme</w:t>
      </w:r>
      <w:proofErr w:type="spellEnd"/>
      <w:r w:rsidR="00B35609">
        <w:rPr>
          <w:color w:val="000000"/>
        </w:rPr>
        <w:t xml:space="preserve">, </w:t>
      </w:r>
      <w:proofErr w:type="spellStart"/>
      <w:r w:rsidR="00B35609">
        <w:rPr>
          <w:color w:val="000000"/>
        </w:rPr>
        <w:t>për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shkak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të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fuqisë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së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tyre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juridike</w:t>
      </w:r>
      <w:proofErr w:type="spellEnd"/>
      <w:r w:rsidR="00B35609">
        <w:rPr>
          <w:color w:val="000000"/>
        </w:rPr>
        <w:t xml:space="preserve">, </w:t>
      </w:r>
      <w:proofErr w:type="spellStart"/>
      <w:r w:rsidR="00B35609">
        <w:rPr>
          <w:color w:val="000000"/>
        </w:rPr>
        <w:t>nisur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nga</w:t>
      </w:r>
      <w:proofErr w:type="spellEnd"/>
      <w:r w:rsidR="00B35609">
        <w:rPr>
          <w:color w:val="000000"/>
        </w:rPr>
        <w:t xml:space="preserve"> </w:t>
      </w:r>
      <w:proofErr w:type="spellStart"/>
      <w:r>
        <w:rPr>
          <w:color w:val="000000"/>
        </w:rPr>
        <w:t>neni</w:t>
      </w:r>
      <w:proofErr w:type="spellEnd"/>
      <w:r>
        <w:rPr>
          <w:color w:val="000000"/>
        </w:rPr>
        <w:t xml:space="preserve"> 160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Kushtetutës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cili</w:t>
      </w:r>
      <w:proofErr w:type="spellEnd"/>
      <w:r>
        <w:rPr>
          <w:color w:val="000000"/>
        </w:rPr>
        <w:t xml:space="preserve"> </w:t>
      </w:r>
      <w:r w:rsidR="00B35609">
        <w:rPr>
          <w:color w:val="000000"/>
        </w:rPr>
        <w:t xml:space="preserve">ka </w:t>
      </w:r>
      <w:proofErr w:type="spellStart"/>
      <w:r w:rsidR="00B35609">
        <w:rPr>
          <w:color w:val="000000"/>
        </w:rPr>
        <w:t>potencuar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shprehimisht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>:</w:t>
      </w:r>
      <w:r>
        <w:rPr>
          <w:b/>
          <w:color w:val="000000"/>
        </w:rPr>
        <w:t xml:space="preserve"> “</w:t>
      </w:r>
      <w:proofErr w:type="spellStart"/>
      <w:r>
        <w:rPr>
          <w:i/>
          <w:color w:val="000000"/>
        </w:rPr>
        <w:t>Republika</w:t>
      </w:r>
      <w:proofErr w:type="spellEnd"/>
      <w:r>
        <w:rPr>
          <w:i/>
          <w:color w:val="000000"/>
        </w:rPr>
        <w:t xml:space="preserve"> e </w:t>
      </w:r>
      <w:proofErr w:type="spellStart"/>
      <w:r>
        <w:rPr>
          <w:i/>
          <w:color w:val="000000"/>
        </w:rPr>
        <w:t>Kosovës</w:t>
      </w:r>
      <w:proofErr w:type="spellEnd"/>
      <w:r>
        <w:rPr>
          <w:i/>
          <w:color w:val="000000"/>
        </w:rPr>
        <w:t xml:space="preserve"> do </w:t>
      </w:r>
      <w:proofErr w:type="spellStart"/>
      <w:r>
        <w:rPr>
          <w:i/>
          <w:color w:val="000000"/>
        </w:rPr>
        <w:t>t’i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ketë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pronësi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vet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gjitha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ndërmarrjet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Republikën</w:t>
      </w:r>
      <w:proofErr w:type="spellEnd"/>
      <w:r>
        <w:rPr>
          <w:i/>
          <w:color w:val="000000"/>
        </w:rPr>
        <w:t xml:space="preserve"> e </w:t>
      </w:r>
      <w:proofErr w:type="spellStart"/>
      <w:r>
        <w:rPr>
          <w:i/>
          <w:color w:val="000000"/>
        </w:rPr>
        <w:t>Kosovës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që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janë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ndërmarrje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pronësi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publike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gjitha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obligimet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që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kanë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bëjnë</w:t>
      </w:r>
      <w:proofErr w:type="spellEnd"/>
      <w:r>
        <w:rPr>
          <w:i/>
          <w:color w:val="000000"/>
        </w:rPr>
        <w:t xml:space="preserve"> me </w:t>
      </w:r>
      <w:proofErr w:type="spellStart"/>
      <w:r>
        <w:rPr>
          <w:i/>
          <w:color w:val="000000"/>
        </w:rPr>
        <w:t>këto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drejta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pronësore</w:t>
      </w:r>
      <w:proofErr w:type="spellEnd"/>
      <w:r>
        <w:rPr>
          <w:i/>
          <w:color w:val="000000"/>
        </w:rPr>
        <w:t xml:space="preserve"> do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jenë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obligime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Republikës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Kosovës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Qeveria</w:t>
      </w:r>
      <w:proofErr w:type="spellEnd"/>
      <w:r>
        <w:rPr>
          <w:i/>
          <w:color w:val="000000"/>
        </w:rPr>
        <w:t xml:space="preserve"> e </w:t>
      </w:r>
      <w:proofErr w:type="spellStart"/>
      <w:r>
        <w:rPr>
          <w:i/>
          <w:color w:val="000000"/>
        </w:rPr>
        <w:t>Kosovës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mund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privatizojë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japë</w:t>
      </w:r>
      <w:proofErr w:type="spellEnd"/>
      <w:r>
        <w:rPr>
          <w:i/>
          <w:color w:val="000000"/>
        </w:rPr>
        <w:t xml:space="preserve"> me </w:t>
      </w:r>
      <w:proofErr w:type="spellStart"/>
      <w:r>
        <w:rPr>
          <w:i/>
          <w:color w:val="000000"/>
        </w:rPr>
        <w:t>koncesion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ose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japë</w:t>
      </w:r>
      <w:proofErr w:type="spellEnd"/>
      <w:r>
        <w:rPr>
          <w:i/>
          <w:color w:val="000000"/>
        </w:rPr>
        <w:t xml:space="preserve"> me </w:t>
      </w:r>
      <w:proofErr w:type="spellStart"/>
      <w:r>
        <w:rPr>
          <w:i/>
          <w:color w:val="000000"/>
        </w:rPr>
        <w:t>qira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ndërmarrjet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pronësi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publike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mënyrën</w:t>
      </w:r>
      <w:proofErr w:type="spellEnd"/>
      <w:r>
        <w:rPr>
          <w:i/>
          <w:color w:val="000000"/>
        </w:rPr>
        <w:t xml:space="preserve"> e </w:t>
      </w:r>
      <w:proofErr w:type="spellStart"/>
      <w:r>
        <w:rPr>
          <w:i/>
          <w:color w:val="000000"/>
        </w:rPr>
        <w:t>rregulluar</w:t>
      </w:r>
      <w:proofErr w:type="spellEnd"/>
      <w:r>
        <w:rPr>
          <w:i/>
          <w:color w:val="000000"/>
        </w:rPr>
        <w:t xml:space="preserve"> me </w:t>
      </w:r>
      <w:proofErr w:type="spellStart"/>
      <w:r>
        <w:rPr>
          <w:i/>
          <w:color w:val="000000"/>
        </w:rPr>
        <w:t>ligj</w:t>
      </w:r>
      <w:proofErr w:type="spellEnd"/>
      <w:r>
        <w:rPr>
          <w:i/>
          <w:color w:val="000000"/>
        </w:rPr>
        <w:t>”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Një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tillë</w:t>
      </w:r>
      <w:proofErr w:type="spellEnd"/>
      <w:r>
        <w:rPr>
          <w:color w:val="000000"/>
        </w:rPr>
        <w:t xml:space="preserve"> </w:t>
      </w:r>
      <w:r w:rsidR="00B35609">
        <w:rPr>
          <w:color w:val="000000"/>
        </w:rPr>
        <w:t xml:space="preserve">ka </w:t>
      </w:r>
      <w:proofErr w:type="spellStart"/>
      <w:r w:rsidR="00B35609">
        <w:rPr>
          <w:color w:val="000000"/>
        </w:rPr>
        <w:t>nënkuptuar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drejtat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ushtrohen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Republikës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. </w:t>
      </w:r>
      <w:proofErr w:type="spellStart"/>
      <w:r w:rsidR="00B35609">
        <w:rPr>
          <w:color w:val="000000"/>
        </w:rPr>
        <w:t>Sikur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të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aplikoheshin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në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momentin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aktual</w:t>
      </w:r>
      <w:proofErr w:type="spellEnd"/>
      <w:r w:rsidR="00B35609">
        <w:rPr>
          <w:color w:val="000000"/>
        </w:rPr>
        <w:t xml:space="preserve">, do </w:t>
      </w:r>
      <w:proofErr w:type="spellStart"/>
      <w:r w:rsidR="00B35609">
        <w:rPr>
          <w:color w:val="000000"/>
        </w:rPr>
        <w:t>nënkuptohej</w:t>
      </w:r>
      <w:proofErr w:type="spellEnd"/>
      <w:r w:rsidR="00B35609">
        <w:rPr>
          <w:color w:val="000000"/>
        </w:rPr>
        <w:t xml:space="preserve"> </w:t>
      </w:r>
      <w:proofErr w:type="spellStart"/>
      <w:r w:rsidR="00B35609">
        <w:rPr>
          <w:color w:val="000000"/>
        </w:rPr>
        <w:t>që</w:t>
      </w:r>
      <w:proofErr w:type="spellEnd"/>
      <w:r w:rsidR="00B35609">
        <w:rPr>
          <w:color w:val="000000"/>
        </w:rPr>
        <w:t xml:space="preserve">, </w:t>
      </w:r>
      <w:proofErr w:type="spellStart"/>
      <w:r w:rsidR="00B35609">
        <w:rPr>
          <w:color w:val="000000"/>
        </w:rPr>
        <w:t>p</w:t>
      </w:r>
      <w:r>
        <w:rPr>
          <w:color w:val="000000"/>
        </w:rPr>
        <w:t>ërderisa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njëjtat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pjesë</w:t>
      </w:r>
      <w:proofErr w:type="spellEnd"/>
      <w:r>
        <w:rPr>
          <w:color w:val="000000"/>
        </w:rPr>
        <w:t xml:space="preserve"> e FSRK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ushtron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drejtat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, </w:t>
      </w:r>
      <w:proofErr w:type="spellStart"/>
      <w:r w:rsidR="006E780A">
        <w:rPr>
          <w:color w:val="000000"/>
        </w:rPr>
        <w:t>nuk</w:t>
      </w:r>
      <w:proofErr w:type="spellEnd"/>
      <w:r w:rsidR="006E780A">
        <w:rPr>
          <w:color w:val="000000"/>
        </w:rPr>
        <w:t xml:space="preserve"> do </w:t>
      </w:r>
      <w:proofErr w:type="spellStart"/>
      <w:r w:rsidR="006E780A">
        <w:rPr>
          <w:color w:val="000000"/>
        </w:rPr>
        <w:t>kishte</w:t>
      </w:r>
      <w:proofErr w:type="spellEnd"/>
      <w:r w:rsidR="006E780A">
        <w:rPr>
          <w:color w:val="000000"/>
        </w:rPr>
        <w:t xml:space="preserve"> </w:t>
      </w:r>
      <w:proofErr w:type="spellStart"/>
      <w:r w:rsidR="006E780A">
        <w:rPr>
          <w:color w:val="000000"/>
        </w:rPr>
        <w:t>implikime</w:t>
      </w:r>
      <w:proofErr w:type="spellEnd"/>
      <w:r w:rsidR="006E780A">
        <w:rPr>
          <w:color w:val="000000"/>
        </w:rPr>
        <w:t xml:space="preserve"> </w:t>
      </w:r>
      <w:proofErr w:type="spellStart"/>
      <w:r w:rsidR="006E780A">
        <w:rPr>
          <w:color w:val="000000"/>
        </w:rPr>
        <w:t>kushtetuese</w:t>
      </w:r>
      <w:proofErr w:type="spellEnd"/>
      <w:r w:rsidR="006E780A">
        <w:rPr>
          <w:color w:val="000000"/>
        </w:rPr>
        <w:t xml:space="preserve">. </w:t>
      </w:r>
      <w:proofErr w:type="spellStart"/>
      <w:r w:rsidR="006E780A">
        <w:rPr>
          <w:color w:val="000000"/>
        </w:rPr>
        <w:t>Pra</w:t>
      </w:r>
      <w:proofErr w:type="spellEnd"/>
      <w:r w:rsidR="006E780A">
        <w:rPr>
          <w:color w:val="000000"/>
        </w:rPr>
        <w:t xml:space="preserve">, </w:t>
      </w:r>
      <w:proofErr w:type="spellStart"/>
      <w:r w:rsidR="006E780A">
        <w:rPr>
          <w:color w:val="000000"/>
        </w:rPr>
        <w:t>edhe</w:t>
      </w:r>
      <w:proofErr w:type="spellEnd"/>
      <w:r w:rsidR="006E780A">
        <w:rPr>
          <w:color w:val="000000"/>
        </w:rPr>
        <w:t xml:space="preserve"> </w:t>
      </w:r>
      <w:proofErr w:type="spellStart"/>
      <w:r w:rsidR="006E780A">
        <w:rPr>
          <w:color w:val="000000"/>
        </w:rPr>
        <w:t>në</w:t>
      </w:r>
      <w:proofErr w:type="spellEnd"/>
      <w:r w:rsidR="006E780A">
        <w:rPr>
          <w:color w:val="000000"/>
        </w:rPr>
        <w:t xml:space="preserve"> moment </w:t>
      </w:r>
      <w:proofErr w:type="spellStart"/>
      <w:r w:rsidR="006E780A">
        <w:rPr>
          <w:color w:val="000000"/>
        </w:rPr>
        <w:t>aktual</w:t>
      </w:r>
      <w:proofErr w:type="spellEnd"/>
      <w:r w:rsidR="006E780A">
        <w:rPr>
          <w:color w:val="000000"/>
        </w:rPr>
        <w:t xml:space="preserve">, </w:t>
      </w:r>
      <w:proofErr w:type="spellStart"/>
      <w:r w:rsidR="006E780A">
        <w:rPr>
          <w:color w:val="000000"/>
        </w:rPr>
        <w:t>një</w:t>
      </w:r>
      <w:proofErr w:type="spellEnd"/>
      <w:r w:rsidR="006E780A">
        <w:rPr>
          <w:color w:val="000000"/>
        </w:rPr>
        <w:t xml:space="preserve"> </w:t>
      </w:r>
      <w:proofErr w:type="spellStart"/>
      <w:r w:rsidR="006E780A">
        <w:rPr>
          <w:color w:val="000000"/>
        </w:rPr>
        <w:t>nen</w:t>
      </w:r>
      <w:proofErr w:type="spellEnd"/>
      <w:r w:rsidR="006E780A">
        <w:rPr>
          <w:color w:val="000000"/>
        </w:rPr>
        <w:t xml:space="preserve"> I </w:t>
      </w:r>
      <w:proofErr w:type="spellStart"/>
      <w:r w:rsidR="006E780A">
        <w:rPr>
          <w:color w:val="000000"/>
        </w:rPr>
        <w:t>këtillë</w:t>
      </w:r>
      <w:proofErr w:type="spellEnd"/>
      <w:r w:rsidR="006E780A">
        <w:rPr>
          <w:color w:val="000000"/>
        </w:rPr>
        <w:t xml:space="preserve">, I </w:t>
      </w:r>
      <w:proofErr w:type="spellStart"/>
      <w:r w:rsidR="006E780A">
        <w:rPr>
          <w:color w:val="000000"/>
        </w:rPr>
        <w:t>aplikueshëm</w:t>
      </w:r>
      <w:proofErr w:type="spellEnd"/>
      <w:r w:rsidR="006E780A">
        <w:rPr>
          <w:color w:val="000000"/>
        </w:rPr>
        <w:t xml:space="preserve"> </w:t>
      </w:r>
      <w:proofErr w:type="spellStart"/>
      <w:r w:rsidR="006E780A">
        <w:rPr>
          <w:color w:val="000000"/>
        </w:rPr>
        <w:t>deri</w:t>
      </w:r>
      <w:proofErr w:type="spellEnd"/>
      <w:r w:rsidR="006E780A">
        <w:rPr>
          <w:color w:val="000000"/>
        </w:rPr>
        <w:t xml:space="preserve"> </w:t>
      </w:r>
      <w:proofErr w:type="spellStart"/>
      <w:r w:rsidR="006E780A">
        <w:rPr>
          <w:color w:val="000000"/>
        </w:rPr>
        <w:t>në</w:t>
      </w:r>
      <w:proofErr w:type="spellEnd"/>
      <w:r w:rsidR="006E780A">
        <w:rPr>
          <w:color w:val="000000"/>
        </w:rPr>
        <w:t xml:space="preserve"> </w:t>
      </w:r>
      <w:proofErr w:type="spellStart"/>
      <w:r w:rsidR="006E780A">
        <w:rPr>
          <w:color w:val="000000"/>
        </w:rPr>
        <w:t>vitin</w:t>
      </w:r>
      <w:proofErr w:type="spellEnd"/>
      <w:r w:rsidR="006E780A">
        <w:rPr>
          <w:color w:val="000000"/>
        </w:rPr>
        <w:t xml:space="preserve"> 2012, </w:t>
      </w:r>
      <w:proofErr w:type="spellStart"/>
      <w:r w:rsidR="006E780A">
        <w:rPr>
          <w:color w:val="000000"/>
        </w:rPr>
        <w:t>nuk</w:t>
      </w:r>
      <w:proofErr w:type="spellEnd"/>
      <w:r w:rsidR="006E780A">
        <w:rPr>
          <w:color w:val="000000"/>
        </w:rPr>
        <w:t xml:space="preserve"> do </w:t>
      </w:r>
      <w:proofErr w:type="spellStart"/>
      <w:r w:rsidR="006E780A">
        <w:rPr>
          <w:color w:val="000000"/>
        </w:rPr>
        <w:t>ishte</w:t>
      </w:r>
      <w:proofErr w:type="spellEnd"/>
      <w:r w:rsidR="006E780A">
        <w:rPr>
          <w:color w:val="000000"/>
        </w:rPr>
        <w:t xml:space="preserve"> </w:t>
      </w:r>
      <w:proofErr w:type="spellStart"/>
      <w:r w:rsidR="006E780A">
        <w:rPr>
          <w:color w:val="000000"/>
        </w:rPr>
        <w:t>pengesë</w:t>
      </w:r>
      <w:proofErr w:type="spellEnd"/>
      <w:r w:rsidR="006E780A">
        <w:rPr>
          <w:color w:val="000000"/>
        </w:rPr>
        <w:t xml:space="preserve"> </w:t>
      </w:r>
      <w:proofErr w:type="spellStart"/>
      <w:r w:rsidR="006E780A">
        <w:rPr>
          <w:color w:val="000000"/>
        </w:rPr>
        <w:t>ndaj</w:t>
      </w:r>
      <w:proofErr w:type="spellEnd"/>
      <w:r w:rsidR="006E780A">
        <w:rPr>
          <w:color w:val="000000"/>
        </w:rPr>
        <w:t xml:space="preserve"> </w:t>
      </w:r>
      <w:proofErr w:type="spellStart"/>
      <w:r w:rsidR="006E780A">
        <w:rPr>
          <w:color w:val="000000"/>
        </w:rPr>
        <w:t>themelimit</w:t>
      </w:r>
      <w:proofErr w:type="spellEnd"/>
      <w:r w:rsidR="006E780A">
        <w:rPr>
          <w:color w:val="000000"/>
        </w:rPr>
        <w:t xml:space="preserve"> </w:t>
      </w:r>
      <w:proofErr w:type="spellStart"/>
      <w:r w:rsidR="006E780A">
        <w:rPr>
          <w:color w:val="000000"/>
        </w:rPr>
        <w:t>të</w:t>
      </w:r>
      <w:proofErr w:type="spellEnd"/>
      <w:r w:rsidR="006E780A">
        <w:rPr>
          <w:color w:val="000000"/>
        </w:rPr>
        <w:t xml:space="preserve"> FSRK.</w:t>
      </w:r>
      <w:r>
        <w:rPr>
          <w:color w:val="000000"/>
        </w:rPr>
        <w:t> </w:t>
      </w:r>
    </w:p>
    <w:p w14:paraId="4B58F3CF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2E8E1C39" w14:textId="77777777" w:rsidR="000E7BCB" w:rsidRDefault="00A620E4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Duke </w:t>
      </w:r>
      <w:proofErr w:type="spellStart"/>
      <w:r>
        <w:rPr>
          <w:color w:val="000000"/>
        </w:rPr>
        <w:t>marrë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parasysh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tha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lart</w:t>
      </w:r>
      <w:proofErr w:type="spellEnd"/>
      <w:r>
        <w:rPr>
          <w:color w:val="000000"/>
        </w:rPr>
        <w:t xml:space="preserve">, e </w:t>
      </w:r>
      <w:proofErr w:type="spellStart"/>
      <w:r>
        <w:rPr>
          <w:color w:val="000000"/>
        </w:rPr>
        <w:t>vetmja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qartë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vazhdim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mbetja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pronësisë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ushtrimi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drejtave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pronësore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aq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përket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Republikës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dispozitë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mundëson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procedimin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amandamentim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kornizës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ligjore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qëllim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themelimit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FSRK. </w:t>
      </w:r>
    </w:p>
    <w:p w14:paraId="335F2777" w14:textId="19E31267" w:rsidR="000E7BCB" w:rsidRDefault="000E7BCB" w:rsidP="006E780A">
      <w:pPr>
        <w:rPr>
          <w:rFonts w:ascii="Times New Roman" w:eastAsia="Times New Roman" w:hAnsi="Times New Roman" w:cs="Times New Roman"/>
        </w:rPr>
      </w:pPr>
    </w:p>
    <w:p w14:paraId="6479D4BF" w14:textId="77777777" w:rsidR="000E7BCB" w:rsidRDefault="00A620E4" w:rsidP="004F76C8">
      <w:pPr>
        <w:pStyle w:val="Heading2"/>
        <w:numPr>
          <w:ilvl w:val="0"/>
          <w:numId w:val="0"/>
        </w:numPr>
        <w:rPr>
          <w:rFonts w:ascii="Times New Roman" w:eastAsia="Times New Roman" w:hAnsi="Times New Roman" w:cs="Times New Roman"/>
        </w:rPr>
      </w:pPr>
      <w:bookmarkStart w:id="21" w:name="_Toc93312384"/>
      <w:r>
        <w:t>3.2. TRANSFERI I ASETEVE TË AKP-SË – IMPLIKIMET</w:t>
      </w:r>
      <w:bookmarkEnd w:id="21"/>
      <w:r>
        <w:rPr>
          <w:i/>
        </w:rPr>
        <w:t> </w:t>
      </w:r>
    </w:p>
    <w:p w14:paraId="30E39F65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2766B0C5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t>Nisur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parashihet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rekomandohet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aktualisht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menaxhimin</w:t>
      </w:r>
      <w:proofErr w:type="spellEnd"/>
      <w:r>
        <w:rPr>
          <w:color w:val="000000"/>
        </w:rPr>
        <w:t xml:space="preserve"> e AKP-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paraparë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modalitetet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implikimet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duhej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prekur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ashtu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mundësohet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shtetërore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aktualisht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menaxhimin</w:t>
      </w:r>
      <w:proofErr w:type="spellEnd"/>
      <w:r>
        <w:rPr>
          <w:color w:val="000000"/>
        </w:rPr>
        <w:t xml:space="preserve"> e AKP-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FSRK. </w:t>
      </w:r>
    </w:p>
    <w:p w14:paraId="29984F8F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5330DA32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lastRenderedPageBreak/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vepruar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paragrafit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paraprak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parasysh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Ligjit</w:t>
      </w:r>
      <w:proofErr w:type="spellEnd"/>
      <w:r>
        <w:rPr>
          <w:color w:val="000000"/>
        </w:rPr>
        <w:t xml:space="preserve"> Nr. 04/L-034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Agjencinë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Privatizimit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këtu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tutje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Ligji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Agjencinë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Privatizimit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kjo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fundit</w:t>
      </w:r>
      <w:proofErr w:type="spellEnd"/>
      <w:r>
        <w:rPr>
          <w:color w:val="000000"/>
        </w:rPr>
        <w:t xml:space="preserve"> ka </w:t>
      </w:r>
      <w:proofErr w:type="spellStart"/>
      <w:r>
        <w:rPr>
          <w:color w:val="000000"/>
        </w:rPr>
        <w:t>kompetenca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ekskluzive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administrojë</w:t>
      </w:r>
      <w:proofErr w:type="spellEnd"/>
      <w:r>
        <w:rPr>
          <w:color w:val="000000"/>
        </w:rPr>
        <w:t xml:space="preserve">: </w:t>
      </w:r>
      <w:r>
        <w:rPr>
          <w:i/>
          <w:color w:val="000000"/>
        </w:rPr>
        <w:t xml:space="preserve">1.1.ndërmarrjet </w:t>
      </w:r>
      <w:proofErr w:type="spellStart"/>
      <w:r>
        <w:rPr>
          <w:i/>
          <w:color w:val="000000"/>
        </w:rPr>
        <w:t>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pronësi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shoqërore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pavarësisht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nëse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janë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nënshtruar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transformimit</w:t>
      </w:r>
      <w:proofErr w:type="spellEnd"/>
      <w:r>
        <w:rPr>
          <w:i/>
          <w:color w:val="000000"/>
        </w:rPr>
        <w:t xml:space="preserve"> apo jo; 1.2.të </w:t>
      </w:r>
      <w:proofErr w:type="spellStart"/>
      <w:r>
        <w:rPr>
          <w:i/>
          <w:color w:val="000000"/>
        </w:rPr>
        <w:t>gjitha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asetet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që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ndodhen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territorin</w:t>
      </w:r>
      <w:proofErr w:type="spellEnd"/>
      <w:r>
        <w:rPr>
          <w:i/>
          <w:color w:val="000000"/>
        </w:rPr>
        <w:t xml:space="preserve"> e </w:t>
      </w:r>
      <w:proofErr w:type="spellStart"/>
      <w:r>
        <w:rPr>
          <w:i/>
          <w:color w:val="000000"/>
        </w:rPr>
        <w:t>Kosovës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pavarësisht</w:t>
      </w:r>
      <w:proofErr w:type="spellEnd"/>
      <w:r>
        <w:rPr>
          <w:i/>
          <w:color w:val="000000"/>
        </w:rPr>
        <w:t xml:space="preserve"> a </w:t>
      </w:r>
      <w:proofErr w:type="spellStart"/>
      <w:r>
        <w:rPr>
          <w:i/>
          <w:color w:val="000000"/>
        </w:rPr>
        <w:t>janë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organizuara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subjekte</w:t>
      </w:r>
      <w:proofErr w:type="spellEnd"/>
      <w:r>
        <w:rPr>
          <w:i/>
          <w:color w:val="000000"/>
        </w:rPr>
        <w:t xml:space="preserve"> apo jo,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cilat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kanë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qenë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pronë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pronësi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shoqërore</w:t>
      </w:r>
      <w:proofErr w:type="spellEnd"/>
      <w:r>
        <w:rPr>
          <w:i/>
          <w:color w:val="000000"/>
        </w:rPr>
        <w:t xml:space="preserve"> me </w:t>
      </w:r>
      <w:proofErr w:type="spellStart"/>
      <w:r>
        <w:rPr>
          <w:i/>
          <w:color w:val="000000"/>
        </w:rPr>
        <w:t>ose</w:t>
      </w:r>
      <w:proofErr w:type="spellEnd"/>
      <w:r>
        <w:rPr>
          <w:i/>
          <w:color w:val="000000"/>
        </w:rPr>
        <w:t xml:space="preserve"> pas 22 </w:t>
      </w:r>
      <w:proofErr w:type="spellStart"/>
      <w:r>
        <w:rPr>
          <w:i/>
          <w:color w:val="000000"/>
        </w:rPr>
        <w:t>Marsit</w:t>
      </w:r>
      <w:proofErr w:type="spellEnd"/>
      <w:r>
        <w:rPr>
          <w:i/>
          <w:color w:val="000000"/>
        </w:rPr>
        <w:t xml:space="preserve"> 1989, </w:t>
      </w:r>
      <w:proofErr w:type="spellStart"/>
      <w:r>
        <w:rPr>
          <w:i/>
          <w:color w:val="000000"/>
        </w:rPr>
        <w:t>përveç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rasteve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rregulluara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sipas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paragrafi</w:t>
      </w:r>
      <w:proofErr w:type="spellEnd"/>
      <w:r>
        <w:rPr>
          <w:i/>
          <w:color w:val="000000"/>
        </w:rPr>
        <w:t xml:space="preserve"> 2.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këtij</w:t>
      </w:r>
      <w:proofErr w:type="spellEnd"/>
      <w:r>
        <w:rPr>
          <w:i/>
          <w:color w:val="000000"/>
        </w:rPr>
        <w:t xml:space="preserve"> </w:t>
      </w:r>
      <w:proofErr w:type="spellStart"/>
      <w:proofErr w:type="gramStart"/>
      <w:r>
        <w:rPr>
          <w:i/>
          <w:color w:val="000000"/>
        </w:rPr>
        <w:t>neni;dhe</w:t>
      </w:r>
      <w:proofErr w:type="spellEnd"/>
      <w:proofErr w:type="gramEnd"/>
      <w:r>
        <w:rPr>
          <w:i/>
          <w:color w:val="000000"/>
        </w:rPr>
        <w:t xml:space="preserve"> 1.3.të </w:t>
      </w:r>
      <w:proofErr w:type="spellStart"/>
      <w:r>
        <w:rPr>
          <w:i/>
          <w:color w:val="000000"/>
        </w:rPr>
        <w:t>gjitha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aksionet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korporata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dhe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korporatat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vartëse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themeluara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sipas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këtij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ligji</w:t>
      </w:r>
      <w:proofErr w:type="spellEnd"/>
      <w:r>
        <w:rPr>
          <w:i/>
          <w:color w:val="000000"/>
        </w:rPr>
        <w:t xml:space="preserve">; </w:t>
      </w:r>
      <w:proofErr w:type="spellStart"/>
      <w:r>
        <w:rPr>
          <w:i/>
          <w:color w:val="000000"/>
        </w:rPr>
        <w:t>dhe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gjithë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interesat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pronësi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shtetërore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një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ndërmarrje</w:t>
      </w:r>
      <w:proofErr w:type="spellEnd"/>
      <w:r>
        <w:rPr>
          <w:i/>
          <w:color w:val="000000"/>
        </w:rPr>
        <w:t xml:space="preserve"> apo </w:t>
      </w:r>
      <w:proofErr w:type="spellStart"/>
      <w:r>
        <w:rPr>
          <w:i/>
          <w:color w:val="000000"/>
        </w:rPr>
        <w:t>subjekt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tjetër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juridik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pavarësisht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nëse</w:t>
      </w:r>
      <w:proofErr w:type="spellEnd"/>
      <w:r>
        <w:rPr>
          <w:i/>
          <w:color w:val="000000"/>
        </w:rPr>
        <w:t xml:space="preserve"> ajo </w:t>
      </w:r>
      <w:proofErr w:type="spellStart"/>
      <w:r>
        <w:rPr>
          <w:i/>
          <w:color w:val="000000"/>
        </w:rPr>
        <w:t>ndërmarrje</w:t>
      </w:r>
      <w:proofErr w:type="spellEnd"/>
      <w:r>
        <w:rPr>
          <w:i/>
          <w:color w:val="000000"/>
        </w:rPr>
        <w:t xml:space="preserve"> apo </w:t>
      </w:r>
      <w:proofErr w:type="spellStart"/>
      <w:r>
        <w:rPr>
          <w:i/>
          <w:color w:val="000000"/>
        </w:rPr>
        <w:t>subjekt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juridik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është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nënshtruar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transformimit</w:t>
      </w:r>
      <w:proofErr w:type="spellEnd"/>
      <w:r>
        <w:rPr>
          <w:i/>
          <w:color w:val="000000"/>
        </w:rPr>
        <w:t>.</w:t>
      </w:r>
    </w:p>
    <w:p w14:paraId="142F8150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7D80A909" w14:textId="77777777" w:rsidR="000E7BCB" w:rsidRDefault="00A620E4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Duke </w:t>
      </w:r>
      <w:proofErr w:type="spellStart"/>
      <w:r>
        <w:rPr>
          <w:color w:val="000000"/>
        </w:rPr>
        <w:t>marrë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parasysh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tha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lart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legjislacionit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fuqi</w:t>
      </w:r>
      <w:proofErr w:type="spellEnd"/>
      <w:r>
        <w:rPr>
          <w:color w:val="000000"/>
        </w:rPr>
        <w:t xml:space="preserve">, AKP </w:t>
      </w:r>
      <w:proofErr w:type="spellStart"/>
      <w:r>
        <w:rPr>
          <w:color w:val="000000"/>
        </w:rPr>
        <w:t>menaxhon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gjitha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listuara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paragrafin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paraprak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njëjta</w:t>
      </w:r>
      <w:proofErr w:type="spellEnd"/>
      <w:r>
        <w:rPr>
          <w:color w:val="000000"/>
        </w:rPr>
        <w:t xml:space="preserve"> ka </w:t>
      </w:r>
      <w:proofErr w:type="spellStart"/>
      <w:r>
        <w:rPr>
          <w:color w:val="000000"/>
        </w:rPr>
        <w:t>kompetenca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ekskluzive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tyre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Rrjedhimisht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bërë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këtyre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pronësinë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Fondit</w:t>
      </w:r>
      <w:proofErr w:type="spellEnd"/>
      <w:r>
        <w:rPr>
          <w:color w:val="000000"/>
        </w:rPr>
        <w:t xml:space="preserve"> Sovran,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ndryshuar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Agjencinë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Privatizimit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mënyrë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mundësohet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ky</w:t>
      </w:r>
      <w:proofErr w:type="spellEnd"/>
      <w:r>
        <w:rPr>
          <w:color w:val="000000"/>
        </w:rPr>
        <w:t xml:space="preserve"> transfer </w:t>
      </w:r>
      <w:proofErr w:type="spellStart"/>
      <w:r>
        <w:rPr>
          <w:color w:val="000000"/>
        </w:rPr>
        <w:t>asetesh</w:t>
      </w:r>
      <w:proofErr w:type="spellEnd"/>
      <w:r>
        <w:rPr>
          <w:color w:val="000000"/>
        </w:rPr>
        <w:t>. </w:t>
      </w:r>
    </w:p>
    <w:p w14:paraId="4BE1A957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2B2A5E2D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t>Nëse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vazhdohet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procedurën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paraparë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lart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shqyrtuar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plotësim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ndryshimin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Ligjit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Agjencinë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Privatizimit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parashihte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funksionimin</w:t>
      </w:r>
      <w:proofErr w:type="spellEnd"/>
      <w:r>
        <w:rPr>
          <w:color w:val="000000"/>
        </w:rPr>
        <w:t xml:space="preserve"> e AKP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caktuara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paralelisht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hyrjen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fuqi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Fondin</w:t>
      </w:r>
      <w:proofErr w:type="spellEnd"/>
      <w:r>
        <w:rPr>
          <w:color w:val="000000"/>
        </w:rPr>
        <w:t xml:space="preserve"> Sovran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themelimit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njëjtit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Obligimet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palëve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AKP-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menaxhoheshin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njëjta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edhe</w:t>
      </w:r>
      <w:proofErr w:type="spellEnd"/>
      <w:r>
        <w:rPr>
          <w:color w:val="000000"/>
        </w:rPr>
        <w:t xml:space="preserve"> pas </w:t>
      </w:r>
      <w:proofErr w:type="spellStart"/>
      <w:r>
        <w:rPr>
          <w:color w:val="000000"/>
        </w:rPr>
        <w:t>hyrjes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fuqi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Fondin</w:t>
      </w:r>
      <w:proofErr w:type="spellEnd"/>
      <w:r>
        <w:rPr>
          <w:color w:val="000000"/>
        </w:rPr>
        <w:t xml:space="preserve"> Sovran. </w:t>
      </w:r>
      <w:proofErr w:type="spellStart"/>
      <w:r>
        <w:rPr>
          <w:color w:val="000000"/>
        </w:rPr>
        <w:t>Grupi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Punues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megjithatë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reformimin</w:t>
      </w:r>
      <w:proofErr w:type="spellEnd"/>
      <w:r>
        <w:rPr>
          <w:color w:val="000000"/>
        </w:rPr>
        <w:t xml:space="preserve"> e AKP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ndarë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themelimi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FSRK. </w:t>
      </w:r>
      <w:proofErr w:type="spellStart"/>
      <w:r>
        <w:rPr>
          <w:color w:val="000000"/>
        </w:rPr>
        <w:t>Relevante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FSRK-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vetëm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rregullimi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caktuara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AKP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FSRK.</w:t>
      </w:r>
    </w:p>
    <w:p w14:paraId="010290A2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5A734AC7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t>Natyrisht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pjesë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diskuton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asetet</w:t>
      </w:r>
      <w:proofErr w:type="spellEnd"/>
      <w:r>
        <w:rPr>
          <w:color w:val="000000"/>
        </w:rPr>
        <w:t xml:space="preserve"> e AKP-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nënshtruar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privatizimit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metodat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konsideruara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Punues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drejtim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fitimit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nënshtrimit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caktuara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FSRK, </w:t>
      </w:r>
      <w:proofErr w:type="spellStart"/>
      <w:r>
        <w:rPr>
          <w:color w:val="000000"/>
        </w:rPr>
        <w:t>mbi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drejtat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shpronësimi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Rrjedhimisht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pjesë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analizojë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mundësi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tillë</w:t>
      </w:r>
      <w:proofErr w:type="spellEnd"/>
      <w:r>
        <w:rPr>
          <w:color w:val="000000"/>
        </w:rPr>
        <w:t>. </w:t>
      </w:r>
    </w:p>
    <w:p w14:paraId="1408896A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268C73A3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t>Ligji</w:t>
      </w:r>
      <w:proofErr w:type="spellEnd"/>
      <w:r>
        <w:rPr>
          <w:color w:val="000000"/>
        </w:rPr>
        <w:t xml:space="preserve"> Nr.03/L-139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shpronësimin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pronës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paluajtshme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këtu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tutje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Ligji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Shpronësimin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parasheh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kushtet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bëjë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shpronësimin</w:t>
      </w:r>
      <w:proofErr w:type="spellEnd"/>
      <w:r>
        <w:rPr>
          <w:color w:val="000000"/>
        </w:rPr>
        <w:t xml:space="preserve">. Ky </w:t>
      </w:r>
      <w:proofErr w:type="spellStart"/>
      <w:r>
        <w:rPr>
          <w:color w:val="000000"/>
        </w:rPr>
        <w:t>Ligj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Shpronësimin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dritë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Konventës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Evropiane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Mbrojtjen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Drejtave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Njeriut</w:t>
      </w:r>
      <w:proofErr w:type="spellEnd"/>
      <w:r>
        <w:rPr>
          <w:color w:val="000000"/>
        </w:rPr>
        <w:t xml:space="preserve"> (e </w:t>
      </w:r>
      <w:proofErr w:type="spellStart"/>
      <w:r>
        <w:rPr>
          <w:color w:val="000000"/>
        </w:rPr>
        <w:t>cila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aplikueshme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Republikën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nenit</w:t>
      </w:r>
      <w:proofErr w:type="spellEnd"/>
      <w:r>
        <w:rPr>
          <w:color w:val="000000"/>
        </w:rPr>
        <w:t xml:space="preserve"> 22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Kushtetutës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praktikës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Gjykatës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Evropiane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Mbrojtjen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Drejtave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Njeriut</w:t>
      </w:r>
      <w:proofErr w:type="spellEnd"/>
      <w:r>
        <w:rPr>
          <w:color w:val="000000"/>
        </w:rPr>
        <w:t xml:space="preserve"> (e </w:t>
      </w:r>
      <w:proofErr w:type="spellStart"/>
      <w:r>
        <w:rPr>
          <w:color w:val="000000"/>
        </w:rPr>
        <w:t>ndërlidhur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nenin</w:t>
      </w:r>
      <w:proofErr w:type="spellEnd"/>
      <w:r>
        <w:rPr>
          <w:color w:val="000000"/>
        </w:rPr>
        <w:t xml:space="preserve"> 22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nenit</w:t>
      </w:r>
      <w:proofErr w:type="spellEnd"/>
      <w:r>
        <w:rPr>
          <w:color w:val="000000"/>
        </w:rPr>
        <w:t xml:space="preserve"> 53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Kushtetutës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ka </w:t>
      </w:r>
      <w:proofErr w:type="spellStart"/>
      <w:r>
        <w:rPr>
          <w:color w:val="000000"/>
        </w:rPr>
        <w:t>supremaci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vendore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dikton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rregullat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shpronësimit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bazuar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nenin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Protokollin</w:t>
      </w:r>
      <w:proofErr w:type="spellEnd"/>
      <w:r>
        <w:rPr>
          <w:color w:val="000000"/>
        </w:rPr>
        <w:t xml:space="preserve"> Nr.1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Konventës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Evropiane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Mbrojtjen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Drejtave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Njeriut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këtu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tutje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KEDNj</w:t>
      </w:r>
      <w:proofErr w:type="spellEnd"/>
      <w:r>
        <w:rPr>
          <w:color w:val="000000"/>
        </w:rPr>
        <w:t>). </w:t>
      </w:r>
    </w:p>
    <w:p w14:paraId="753CFCAB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3FB61EC3" w14:textId="77777777" w:rsidR="000E7BCB" w:rsidRDefault="00A620E4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lastRenderedPageBreak/>
        <w:t xml:space="preserve">Duke </w:t>
      </w:r>
      <w:proofErr w:type="spellStart"/>
      <w:r>
        <w:rPr>
          <w:color w:val="000000"/>
        </w:rPr>
        <w:t>marrë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parasysh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shpronësimi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qëllim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fitimit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fondeve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FSRK do </w:t>
      </w:r>
      <w:proofErr w:type="spellStart"/>
      <w:r>
        <w:rPr>
          <w:color w:val="000000"/>
        </w:rPr>
        <w:t>bëhej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qëllim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këtij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Gjykata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Evropiane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Mbrojtjen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Drejtave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Njeriut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këtu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tutje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GjEDNj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Kuptimi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termit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interes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interes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përgjithshëm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diskutuar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rastin</w:t>
      </w:r>
      <w:proofErr w:type="spellEnd"/>
      <w:r>
        <w:rPr>
          <w:color w:val="000000"/>
        </w:rPr>
        <w:t xml:space="preserve"> e </w:t>
      </w:r>
      <w:r>
        <w:rPr>
          <w:i/>
          <w:color w:val="000000"/>
        </w:rPr>
        <w:t xml:space="preserve">James and others vs. United Kingdom, </w:t>
      </w:r>
      <w:proofErr w:type="spellStart"/>
      <w:r>
        <w:rPr>
          <w:color w:val="000000"/>
        </w:rPr>
        <w:t>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potencuar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>: “</w:t>
      </w:r>
      <w:proofErr w:type="spellStart"/>
      <w:r>
        <w:rPr>
          <w:color w:val="000000"/>
        </w:rPr>
        <w:t>marrja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pronës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qëllim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interesit</w:t>
      </w:r>
      <w:proofErr w:type="spellEnd"/>
      <w:r>
        <w:rPr>
          <w:color w:val="000000"/>
        </w:rPr>
        <w:t xml:space="preserve"> social, </w:t>
      </w:r>
      <w:proofErr w:type="spellStart"/>
      <w:r>
        <w:rPr>
          <w:color w:val="000000"/>
        </w:rPr>
        <w:t>ekonomik</w:t>
      </w:r>
      <w:proofErr w:type="spellEnd"/>
      <w:r>
        <w:rPr>
          <w:color w:val="000000"/>
        </w:rPr>
        <w:t xml:space="preserve"> apo </w:t>
      </w:r>
      <w:proofErr w:type="spellStart"/>
      <w:r>
        <w:rPr>
          <w:color w:val="000000"/>
        </w:rPr>
        <w:t>politikave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konsiderohet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atëherë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bashkësia</w:t>
      </w:r>
      <w:proofErr w:type="spellEnd"/>
      <w:r>
        <w:rPr>
          <w:color w:val="000000"/>
        </w:rPr>
        <w:t xml:space="preserve"> apo </w:t>
      </w:r>
      <w:proofErr w:type="spellStart"/>
      <w:r>
        <w:rPr>
          <w:color w:val="000000"/>
        </w:rPr>
        <w:t>komuniteti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shfyrtëzon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</w:t>
      </w:r>
      <w:proofErr w:type="spellEnd"/>
      <w:r>
        <w:rPr>
          <w:color w:val="000000"/>
        </w:rPr>
        <w:t xml:space="preserve"> apo </w:t>
      </w:r>
      <w:proofErr w:type="spellStart"/>
      <w:r>
        <w:rPr>
          <w:color w:val="000000"/>
        </w:rPr>
        <w:t>nuk</w:t>
      </w:r>
      <w:proofErr w:type="spellEnd"/>
      <w:r>
        <w:rPr>
          <w:color w:val="000000"/>
        </w:rPr>
        <w:t xml:space="preserve"> ka </w:t>
      </w:r>
      <w:proofErr w:type="spellStart"/>
      <w:r>
        <w:rPr>
          <w:color w:val="000000"/>
        </w:rPr>
        <w:t>përfitim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marrë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kuptohet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koncepti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sipas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GjEDNj-së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gjerë</w:t>
      </w:r>
      <w:proofErr w:type="spellEnd"/>
      <w:r>
        <w:rPr>
          <w:color w:val="000000"/>
        </w:rPr>
        <w:t>. </w:t>
      </w:r>
    </w:p>
    <w:p w14:paraId="48C6F562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13C08293" w14:textId="77777777" w:rsidR="000E7BCB" w:rsidRDefault="00A620E4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Neni 1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Protokollit</w:t>
      </w:r>
      <w:proofErr w:type="spellEnd"/>
      <w:r>
        <w:rPr>
          <w:color w:val="000000"/>
        </w:rPr>
        <w:t xml:space="preserve"> Nr.1 </w:t>
      </w:r>
      <w:proofErr w:type="spellStart"/>
      <w:r>
        <w:rPr>
          <w:color w:val="000000"/>
        </w:rPr>
        <w:t>thekson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jetë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subjekt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kushteve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parapara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ligj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kontrolli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tillë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ligje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tilla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shteti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domosdoshme</w:t>
      </w:r>
      <w:proofErr w:type="spellEnd"/>
      <w:r>
        <w:rPr>
          <w:color w:val="000000"/>
        </w:rPr>
        <w:t xml:space="preserve">”. </w:t>
      </w:r>
      <w:proofErr w:type="spellStart"/>
      <w:r>
        <w:rPr>
          <w:color w:val="000000"/>
        </w:rPr>
        <w:t>Kjo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kërkesë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ligjshmërisë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përcaktuar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metodave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arbitrare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Referenca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bëhet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juridike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nacionale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shkruara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ligjet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dekretet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rregulloret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precedentë</w:t>
      </w:r>
      <w:proofErr w:type="spellEnd"/>
      <w:r>
        <w:rPr>
          <w:color w:val="000000"/>
        </w:rPr>
        <w:t xml:space="preserve"> apo </w:t>
      </w:r>
      <w:proofErr w:type="spellStart"/>
      <w:r>
        <w:rPr>
          <w:color w:val="000000"/>
        </w:rPr>
        <w:t>rregulla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miratuara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shfrytëzimit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tyre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praktikë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tepër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GjEDNj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përcakton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, pa </w:t>
      </w:r>
      <w:proofErr w:type="spellStart"/>
      <w:r>
        <w:rPr>
          <w:color w:val="000000"/>
        </w:rPr>
        <w:t>marrë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parasysh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cilën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rregulla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njëjtat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mjaftueshëm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precize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qasshme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(James and others vs. United Kingdom)</w:t>
      </w:r>
      <w:r>
        <w:rPr>
          <w:color w:val="000000"/>
        </w:rPr>
        <w:t>. </w:t>
      </w:r>
    </w:p>
    <w:p w14:paraId="5B5E104D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42A43E14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t>Definimet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interesit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përgjithshëm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varen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shteti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shtet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nënshtrohen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margjinës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shtetëror</w:t>
      </w:r>
      <w:proofErr w:type="spellEnd"/>
      <w:r>
        <w:rPr>
          <w:color w:val="000000"/>
        </w:rPr>
        <w:t xml:space="preserve"> (</w:t>
      </w:r>
      <w:r>
        <w:rPr>
          <w:i/>
          <w:color w:val="000000"/>
        </w:rPr>
        <w:t>margin appreciation</w:t>
      </w:r>
      <w:r>
        <w:rPr>
          <w:color w:val="000000"/>
        </w:rPr>
        <w:t xml:space="preserve">). </w:t>
      </w:r>
      <w:proofErr w:type="spellStart"/>
      <w:r>
        <w:rPr>
          <w:color w:val="000000"/>
        </w:rPr>
        <w:t>Rrjedhimisht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dritë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paraqitur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lart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konstatohet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>: </w:t>
      </w:r>
    </w:p>
    <w:p w14:paraId="31EE5285" w14:textId="77777777" w:rsidR="000E7BCB" w:rsidRDefault="00A620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1EE07636" w14:textId="77777777" w:rsidR="000E7BCB" w:rsidRDefault="00A620E4">
      <w:pPr>
        <w:numPr>
          <w:ilvl w:val="0"/>
          <w:numId w:val="16"/>
        </w:numPr>
        <w:rPr>
          <w:i/>
          <w:color w:val="000000"/>
        </w:rPr>
      </w:pPr>
      <w:proofErr w:type="spellStart"/>
      <w:r>
        <w:rPr>
          <w:i/>
          <w:color w:val="000000"/>
        </w:rPr>
        <w:t>Shpronësimi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patundshmërive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është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paraparë</w:t>
      </w:r>
      <w:proofErr w:type="spellEnd"/>
      <w:r>
        <w:rPr>
          <w:i/>
          <w:color w:val="000000"/>
        </w:rPr>
        <w:t xml:space="preserve"> me </w:t>
      </w:r>
      <w:proofErr w:type="spellStart"/>
      <w:proofErr w:type="gramStart"/>
      <w:r>
        <w:rPr>
          <w:i/>
          <w:color w:val="000000"/>
        </w:rPr>
        <w:t>ligj</w:t>
      </w:r>
      <w:proofErr w:type="spellEnd"/>
      <w:r>
        <w:rPr>
          <w:i/>
          <w:color w:val="000000"/>
        </w:rPr>
        <w:t>;</w:t>
      </w:r>
      <w:proofErr w:type="gramEnd"/>
      <w:r>
        <w:rPr>
          <w:i/>
          <w:color w:val="000000"/>
        </w:rPr>
        <w:t> </w:t>
      </w:r>
    </w:p>
    <w:p w14:paraId="2423AA72" w14:textId="77777777" w:rsidR="000E7BCB" w:rsidRDefault="00A620E4">
      <w:pPr>
        <w:numPr>
          <w:ilvl w:val="0"/>
          <w:numId w:val="16"/>
        </w:numPr>
        <w:rPr>
          <w:i/>
          <w:color w:val="000000"/>
        </w:rPr>
      </w:pPr>
      <w:proofErr w:type="spellStart"/>
      <w:r>
        <w:rPr>
          <w:i/>
          <w:color w:val="000000"/>
        </w:rPr>
        <w:t>Shpronësimi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patunshmërive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është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rregulluar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harmoni</w:t>
      </w:r>
      <w:proofErr w:type="spellEnd"/>
      <w:r>
        <w:rPr>
          <w:i/>
          <w:color w:val="000000"/>
        </w:rPr>
        <w:t xml:space="preserve"> me </w:t>
      </w:r>
      <w:proofErr w:type="spellStart"/>
      <w:r>
        <w:rPr>
          <w:i/>
          <w:color w:val="000000"/>
        </w:rPr>
        <w:t>praktikën</w:t>
      </w:r>
      <w:proofErr w:type="spellEnd"/>
      <w:r>
        <w:rPr>
          <w:i/>
          <w:color w:val="000000"/>
        </w:rPr>
        <w:t xml:space="preserve"> e </w:t>
      </w:r>
      <w:proofErr w:type="spellStart"/>
      <w:r>
        <w:rPr>
          <w:i/>
          <w:color w:val="000000"/>
        </w:rPr>
        <w:t>GjEDNj-së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dhe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tillë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parasheh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interesin</w:t>
      </w:r>
      <w:proofErr w:type="spellEnd"/>
      <w:r>
        <w:rPr>
          <w:i/>
          <w:color w:val="000000"/>
        </w:rPr>
        <w:t xml:space="preserve"> </w:t>
      </w:r>
      <w:proofErr w:type="spellStart"/>
      <w:proofErr w:type="gramStart"/>
      <w:r>
        <w:rPr>
          <w:i/>
          <w:color w:val="000000"/>
        </w:rPr>
        <w:t>publik</w:t>
      </w:r>
      <w:proofErr w:type="spellEnd"/>
      <w:r>
        <w:rPr>
          <w:i/>
          <w:color w:val="000000"/>
        </w:rPr>
        <w:t>;</w:t>
      </w:r>
      <w:proofErr w:type="gramEnd"/>
      <w:r>
        <w:rPr>
          <w:i/>
          <w:color w:val="000000"/>
        </w:rPr>
        <w:t> </w:t>
      </w:r>
    </w:p>
    <w:p w14:paraId="074E8D11" w14:textId="77777777" w:rsidR="000E7BCB" w:rsidRDefault="00A620E4">
      <w:pPr>
        <w:numPr>
          <w:ilvl w:val="0"/>
          <w:numId w:val="16"/>
        </w:numPr>
        <w:rPr>
          <w:i/>
          <w:color w:val="000000"/>
        </w:rPr>
      </w:pPr>
      <w:proofErr w:type="spellStart"/>
      <w:r>
        <w:rPr>
          <w:i/>
          <w:color w:val="000000"/>
        </w:rPr>
        <w:t>Shpronësimi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aseteve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nën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menaxhim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nga</w:t>
      </w:r>
      <w:proofErr w:type="spellEnd"/>
      <w:r>
        <w:rPr>
          <w:i/>
          <w:color w:val="000000"/>
        </w:rPr>
        <w:t xml:space="preserve"> AKP do </w:t>
      </w:r>
      <w:proofErr w:type="spellStart"/>
      <w:r>
        <w:rPr>
          <w:i/>
          <w:color w:val="000000"/>
        </w:rPr>
        <w:t>mund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bëhej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nga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Qeveria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pajtim</w:t>
      </w:r>
      <w:proofErr w:type="spellEnd"/>
      <w:r>
        <w:rPr>
          <w:i/>
          <w:color w:val="000000"/>
        </w:rPr>
        <w:t xml:space="preserve"> me </w:t>
      </w:r>
      <w:proofErr w:type="spellStart"/>
      <w:r>
        <w:rPr>
          <w:i/>
          <w:color w:val="000000"/>
        </w:rPr>
        <w:t>Ligjin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për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Shpronësimin</w:t>
      </w:r>
      <w:proofErr w:type="spellEnd"/>
      <w:r>
        <w:rPr>
          <w:i/>
          <w:color w:val="000000"/>
        </w:rPr>
        <w:t xml:space="preserve">, me </w:t>
      </w:r>
      <w:proofErr w:type="spellStart"/>
      <w:r>
        <w:rPr>
          <w:i/>
          <w:color w:val="000000"/>
        </w:rPr>
        <w:t>qëllim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kalimit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aseteve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tilla </w:t>
      </w:r>
      <w:proofErr w:type="spellStart"/>
      <w:r>
        <w:rPr>
          <w:i/>
          <w:color w:val="000000"/>
        </w:rPr>
        <w:t>në</w:t>
      </w:r>
      <w:proofErr w:type="spellEnd"/>
      <w:r>
        <w:rPr>
          <w:i/>
          <w:color w:val="000000"/>
        </w:rPr>
        <w:t xml:space="preserve"> FSRK. </w:t>
      </w:r>
    </w:p>
    <w:p w14:paraId="6B867ABF" w14:textId="77777777" w:rsidR="000E7BCB" w:rsidRDefault="00A620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211FECB9" w14:textId="77777777" w:rsidR="000E7BCB" w:rsidRDefault="00A620E4" w:rsidP="004F76C8">
      <w:pPr>
        <w:pStyle w:val="Heading2"/>
        <w:numPr>
          <w:ilvl w:val="0"/>
          <w:numId w:val="0"/>
        </w:numPr>
      </w:pPr>
      <w:bookmarkStart w:id="22" w:name="_Toc93312385"/>
      <w:r>
        <w:t>3.3. MENAXHIMI I NDËRMARRJEVE PUBLIKE – IMPLIKIMET</w:t>
      </w:r>
      <w:bookmarkEnd w:id="22"/>
      <w:r>
        <w:t> </w:t>
      </w:r>
    </w:p>
    <w:p w14:paraId="60C92815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20139448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t>Ligji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kornizën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institucional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parimet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funksionimit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Republikën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>. </w:t>
      </w:r>
    </w:p>
    <w:p w14:paraId="2A2C6227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03BE3D66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t>Grupi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punues</w:t>
      </w:r>
      <w:proofErr w:type="spellEnd"/>
      <w:r>
        <w:rPr>
          <w:color w:val="000000"/>
        </w:rPr>
        <w:t xml:space="preserve"> ka </w:t>
      </w:r>
      <w:proofErr w:type="spellStart"/>
      <w:r>
        <w:rPr>
          <w:color w:val="000000"/>
        </w:rPr>
        <w:t>konstatuar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pronësia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ndërmarrjeve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caktuara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duhej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FSRK,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arsyet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parashtruara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këtij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Koncept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Mirëpo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bërë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tillë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parasysh</w:t>
      </w:r>
      <w:proofErr w:type="spellEnd"/>
      <w:r>
        <w:rPr>
          <w:color w:val="000000"/>
        </w:rPr>
        <w:t>: </w:t>
      </w:r>
    </w:p>
    <w:p w14:paraId="3446339E" w14:textId="77777777" w:rsidR="000E7BCB" w:rsidRDefault="00A620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4370BC5" w14:textId="77777777" w:rsidR="000E7BCB" w:rsidRDefault="00A620E4">
      <w:pPr>
        <w:numPr>
          <w:ilvl w:val="0"/>
          <w:numId w:val="17"/>
        </w:numPr>
        <w:rPr>
          <w:color w:val="000000"/>
        </w:rPr>
      </w:pPr>
      <w:proofErr w:type="spellStart"/>
      <w:r>
        <w:rPr>
          <w:color w:val="000000"/>
        </w:rPr>
        <w:t>Implikimet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kuptim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aseteve</w:t>
      </w:r>
      <w:proofErr w:type="spellEnd"/>
      <w:r>
        <w:rPr>
          <w:color w:val="000000"/>
        </w:rPr>
        <w:t>;</w:t>
      </w:r>
      <w:proofErr w:type="gramEnd"/>
      <w:r>
        <w:rPr>
          <w:color w:val="000000"/>
        </w:rPr>
        <w:t> </w:t>
      </w:r>
    </w:p>
    <w:p w14:paraId="4ECB3019" w14:textId="77777777" w:rsidR="000E7BCB" w:rsidRDefault="00A620E4">
      <w:pPr>
        <w:numPr>
          <w:ilvl w:val="0"/>
          <w:numId w:val="17"/>
        </w:numPr>
        <w:rPr>
          <w:color w:val="000000"/>
        </w:rPr>
      </w:pPr>
      <w:proofErr w:type="spellStart"/>
      <w:r>
        <w:rPr>
          <w:color w:val="000000"/>
        </w:rPr>
        <w:lastRenderedPageBreak/>
        <w:t>Përgjegjësinë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obligimet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ndërmarrjeve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> </w:t>
      </w:r>
    </w:p>
    <w:p w14:paraId="64011D60" w14:textId="77777777" w:rsidR="000E7BCB" w:rsidRDefault="00A620E4">
      <w:pPr>
        <w:numPr>
          <w:ilvl w:val="0"/>
          <w:numId w:val="17"/>
        </w:numPr>
        <w:rPr>
          <w:color w:val="000000"/>
        </w:rPr>
      </w:pPr>
      <w:proofErr w:type="spellStart"/>
      <w:r>
        <w:rPr>
          <w:color w:val="000000"/>
        </w:rPr>
        <w:t>Përcaktimin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menaxhmentit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ekzistuese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FSRK. </w:t>
      </w:r>
    </w:p>
    <w:p w14:paraId="19D0D41A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7B65B652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t>Nisur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përcakton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qartë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organizimin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funksionimin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ndërmarrjeve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ndryshimin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menaxheriale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bërë</w:t>
      </w:r>
      <w:proofErr w:type="spellEnd"/>
      <w:r>
        <w:rPr>
          <w:color w:val="000000"/>
        </w:rPr>
        <w:t xml:space="preserve">: 1) </w:t>
      </w:r>
      <w:proofErr w:type="spellStart"/>
      <w:r>
        <w:rPr>
          <w:color w:val="000000"/>
        </w:rPr>
        <w:t>plotësim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ndryshimin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Ligjit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Hartimin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Ligjit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veçantë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FSRK. </w:t>
      </w:r>
    </w:p>
    <w:p w14:paraId="08104F92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74C9372D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t>Pasi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koncepti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nuk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nënkupton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zhvendosjen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tërë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menaxheriale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 por, </w:t>
      </w:r>
      <w:proofErr w:type="spellStart"/>
      <w:r>
        <w:rPr>
          <w:color w:val="000000"/>
        </w:rPr>
        <w:t>parasheh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vazhdimin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funksionimit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bordeve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mbikqyrëse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kompetenca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ngushtuara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raport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parapa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Ligjin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shfuqizuar</w:t>
      </w:r>
      <w:proofErr w:type="spellEnd"/>
      <w:r>
        <w:rPr>
          <w:color w:val="000000"/>
        </w:rPr>
        <w:t xml:space="preserve"> por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inicuar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plotësim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ndryshimi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ashtu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: 1) </w:t>
      </w:r>
      <w:proofErr w:type="spellStart"/>
      <w:r>
        <w:rPr>
          <w:color w:val="000000"/>
        </w:rPr>
        <w:t>definohej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ndërmarrjeve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mbetura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; 2) </w:t>
      </w:r>
      <w:proofErr w:type="spellStart"/>
      <w:r>
        <w:rPr>
          <w:color w:val="000000"/>
        </w:rPr>
        <w:t>definohej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menaxhmenti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; 3) </w:t>
      </w:r>
      <w:proofErr w:type="spellStart"/>
      <w:r>
        <w:rPr>
          <w:color w:val="000000"/>
        </w:rPr>
        <w:t>përcaktoheshin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kompetencat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bordeve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mbikqyrëse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4) </w:t>
      </w:r>
      <w:proofErr w:type="spellStart"/>
      <w:r>
        <w:rPr>
          <w:color w:val="000000"/>
        </w:rPr>
        <w:t>përgjegjësia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raport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kreditorët</w:t>
      </w:r>
      <w:proofErr w:type="spellEnd"/>
      <w:r>
        <w:rPr>
          <w:color w:val="000000"/>
        </w:rPr>
        <w:t>. </w:t>
      </w:r>
    </w:p>
    <w:p w14:paraId="6656C0D1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292FFB5A" w14:textId="77777777" w:rsidR="000E7BCB" w:rsidRDefault="00A620E4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Ajo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parasysh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tjetër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nënkuptojë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asnjë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shpërfilljen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obligimeve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raport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borxhet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kreditorët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kohë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bashkë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obligimet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palëve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treta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qëllim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pozicionimit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favorshëm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FSRK,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parasysh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fuqizimin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paraprak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kthimin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borxheve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ekzistuese</w:t>
      </w:r>
      <w:proofErr w:type="spellEnd"/>
      <w:r>
        <w:rPr>
          <w:color w:val="000000"/>
        </w:rPr>
        <w:t>.</w:t>
      </w:r>
    </w:p>
    <w:p w14:paraId="30CA74FA" w14:textId="77777777" w:rsidR="000E7BCB" w:rsidRDefault="00A620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61F66705" w14:textId="77777777" w:rsidR="000E7BCB" w:rsidRDefault="00A620E4" w:rsidP="004F76C8">
      <w:pPr>
        <w:pStyle w:val="Heading2"/>
        <w:numPr>
          <w:ilvl w:val="0"/>
          <w:numId w:val="0"/>
        </w:numPr>
      </w:pPr>
      <w:bookmarkStart w:id="23" w:name="_Toc93312386"/>
      <w:r>
        <w:t>3.4. LIGJI PËR FONDIN SOVRAN</w:t>
      </w:r>
      <w:bookmarkEnd w:id="23"/>
    </w:p>
    <w:p w14:paraId="44DB209B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257EA277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t>Themelimi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bëhet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bazën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veçantë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prodhonte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plotësim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ndryshimin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ligjeve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parapara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lart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përfshirë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eventualisht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atë</w:t>
      </w:r>
      <w:proofErr w:type="spellEnd"/>
      <w:r>
        <w:rPr>
          <w:color w:val="000000"/>
        </w:rPr>
        <w:t xml:space="preserve"> Nr.06/-016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Shoqëritë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Tregtare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këtu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tutje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Ligji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Shoqëritë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Tregtare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Kjo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arsyen</w:t>
      </w:r>
      <w:proofErr w:type="spellEnd"/>
      <w:r>
        <w:rPr>
          <w:color w:val="000000"/>
        </w:rPr>
        <w:t xml:space="preserve"> se FSRK-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t’i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jepet</w:t>
      </w:r>
      <w:proofErr w:type="spellEnd"/>
      <w:r>
        <w:rPr>
          <w:color w:val="000000"/>
        </w:rPr>
        <w:t xml:space="preserve"> forma e </w:t>
      </w:r>
      <w:proofErr w:type="spellStart"/>
      <w:r>
        <w:rPr>
          <w:color w:val="000000"/>
        </w:rPr>
        <w:t>shoqërisë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aksionare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funksionojë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vet. </w:t>
      </w:r>
    </w:p>
    <w:p w14:paraId="062B8600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4EC06E83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t>Themelimi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statusi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qeverisja</w:t>
      </w:r>
      <w:proofErr w:type="spellEnd"/>
      <w:r>
        <w:rPr>
          <w:color w:val="000000"/>
        </w:rPr>
        <w:t xml:space="preserve"> e FSRK do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rregullohen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Ligji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FSRK. </w:t>
      </w:r>
      <w:proofErr w:type="spellStart"/>
      <w:r>
        <w:rPr>
          <w:color w:val="000000"/>
        </w:rPr>
        <w:t>Ligji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FSRK do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hapë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rrugën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autorizojë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zbatimin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nismës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Ministria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Financave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agjension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tjetër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ekzekutiv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themelimin</w:t>
      </w:r>
      <w:proofErr w:type="spellEnd"/>
      <w:r>
        <w:rPr>
          <w:color w:val="000000"/>
        </w:rPr>
        <w:t xml:space="preserve"> e FSRK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pavarur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komercial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Përveç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kësaj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Ligji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>:</w:t>
      </w:r>
    </w:p>
    <w:p w14:paraId="475C807D" w14:textId="77777777" w:rsidR="000E7BCB" w:rsidRDefault="00A620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42BA20A3" w14:textId="77777777" w:rsidR="000E7BCB" w:rsidRDefault="00A620E4">
      <w:pPr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themelimin</w:t>
      </w:r>
      <w:proofErr w:type="spellEnd"/>
      <w:r>
        <w:rPr>
          <w:color w:val="000000"/>
        </w:rPr>
        <w:t xml:space="preserve"> e FSRK me </w:t>
      </w:r>
      <w:proofErr w:type="spellStart"/>
      <w:r>
        <w:rPr>
          <w:color w:val="000000"/>
        </w:rPr>
        <w:t>statusin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juridik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shoqërisë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aksionare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ta </w:t>
      </w:r>
      <w:proofErr w:type="spellStart"/>
      <w:r>
        <w:rPr>
          <w:color w:val="000000"/>
        </w:rPr>
        <w:t>definojë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pronësinë</w:t>
      </w:r>
      <w:proofErr w:type="spellEnd"/>
      <w:r>
        <w:rPr>
          <w:color w:val="000000"/>
        </w:rPr>
        <w:t xml:space="preserve"> e FSRK me </w:t>
      </w:r>
      <w:proofErr w:type="spellStart"/>
      <w:r>
        <w:rPr>
          <w:color w:val="000000"/>
        </w:rPr>
        <w:t>Republikën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njëqind</w:t>
      </w:r>
      <w:proofErr w:type="spellEnd"/>
      <w:r>
        <w:rPr>
          <w:color w:val="000000"/>
        </w:rPr>
        <w:t xml:space="preserve"> (100)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aksioneve</w:t>
      </w:r>
      <w:proofErr w:type="spellEnd"/>
      <w:r>
        <w:rPr>
          <w:color w:val="000000"/>
        </w:rPr>
        <w:t>.</w:t>
      </w:r>
    </w:p>
    <w:p w14:paraId="7982F643" w14:textId="77777777" w:rsidR="000E7BCB" w:rsidRDefault="00A620E4">
      <w:pPr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</w:rPr>
        <w:lastRenderedPageBreak/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caktojë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kapitalin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likuid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asetet</w:t>
      </w:r>
      <w:proofErr w:type="spellEnd"/>
      <w:r>
        <w:rPr>
          <w:color w:val="000000"/>
        </w:rPr>
        <w:t xml:space="preserve"> jo-</w:t>
      </w:r>
      <w:proofErr w:type="spellStart"/>
      <w:r>
        <w:rPr>
          <w:color w:val="000000"/>
        </w:rPr>
        <w:t>likuide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startuese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cilat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FSRK.</w:t>
      </w:r>
    </w:p>
    <w:p w14:paraId="302E5B82" w14:textId="77777777" w:rsidR="000E7BCB" w:rsidRDefault="00A620E4">
      <w:pPr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autorizojë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Ministrinë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Financave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veprimet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krijojë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instrumentet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implementimin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modelit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kapitalit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startues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likuid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 (</w:t>
      </w:r>
      <w:proofErr w:type="spellStart"/>
      <w:r>
        <w:rPr>
          <w:color w:val="000000"/>
        </w:rPr>
        <w:t>sipas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rekomanduara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sekcionin</w:t>
      </w:r>
      <w:proofErr w:type="spellEnd"/>
      <w:r>
        <w:rPr>
          <w:color w:val="000000"/>
        </w:rPr>
        <w:t xml:space="preserve"> 4.3.4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Koncept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Dokumentit</w:t>
      </w:r>
      <w:proofErr w:type="spellEnd"/>
      <w:r>
        <w:rPr>
          <w:color w:val="000000"/>
        </w:rPr>
        <w:t>).</w:t>
      </w:r>
    </w:p>
    <w:p w14:paraId="7D7944BE" w14:textId="77777777" w:rsidR="000E7BCB" w:rsidRDefault="00A620E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Ta </w:t>
      </w:r>
      <w:proofErr w:type="spellStart"/>
      <w:r>
        <w:rPr>
          <w:color w:val="000000"/>
        </w:rPr>
        <w:t>rregullojë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Kuvendit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mbikëqyres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emërimin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zëvendësimin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anëtarëve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Mbikëqyrës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FSRK. </w:t>
      </w:r>
    </w:p>
    <w:p w14:paraId="304F27E8" w14:textId="77777777" w:rsidR="000E7BCB" w:rsidRDefault="00A620E4">
      <w:pPr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përcaktojë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Kuvendit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procedurën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ndryshimeve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FSRK.</w:t>
      </w:r>
    </w:p>
    <w:p w14:paraId="67BAC4EC" w14:textId="77777777" w:rsidR="000E7BCB" w:rsidRDefault="00A620E4">
      <w:pPr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përcaktojë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Listën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Aseteve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Rezervuara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ndryshimin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saj</w:t>
      </w:r>
      <w:proofErr w:type="spellEnd"/>
      <w:r>
        <w:rPr>
          <w:color w:val="000000"/>
        </w:rPr>
        <w:t>.</w:t>
      </w:r>
    </w:p>
    <w:p w14:paraId="0321832E" w14:textId="77777777" w:rsidR="000E7BCB" w:rsidRDefault="00A620E4">
      <w:pPr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përcaktojë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transferin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pronësisë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aksioneve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kriteret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fushëveprimit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gjendjes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ndërmarrjeve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transferit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autorizojë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Ministrinë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Ekonomisë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veprimet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ekzekutimin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Ministrisë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FSRK,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themelimin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tej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përfshin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njohjen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drejtës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FSRK-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Mbikëqyres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refuzimin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pranimit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përmes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faljes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blerjes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caktuara</w:t>
      </w:r>
      <w:proofErr w:type="spellEnd"/>
      <w:r>
        <w:rPr>
          <w:color w:val="000000"/>
        </w:rPr>
        <w:t>.</w:t>
      </w:r>
    </w:p>
    <w:p w14:paraId="37B22F56" w14:textId="77777777" w:rsidR="000E7BCB" w:rsidRDefault="00A620E4">
      <w:pPr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përcaktojë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transferin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pronësisë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AKP-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entitete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afariste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FSRK,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njohjen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entitetit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ndërmjetës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Ministrinë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Financave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ekzekuton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bartjen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pronësisë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AKP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FSRK. </w:t>
      </w:r>
      <w:proofErr w:type="spellStart"/>
      <w:r>
        <w:rPr>
          <w:color w:val="000000"/>
        </w:rPr>
        <w:t>Kjo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përfshin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njohjen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drejtës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FSRK-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Mbikëqyres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refuzimin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pranimit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përmes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faljes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blerjes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caktuara</w:t>
      </w:r>
      <w:proofErr w:type="spellEnd"/>
      <w:r>
        <w:rPr>
          <w:color w:val="000000"/>
        </w:rPr>
        <w:t>.</w:t>
      </w:r>
    </w:p>
    <w:p w14:paraId="49CED5DA" w14:textId="77777777" w:rsidR="000E7BCB" w:rsidRDefault="00A620E4">
      <w:pPr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përcaktojë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transferin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shitjen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aseteve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Republikës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agjensioneve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saj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Propozohet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marrje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përsipër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aseteve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pjesërishme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plotë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lejohet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vetëm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autorizim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Kuvendit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kompenzimin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adekuat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vlerës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asetit</w:t>
      </w:r>
      <w:proofErr w:type="spellEnd"/>
      <w:r>
        <w:rPr>
          <w:color w:val="000000"/>
        </w:rPr>
        <w:t>. </w:t>
      </w:r>
    </w:p>
    <w:p w14:paraId="1EEEF459" w14:textId="77777777" w:rsidR="000E7BCB" w:rsidRDefault="00A620E4">
      <w:pPr>
        <w:numPr>
          <w:ilvl w:val="0"/>
          <w:numId w:val="2"/>
        </w:numPr>
        <w:rPr>
          <w:color w:val="000000"/>
        </w:rPr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caktojë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statusin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Fondit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Rezervë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kushtet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format e </w:t>
      </w:r>
      <w:proofErr w:type="spellStart"/>
      <w:r>
        <w:rPr>
          <w:color w:val="000000"/>
        </w:rPr>
        <w:t>transferit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Rezervë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pagesës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dividentave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Ministria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Financave</w:t>
      </w:r>
      <w:proofErr w:type="spellEnd"/>
      <w:r>
        <w:rPr>
          <w:color w:val="000000"/>
        </w:rPr>
        <w:t>.</w:t>
      </w:r>
    </w:p>
    <w:p w14:paraId="5020C03D" w14:textId="77777777" w:rsidR="000E7BCB" w:rsidRDefault="00A620E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Ta </w:t>
      </w:r>
      <w:proofErr w:type="spellStart"/>
      <w:r>
        <w:rPr>
          <w:color w:val="000000"/>
        </w:rPr>
        <w:t>garantojë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autonominë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menaxheriale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ndikimet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presionet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drejtpërdrejta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qeveritare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politike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palëve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interesuara</w:t>
      </w:r>
      <w:proofErr w:type="spellEnd"/>
      <w:r>
        <w:rPr>
          <w:color w:val="000000"/>
        </w:rPr>
        <w:t xml:space="preserve">, duke </w:t>
      </w:r>
      <w:proofErr w:type="spellStart"/>
      <w:r>
        <w:rPr>
          <w:color w:val="000000"/>
        </w:rPr>
        <w:t>paraparë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disiplinore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ndëshkuese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ushtrohen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ndërhyrjes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tillë</w:t>
      </w:r>
      <w:proofErr w:type="spellEnd"/>
      <w:r>
        <w:rPr>
          <w:color w:val="000000"/>
        </w:rPr>
        <w:t>.</w:t>
      </w:r>
    </w:p>
    <w:p w14:paraId="137BD00F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0FE99882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t>Ndërkaq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Statuti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>:</w:t>
      </w:r>
    </w:p>
    <w:p w14:paraId="0F8C6A87" w14:textId="77777777" w:rsidR="000E7BCB" w:rsidRDefault="00A620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18DF7278" w14:textId="77777777" w:rsidR="000E7BCB" w:rsidRDefault="00A620E4">
      <w:pPr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lastRenderedPageBreak/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caktojë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strukturën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brendshme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FSRK, </w:t>
      </w:r>
      <w:proofErr w:type="spellStart"/>
      <w:r>
        <w:rPr>
          <w:color w:val="000000"/>
        </w:rPr>
        <w:t>përfshirë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mandatet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Bordit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Mbikëqyres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Bordit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Ekzekutiv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oficerëve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shoqërisë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pajtim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dispozitat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shoqëritë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aksionare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Shoqëritë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Tregtare</w:t>
      </w:r>
      <w:proofErr w:type="spellEnd"/>
      <w:r>
        <w:rPr>
          <w:color w:val="000000"/>
        </w:rPr>
        <w:t>.</w:t>
      </w:r>
    </w:p>
    <w:p w14:paraId="4F372CA0" w14:textId="77777777" w:rsidR="000E7BCB" w:rsidRDefault="00A620E4">
      <w:pPr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caktojë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formën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organizimit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korporatë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përfshirë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departamentet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brendshëm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qeverisës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ekzekutivë</w:t>
      </w:r>
      <w:proofErr w:type="spellEnd"/>
      <w:r>
        <w:rPr>
          <w:color w:val="000000"/>
        </w:rPr>
        <w:t xml:space="preserve">, me </w:t>
      </w:r>
      <w:proofErr w:type="spellStart"/>
      <w:r>
        <w:rPr>
          <w:color w:val="000000"/>
        </w:rPr>
        <w:t>fleksibilitet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mjaftueshëm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ndryshime</w:t>
      </w:r>
      <w:proofErr w:type="spellEnd"/>
      <w:r>
        <w:rPr>
          <w:color w:val="000000"/>
        </w:rPr>
        <w:t xml:space="preserve"> operative </w:t>
      </w:r>
      <w:proofErr w:type="spellStart"/>
      <w:r>
        <w:rPr>
          <w:color w:val="000000"/>
        </w:rPr>
        <w:t>sipas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vendimeve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Mbikëqyres</w:t>
      </w:r>
      <w:proofErr w:type="spellEnd"/>
      <w:r>
        <w:rPr>
          <w:color w:val="000000"/>
        </w:rPr>
        <w:t>.</w:t>
      </w:r>
    </w:p>
    <w:p w14:paraId="12B7D776" w14:textId="77777777" w:rsidR="000E7BCB" w:rsidRDefault="00A620E4">
      <w:pPr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caktojë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detyrimet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Bordit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Mbikëqyres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aksionarit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Republikës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përfaqësuar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Kuvendi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përgjithësi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dispozitave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veçanta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përcaktuara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Fondin</w:t>
      </w:r>
      <w:proofErr w:type="spellEnd"/>
      <w:r>
        <w:rPr>
          <w:color w:val="000000"/>
        </w:rPr>
        <w:t xml:space="preserve"> Sovran.</w:t>
      </w:r>
    </w:p>
    <w:p w14:paraId="31D17B79" w14:textId="77777777" w:rsidR="000E7BCB" w:rsidRDefault="00A620E4">
      <w:pPr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emërimin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bordeve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mbikëqyrëse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menaxhuese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FSRK.</w:t>
      </w:r>
    </w:p>
    <w:p w14:paraId="4C7A8DE0" w14:textId="77777777" w:rsidR="000E7BCB" w:rsidRDefault="00A620E4">
      <w:pPr>
        <w:numPr>
          <w:ilvl w:val="0"/>
          <w:numId w:val="5"/>
        </w:numPr>
        <w:rPr>
          <w:rFonts w:ascii="Arial" w:eastAsia="Arial" w:hAnsi="Arial" w:cs="Arial"/>
          <w:color w:val="000000"/>
        </w:rPr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elementet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tjera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relevante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strategjike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FSRK,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theksuara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Shtojcën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këtij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Koncept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Dokumenti</w:t>
      </w:r>
      <w:proofErr w:type="spellEnd"/>
      <w:r>
        <w:rPr>
          <w:color w:val="000000"/>
        </w:rPr>
        <w:t xml:space="preserve"> (“</w:t>
      </w:r>
      <w:proofErr w:type="spellStart"/>
      <w:r>
        <w:rPr>
          <w:color w:val="000000"/>
        </w:rPr>
        <w:t>Parimet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Themelore</w:t>
      </w:r>
      <w:proofErr w:type="spellEnd"/>
      <w:r>
        <w:rPr>
          <w:color w:val="000000"/>
        </w:rPr>
        <w:t xml:space="preserve">”)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sipas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këshillimeve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specialistëve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konsulentëve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relevantë</w:t>
      </w:r>
      <w:proofErr w:type="spellEnd"/>
      <w:r>
        <w:rPr>
          <w:color w:val="000000"/>
        </w:rPr>
        <w:t>.</w:t>
      </w:r>
    </w:p>
    <w:p w14:paraId="14A197B4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16459941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hollësitë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funksionet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mësipërme</w:t>
      </w:r>
      <w:proofErr w:type="spellEnd"/>
      <w:r>
        <w:rPr>
          <w:color w:val="000000"/>
        </w:rPr>
        <w:t xml:space="preserve">, shih </w:t>
      </w:r>
      <w:proofErr w:type="spellStart"/>
      <w:r>
        <w:rPr>
          <w:color w:val="000000"/>
        </w:rPr>
        <w:t>Shtojcën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këtij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Koncept-Dokumenti</w:t>
      </w:r>
      <w:proofErr w:type="spellEnd"/>
      <w:r>
        <w:rPr>
          <w:color w:val="000000"/>
        </w:rPr>
        <w:t xml:space="preserve"> (“</w:t>
      </w:r>
      <w:proofErr w:type="spellStart"/>
      <w:r>
        <w:rPr>
          <w:color w:val="000000"/>
        </w:rPr>
        <w:t>Parimet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Themelore</w:t>
      </w:r>
      <w:proofErr w:type="spellEnd"/>
      <w:r>
        <w:rPr>
          <w:color w:val="000000"/>
        </w:rPr>
        <w:t>”). </w:t>
      </w:r>
    </w:p>
    <w:p w14:paraId="07150352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4C2D16D0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shkak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kompleksiteteve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hierarkisë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ligjore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rekomandohet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punohen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specializuar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juridik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angazhuar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enkas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Komisioni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qëllim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Ndërkaq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rekomandohet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FSRK, </w:t>
      </w:r>
      <w:proofErr w:type="spellStart"/>
      <w:r>
        <w:rPr>
          <w:color w:val="000000"/>
        </w:rPr>
        <w:t>qasja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qeverisjes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brendshme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menaxhimit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organizative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hartimi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strategjisë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rekrutimi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stafit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menaxherial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profesional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zhvillohen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bashkëpunim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një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shumë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specializuara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konsulencën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afariste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veçanti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përvojë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ndërkombëtare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aseteve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fondeve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sovrane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veçanti</w:t>
      </w:r>
      <w:proofErr w:type="spellEnd"/>
      <w:r>
        <w:rPr>
          <w:color w:val="000000"/>
        </w:rPr>
        <w:t>.</w:t>
      </w:r>
    </w:p>
    <w:p w14:paraId="78D101FA" w14:textId="77777777" w:rsidR="004F76C8" w:rsidRDefault="004F76C8" w:rsidP="004F76C8">
      <w:pPr>
        <w:pStyle w:val="Heading2"/>
        <w:numPr>
          <w:ilvl w:val="0"/>
          <w:numId w:val="0"/>
        </w:numPr>
        <w:rPr>
          <w:rFonts w:ascii="Times New Roman" w:eastAsia="Times New Roman" w:hAnsi="Times New Roman" w:cs="Times New Roman"/>
        </w:rPr>
      </w:pPr>
    </w:p>
    <w:p w14:paraId="0545BA8D" w14:textId="77777777" w:rsidR="000E7BCB" w:rsidRPr="004F76C8" w:rsidRDefault="00A620E4" w:rsidP="004F76C8">
      <w:pPr>
        <w:pStyle w:val="Heading2"/>
        <w:numPr>
          <w:ilvl w:val="0"/>
          <w:numId w:val="0"/>
        </w:numPr>
        <w:rPr>
          <w:rFonts w:ascii="Times New Roman" w:eastAsia="Times New Roman" w:hAnsi="Times New Roman" w:cs="Times New Roman"/>
        </w:rPr>
      </w:pPr>
      <w:bookmarkStart w:id="24" w:name="_Toc93312387"/>
      <w:r w:rsidRPr="004F76C8">
        <w:rPr>
          <w:rFonts w:ascii="Times New Roman" w:eastAsia="Times New Roman" w:hAnsi="Times New Roman" w:cs="Times New Roman"/>
        </w:rPr>
        <w:t xml:space="preserve">3.5. </w:t>
      </w:r>
      <w:r>
        <w:t>LIGJI PËR KAMPIONËT NACIONALË</w:t>
      </w:r>
      <w:bookmarkEnd w:id="24"/>
    </w:p>
    <w:p w14:paraId="5F1267E5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6028B0A1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krijuar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mundësinë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brendshme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jashtë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sferës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, do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nevojshëm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rregullimi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statusit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shoqërive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aksionare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pronësi</w:t>
      </w:r>
      <w:proofErr w:type="spellEnd"/>
      <w:r>
        <w:rPr>
          <w:color w:val="000000"/>
        </w:rPr>
        <w:t xml:space="preserve"> jo-</w:t>
      </w:r>
      <w:proofErr w:type="spellStart"/>
      <w:r>
        <w:rPr>
          <w:color w:val="000000"/>
        </w:rPr>
        <w:t>shtetërore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cilat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përfitojnë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investimet</w:t>
      </w:r>
      <w:proofErr w:type="spellEnd"/>
      <w:r>
        <w:rPr>
          <w:color w:val="000000"/>
        </w:rPr>
        <w:t xml:space="preserve"> e FSRK.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strategjinë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këtyre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investimeve</w:t>
      </w:r>
      <w:proofErr w:type="spellEnd"/>
      <w:r>
        <w:rPr>
          <w:color w:val="000000"/>
        </w:rPr>
        <w:t xml:space="preserve">, shih </w:t>
      </w:r>
      <w:proofErr w:type="spellStart"/>
      <w:r>
        <w:rPr>
          <w:color w:val="000000"/>
        </w:rPr>
        <w:t>Shtojcën</w:t>
      </w:r>
      <w:proofErr w:type="spellEnd"/>
      <w:r>
        <w:rPr>
          <w:color w:val="000000"/>
        </w:rPr>
        <w:t xml:space="preserve"> (“</w:t>
      </w:r>
      <w:proofErr w:type="spellStart"/>
      <w:r>
        <w:rPr>
          <w:color w:val="000000"/>
        </w:rPr>
        <w:t>Parimet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Themelore</w:t>
      </w:r>
      <w:proofErr w:type="spellEnd"/>
      <w:r>
        <w:rPr>
          <w:color w:val="000000"/>
        </w:rPr>
        <w:t xml:space="preserve">”). </w:t>
      </w:r>
      <w:proofErr w:type="spellStart"/>
      <w:r>
        <w:rPr>
          <w:color w:val="000000"/>
        </w:rPr>
        <w:t>Ligji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Kampionët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Nacionalë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përfshijë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elementet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mëposhtme</w:t>
      </w:r>
      <w:proofErr w:type="spellEnd"/>
      <w:r>
        <w:rPr>
          <w:color w:val="000000"/>
        </w:rPr>
        <w:t>:</w:t>
      </w:r>
    </w:p>
    <w:p w14:paraId="140CF4AC" w14:textId="77777777" w:rsidR="000E7BCB" w:rsidRDefault="00A620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50131857" w14:textId="77777777" w:rsidR="000E7BCB" w:rsidRDefault="00A620E4">
      <w:pPr>
        <w:numPr>
          <w:ilvl w:val="0"/>
          <w:numId w:val="9"/>
        </w:numPr>
        <w:rPr>
          <w:color w:val="000000"/>
        </w:rPr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themelojë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statusin</w:t>
      </w:r>
      <w:proofErr w:type="spellEnd"/>
      <w:r>
        <w:rPr>
          <w:color w:val="000000"/>
        </w:rPr>
        <w:t xml:space="preserve"> e “</w:t>
      </w:r>
      <w:proofErr w:type="spellStart"/>
      <w:r>
        <w:rPr>
          <w:color w:val="000000"/>
        </w:rPr>
        <w:t>Kampionit</w:t>
      </w:r>
      <w:proofErr w:type="spellEnd"/>
      <w:r>
        <w:rPr>
          <w:color w:val="000000"/>
        </w:rPr>
        <w:t xml:space="preserve"> Nacional”.</w:t>
      </w:r>
    </w:p>
    <w:p w14:paraId="0799A1BE" w14:textId="77777777" w:rsidR="000E7BCB" w:rsidRDefault="00A620E4">
      <w:pPr>
        <w:numPr>
          <w:ilvl w:val="0"/>
          <w:numId w:val="9"/>
        </w:numPr>
        <w:rPr>
          <w:color w:val="000000"/>
        </w:rPr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themelojë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financojë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kuadër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Ministrisë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Ekonomisë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Tregtisë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Industrisë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Zyrën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Koordinuese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Çertifikimin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Kampionëve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Nacionalë</w:t>
      </w:r>
      <w:proofErr w:type="spellEnd"/>
      <w:r>
        <w:rPr>
          <w:color w:val="000000"/>
        </w:rPr>
        <w:t xml:space="preserve">, e </w:t>
      </w:r>
      <w:proofErr w:type="spellStart"/>
      <w:r>
        <w:rPr>
          <w:color w:val="000000"/>
        </w:rPr>
        <w:t>cila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aplikimet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mbajë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evidencën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shoqërive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gëzojnë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statusin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Kampionit</w:t>
      </w:r>
      <w:proofErr w:type="spellEnd"/>
      <w:r>
        <w:rPr>
          <w:color w:val="000000"/>
        </w:rPr>
        <w:t xml:space="preserve"> Nacional”,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bëjë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revokimin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këtij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statusi</w:t>
      </w:r>
      <w:proofErr w:type="spellEnd"/>
      <w:r>
        <w:rPr>
          <w:color w:val="000000"/>
        </w:rPr>
        <w:t>.</w:t>
      </w:r>
    </w:p>
    <w:p w14:paraId="2BDEAB39" w14:textId="77777777" w:rsidR="000E7BCB" w:rsidRDefault="00A620E4">
      <w:pPr>
        <w:numPr>
          <w:ilvl w:val="0"/>
          <w:numId w:val="9"/>
        </w:numPr>
        <w:rPr>
          <w:color w:val="000000"/>
        </w:rPr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përcaktojë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kriteret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aplikimit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çertifikimit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shoqërive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statusin</w:t>
      </w:r>
      <w:proofErr w:type="spellEnd"/>
      <w:r>
        <w:rPr>
          <w:color w:val="000000"/>
        </w:rPr>
        <w:t xml:space="preserve"> e “</w:t>
      </w:r>
      <w:proofErr w:type="spellStart"/>
      <w:r>
        <w:rPr>
          <w:color w:val="000000"/>
        </w:rPr>
        <w:t>Kampionit</w:t>
      </w:r>
      <w:proofErr w:type="spellEnd"/>
      <w:r>
        <w:rPr>
          <w:color w:val="000000"/>
        </w:rPr>
        <w:t xml:space="preserve"> Nacional”. </w:t>
      </w:r>
      <w:proofErr w:type="spellStart"/>
      <w:r>
        <w:rPr>
          <w:color w:val="000000"/>
        </w:rPr>
        <w:t>Ndër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përfshihen</w:t>
      </w:r>
      <w:proofErr w:type="spellEnd"/>
      <w:r>
        <w:rPr>
          <w:color w:val="000000"/>
        </w:rPr>
        <w:t>:</w:t>
      </w:r>
    </w:p>
    <w:p w14:paraId="185B8233" w14:textId="77777777" w:rsidR="000E7BCB" w:rsidRDefault="00A620E4">
      <w:pPr>
        <w:numPr>
          <w:ilvl w:val="2"/>
          <w:numId w:val="18"/>
        </w:numPr>
        <w:rPr>
          <w:color w:val="000000"/>
        </w:rPr>
      </w:pPr>
      <w:proofErr w:type="spellStart"/>
      <w:r>
        <w:rPr>
          <w:color w:val="000000"/>
        </w:rPr>
        <w:lastRenderedPageBreak/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formuar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shoqëri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aksionare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punëson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përhershme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paku</w:t>
      </w:r>
      <w:proofErr w:type="spellEnd"/>
      <w:r>
        <w:rPr>
          <w:color w:val="000000"/>
        </w:rPr>
        <w:t xml:space="preserve"> 50 persona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dëshmon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qeverisjes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korporative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përfshirë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ekuitabilitetit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gjinor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bord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përfshirjën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punëtorëve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qeverisëse</w:t>
      </w:r>
      <w:proofErr w:type="spellEnd"/>
      <w:r>
        <w:rPr>
          <w:color w:val="000000"/>
        </w:rPr>
        <w:t>.</w:t>
      </w:r>
    </w:p>
    <w:p w14:paraId="099EA5DD" w14:textId="77777777" w:rsidR="000E7BCB" w:rsidRDefault="00A620E4">
      <w:pPr>
        <w:numPr>
          <w:ilvl w:val="2"/>
          <w:numId w:val="18"/>
        </w:numPr>
        <w:rPr>
          <w:color w:val="000000"/>
        </w:rPr>
      </w:pP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regjistruar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sh.a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pjesën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kapitalit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veprimtarinë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kryesore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komerciale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prodhuese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shërbyese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kryen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</w:t>
      </w:r>
      <w:proofErr w:type="spellEnd"/>
      <w:r>
        <w:rPr>
          <w:color w:val="000000"/>
        </w:rPr>
        <w:t>.</w:t>
      </w:r>
    </w:p>
    <w:p w14:paraId="264DBFC4" w14:textId="77777777" w:rsidR="000E7BCB" w:rsidRDefault="00A620E4">
      <w:pPr>
        <w:numPr>
          <w:ilvl w:val="2"/>
          <w:numId w:val="18"/>
        </w:numPr>
        <w:rPr>
          <w:color w:val="000000"/>
        </w:rPr>
      </w:pP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aktivitetet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kryesore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eksporti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mallrave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shërbimeve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vendit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cilat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dëshmon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epërsi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theksuar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krahasim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konkurrentët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nëse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ekzistojnë</w:t>
      </w:r>
      <w:proofErr w:type="spellEnd"/>
      <w:r>
        <w:rPr>
          <w:color w:val="000000"/>
        </w:rPr>
        <w:t>).</w:t>
      </w:r>
    </w:p>
    <w:p w14:paraId="0FC289B0" w14:textId="77777777" w:rsidR="000E7BCB" w:rsidRDefault="00A620E4">
      <w:pPr>
        <w:numPr>
          <w:ilvl w:val="2"/>
          <w:numId w:val="18"/>
        </w:numPr>
        <w:rPr>
          <w:color w:val="000000"/>
        </w:rPr>
      </w:pP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veprimtarinë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ndjek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politikë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theksuar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dekarbonizimit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mirëmbajtjes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ambientale</w:t>
      </w:r>
      <w:proofErr w:type="spellEnd"/>
      <w:r>
        <w:rPr>
          <w:color w:val="000000"/>
        </w:rPr>
        <w:t>.</w:t>
      </w:r>
    </w:p>
    <w:p w14:paraId="3528E35B" w14:textId="77777777" w:rsidR="000E7BCB" w:rsidRDefault="00A620E4">
      <w:pPr>
        <w:numPr>
          <w:ilvl w:val="2"/>
          <w:numId w:val="18"/>
        </w:numPr>
        <w:rPr>
          <w:color w:val="000000"/>
        </w:rPr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përcaktohen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</w:t>
      </w:r>
      <w:proofErr w:type="spellEnd"/>
      <w:r>
        <w:rPr>
          <w:color w:val="000000"/>
        </w:rPr>
        <w:t>.</w:t>
      </w:r>
    </w:p>
    <w:p w14:paraId="7CA6D94B" w14:textId="77777777" w:rsidR="000E7BCB" w:rsidRDefault="00A620E4">
      <w:pPr>
        <w:numPr>
          <w:ilvl w:val="0"/>
          <w:numId w:val="10"/>
        </w:numPr>
        <w:rPr>
          <w:color w:val="000000"/>
        </w:rPr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përcaktojë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emërimin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komisionit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pavarur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vlerësimet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aplikimeve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statusin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rekomandimin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njohjen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Ministria</w:t>
      </w:r>
      <w:proofErr w:type="spellEnd"/>
      <w:r>
        <w:rPr>
          <w:color w:val="000000"/>
        </w:rPr>
        <w:t>.</w:t>
      </w:r>
    </w:p>
    <w:p w14:paraId="27EB1E24" w14:textId="77777777" w:rsidR="000E7BCB" w:rsidRDefault="00A620E4">
      <w:pPr>
        <w:numPr>
          <w:ilvl w:val="0"/>
          <w:numId w:val="10"/>
        </w:numPr>
        <w:rPr>
          <w:color w:val="000000"/>
        </w:rPr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përcaktojë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kushtet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revokimin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statusit</w:t>
      </w:r>
      <w:proofErr w:type="spellEnd"/>
      <w:r>
        <w:rPr>
          <w:color w:val="000000"/>
        </w:rPr>
        <w:t>.</w:t>
      </w:r>
    </w:p>
    <w:p w14:paraId="01F0035A" w14:textId="77777777" w:rsidR="000E7BCB" w:rsidRDefault="00A620E4">
      <w:pPr>
        <w:numPr>
          <w:ilvl w:val="0"/>
          <w:numId w:val="10"/>
        </w:numPr>
        <w:rPr>
          <w:color w:val="000000"/>
        </w:rPr>
      </w:pP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përcaktojë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beneficionet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përfiton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shoqëria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Kampionit</w:t>
      </w:r>
      <w:proofErr w:type="spellEnd"/>
      <w:r>
        <w:rPr>
          <w:color w:val="000000"/>
        </w:rPr>
        <w:t xml:space="preserve"> Nacional”, </w:t>
      </w:r>
      <w:proofErr w:type="spellStart"/>
      <w:r>
        <w:rPr>
          <w:color w:val="000000"/>
        </w:rPr>
        <w:t>siç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pjesëmarrja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vendosen</w:t>
      </w:r>
      <w:proofErr w:type="spellEnd"/>
      <w:r>
        <w:rPr>
          <w:color w:val="000000"/>
        </w:rPr>
        <w:t>.</w:t>
      </w:r>
    </w:p>
    <w:p w14:paraId="6FBD56FA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4DBEB95F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t>Hartimi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miratimi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këtij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domosdoshëm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themelimin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veprimtarinë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fillestare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FSRK, por </w:t>
      </w:r>
      <w:proofErr w:type="spellStart"/>
      <w:r>
        <w:rPr>
          <w:color w:val="000000"/>
        </w:rPr>
        <w:t>prek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aspekt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aktiviteteve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planifikuara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arsye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rekomandohet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fillojë</w:t>
      </w:r>
      <w:proofErr w:type="spellEnd"/>
      <w:r>
        <w:rPr>
          <w:color w:val="000000"/>
        </w:rPr>
        <w:t xml:space="preserve"> pas </w:t>
      </w:r>
      <w:proofErr w:type="spellStart"/>
      <w:r>
        <w:rPr>
          <w:color w:val="000000"/>
        </w:rPr>
        <w:t>miratimit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Fondin</w:t>
      </w:r>
      <w:proofErr w:type="spellEnd"/>
      <w:r>
        <w:rPr>
          <w:color w:val="000000"/>
        </w:rPr>
        <w:t xml:space="preserve"> Sovran.</w:t>
      </w:r>
    </w:p>
    <w:p w14:paraId="28DA485B" w14:textId="77777777" w:rsidR="004F76C8" w:rsidRDefault="004F76C8" w:rsidP="004F76C8">
      <w:pPr>
        <w:pStyle w:val="Heading2"/>
        <w:numPr>
          <w:ilvl w:val="0"/>
          <w:numId w:val="0"/>
        </w:numPr>
        <w:rPr>
          <w:rFonts w:ascii="Times New Roman" w:eastAsia="Times New Roman" w:hAnsi="Times New Roman" w:cs="Times New Roman"/>
        </w:rPr>
      </w:pPr>
    </w:p>
    <w:p w14:paraId="5916928A" w14:textId="77777777" w:rsidR="004F76C8" w:rsidRDefault="004F76C8" w:rsidP="004F76C8">
      <w:pPr>
        <w:pStyle w:val="Heading2"/>
        <w:numPr>
          <w:ilvl w:val="0"/>
          <w:numId w:val="0"/>
        </w:numPr>
        <w:rPr>
          <w:rFonts w:ascii="Times New Roman" w:eastAsia="Times New Roman" w:hAnsi="Times New Roman" w:cs="Times New Roman"/>
        </w:rPr>
      </w:pPr>
    </w:p>
    <w:p w14:paraId="52009CE9" w14:textId="77777777" w:rsidR="000E7BCB" w:rsidRPr="004F76C8" w:rsidRDefault="00A620E4" w:rsidP="004F76C8">
      <w:pPr>
        <w:pStyle w:val="Heading2"/>
        <w:numPr>
          <w:ilvl w:val="0"/>
          <w:numId w:val="0"/>
        </w:numPr>
        <w:rPr>
          <w:rFonts w:ascii="Times New Roman" w:eastAsia="Times New Roman" w:hAnsi="Times New Roman" w:cs="Times New Roman"/>
        </w:rPr>
      </w:pPr>
      <w:bookmarkStart w:id="25" w:name="_Toc93312388"/>
      <w:r w:rsidRPr="004F76C8">
        <w:rPr>
          <w:rFonts w:ascii="Times New Roman" w:eastAsia="Times New Roman" w:hAnsi="Times New Roman" w:cs="Times New Roman"/>
        </w:rPr>
        <w:t xml:space="preserve">3.6. </w:t>
      </w:r>
      <w:r>
        <w:t>LIGJE TË TJERA</w:t>
      </w:r>
      <w:bookmarkEnd w:id="25"/>
    </w:p>
    <w:p w14:paraId="7C907C3E" w14:textId="77777777" w:rsidR="000E7BCB" w:rsidRDefault="000E7BCB">
      <w:pPr>
        <w:rPr>
          <w:rFonts w:ascii="Times New Roman" w:eastAsia="Times New Roman" w:hAnsi="Times New Roman" w:cs="Times New Roman"/>
        </w:rPr>
      </w:pPr>
    </w:p>
    <w:p w14:paraId="4DFB626A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t>Ngjashëm</w:t>
      </w:r>
      <w:proofErr w:type="spellEnd"/>
      <w:r>
        <w:rPr>
          <w:color w:val="000000"/>
        </w:rPr>
        <w:t xml:space="preserve">, pas </w:t>
      </w:r>
      <w:proofErr w:type="spellStart"/>
      <w:r>
        <w:rPr>
          <w:color w:val="000000"/>
        </w:rPr>
        <w:t>miratimit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Fondin</w:t>
      </w:r>
      <w:proofErr w:type="spellEnd"/>
      <w:r>
        <w:rPr>
          <w:color w:val="000000"/>
        </w:rPr>
        <w:t xml:space="preserve"> Sovran, </w:t>
      </w:r>
      <w:proofErr w:type="spellStart"/>
      <w:r>
        <w:rPr>
          <w:color w:val="000000"/>
        </w:rPr>
        <w:t>Qeveria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shqyrtojë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fushat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relevante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aktivitetet</w:t>
      </w:r>
      <w:proofErr w:type="spellEnd"/>
      <w:r>
        <w:rPr>
          <w:color w:val="000000"/>
        </w:rPr>
        <w:t xml:space="preserve"> e FSRK, </w:t>
      </w:r>
      <w:proofErr w:type="spellStart"/>
      <w:r>
        <w:rPr>
          <w:color w:val="000000"/>
        </w:rPr>
        <w:t>përfshirë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standardeve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qeverisjes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korporative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përgjithësi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veçanti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nevojshme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shqyrtimi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fushave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mëposhtme</w:t>
      </w:r>
      <w:proofErr w:type="spellEnd"/>
      <w:r>
        <w:rPr>
          <w:color w:val="000000"/>
        </w:rPr>
        <w:t>:</w:t>
      </w:r>
    </w:p>
    <w:p w14:paraId="3FFB5B24" w14:textId="77777777" w:rsidR="000E7BCB" w:rsidRDefault="00A620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28E45DBB" w14:textId="77777777" w:rsidR="000E7BCB" w:rsidRDefault="00A620E4">
      <w:pPr>
        <w:numPr>
          <w:ilvl w:val="0"/>
          <w:numId w:val="14"/>
        </w:numPr>
        <w:rPr>
          <w:color w:val="000000"/>
        </w:rPr>
      </w:pPr>
      <w:proofErr w:type="spellStart"/>
      <w:r>
        <w:rPr>
          <w:color w:val="000000"/>
        </w:rPr>
        <w:t>Krijimi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emetimin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bonove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letrave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vlerë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shoqëritë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aksionare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entitetet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komerciale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</w:t>
      </w:r>
      <w:proofErr w:type="spellEnd"/>
      <w:r>
        <w:rPr>
          <w:color w:val="000000"/>
        </w:rPr>
        <w:t>.</w:t>
      </w:r>
    </w:p>
    <w:p w14:paraId="5BEC86C1" w14:textId="77777777" w:rsidR="000E7BCB" w:rsidRDefault="00A620E4">
      <w:pPr>
        <w:numPr>
          <w:ilvl w:val="0"/>
          <w:numId w:val="14"/>
        </w:numPr>
        <w:rPr>
          <w:color w:val="000000"/>
        </w:rPr>
      </w:pPr>
      <w:proofErr w:type="spellStart"/>
      <w:r>
        <w:rPr>
          <w:color w:val="000000"/>
        </w:rPr>
        <w:t>Krijimi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tregut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kapitalit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bursës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tregtimin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letrave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vlerë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bonove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instrumenteve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sekondar</w:t>
      </w:r>
      <w:proofErr w:type="spellEnd"/>
      <w:r>
        <w:rPr>
          <w:color w:val="000000"/>
        </w:rPr>
        <w:t>.</w:t>
      </w:r>
    </w:p>
    <w:p w14:paraId="1BFA8051" w14:textId="77777777" w:rsidR="000E7BCB" w:rsidRDefault="00A620E4">
      <w:pPr>
        <w:numPr>
          <w:ilvl w:val="0"/>
          <w:numId w:val="14"/>
        </w:numPr>
        <w:rPr>
          <w:color w:val="000000"/>
        </w:rPr>
      </w:pPr>
      <w:proofErr w:type="spellStart"/>
      <w:r>
        <w:rPr>
          <w:color w:val="000000"/>
        </w:rPr>
        <w:t>Përmirësimet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eventuale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bëhen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Shoqëritë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Tregtare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veçanti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qëllim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caktimit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përforcimit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kushteve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kornizës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qeverisjes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korporative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shoqëritë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aksionare</w:t>
      </w:r>
      <w:proofErr w:type="spellEnd"/>
      <w:r>
        <w:rPr>
          <w:color w:val="000000"/>
        </w:rPr>
        <w:t>.</w:t>
      </w:r>
    </w:p>
    <w:p w14:paraId="741973F9" w14:textId="77777777" w:rsidR="000E7BCB" w:rsidRDefault="00A620E4">
      <w:pPr>
        <w:rPr>
          <w:rFonts w:ascii="Times New Roman" w:eastAsia="Times New Roman" w:hAnsi="Times New Roman" w:cs="Times New Roman"/>
        </w:rPr>
      </w:pPr>
      <w:proofErr w:type="spellStart"/>
      <w:r>
        <w:rPr>
          <w:color w:val="000000"/>
        </w:rPr>
        <w:lastRenderedPageBreak/>
        <w:t>Adresimi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mangësive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Punës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përfshirë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kushtet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kërkesat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pjesëmarjen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sindikale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Këshilleve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Punëtorëve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brenda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shoqërive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aksionare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mëdha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përfaqësimin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tyre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qeverisje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korporative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përbrenda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shoqërive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aksionare</w:t>
      </w:r>
      <w:proofErr w:type="spellEnd"/>
      <w:r>
        <w:rPr>
          <w:color w:val="000000"/>
        </w:rPr>
        <w:t xml:space="preserve"> (duke </w:t>
      </w:r>
      <w:proofErr w:type="spellStart"/>
      <w:r>
        <w:rPr>
          <w:color w:val="000000"/>
        </w:rPr>
        <w:t>marrë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veçanti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kodeterminimit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Gjermanisë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Danimarkës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rregullojnë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pjesëmarrjen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përfaqësimin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punëtorëve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qeverisjen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shoqërive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aksionare</w:t>
      </w:r>
      <w:proofErr w:type="spellEnd"/>
      <w:r>
        <w:rPr>
          <w:color w:val="000000"/>
        </w:rPr>
        <w:t>).</w:t>
      </w:r>
    </w:p>
    <w:p w14:paraId="0F82FB6A" w14:textId="77777777" w:rsidR="000E7BCB" w:rsidRDefault="000E7BCB">
      <w:pPr>
        <w:rPr>
          <w:color w:val="000000"/>
        </w:rPr>
      </w:pPr>
    </w:p>
    <w:p w14:paraId="2EF3D0F9" w14:textId="77777777" w:rsidR="000E7BCB" w:rsidRDefault="000E7BCB">
      <w:pPr>
        <w:rPr>
          <w:color w:val="000000"/>
        </w:rPr>
      </w:pPr>
    </w:p>
    <w:p w14:paraId="5AA4B486" w14:textId="77777777" w:rsidR="000E7BCB" w:rsidRDefault="00A620E4">
      <w:pPr>
        <w:rPr>
          <w:b/>
        </w:rPr>
      </w:pPr>
      <w:r>
        <w:br w:type="page"/>
      </w:r>
    </w:p>
    <w:p w14:paraId="7BAE713C" w14:textId="77777777" w:rsidR="000E7BCB" w:rsidRDefault="00A620E4">
      <w:pPr>
        <w:pStyle w:val="Heading1"/>
      </w:pPr>
      <w:bookmarkStart w:id="26" w:name="_Toc93312389"/>
      <w:r>
        <w:lastRenderedPageBreak/>
        <w:t>KAPITULLI 4. METODOLOGJIA E ZBATIMIT</w:t>
      </w:r>
      <w:bookmarkEnd w:id="26"/>
    </w:p>
    <w:p w14:paraId="6E3B14F6" w14:textId="77777777" w:rsidR="000E7BCB" w:rsidRDefault="000E7BCB"/>
    <w:p w14:paraId="6BA01F78" w14:textId="77777777" w:rsidR="000E7BCB" w:rsidRDefault="00A620E4" w:rsidP="004F76C8">
      <w:pPr>
        <w:pStyle w:val="Heading2"/>
        <w:numPr>
          <w:ilvl w:val="0"/>
          <w:numId w:val="0"/>
        </w:numPr>
      </w:pPr>
      <w:bookmarkStart w:id="27" w:name="_Toc93312390"/>
      <w:r>
        <w:t>4.1. HYRJE</w:t>
      </w:r>
      <w:bookmarkEnd w:id="27"/>
    </w:p>
    <w:p w14:paraId="78E43367" w14:textId="77777777" w:rsidR="000E7BCB" w:rsidRDefault="000E7BCB"/>
    <w:p w14:paraId="6594FD83" w14:textId="77777777" w:rsidR="000E7BCB" w:rsidRDefault="00A620E4">
      <w:r>
        <w:t xml:space="preserve">Ky </w:t>
      </w:r>
      <w:proofErr w:type="spellStart"/>
      <w:r>
        <w:t>kapitull</w:t>
      </w:r>
      <w:proofErr w:type="spellEnd"/>
      <w:r>
        <w:t xml:space="preserve"> </w:t>
      </w:r>
      <w:proofErr w:type="spellStart"/>
      <w:r>
        <w:t>përshkruan</w:t>
      </w:r>
      <w:proofErr w:type="spellEnd"/>
      <w:r>
        <w:t xml:space="preserve"> </w:t>
      </w:r>
      <w:proofErr w:type="spellStart"/>
      <w:r>
        <w:t>metodologjinë</w:t>
      </w:r>
      <w:proofErr w:type="spellEnd"/>
      <w:r>
        <w:t xml:space="preserve"> e </w:t>
      </w:r>
      <w:proofErr w:type="spellStart"/>
      <w:r>
        <w:t>zbatimit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strategjisë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Sovran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.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, </w:t>
      </w:r>
      <w:proofErr w:type="spellStart"/>
      <w:r>
        <w:t>strategjia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përfshijë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>:</w:t>
      </w:r>
    </w:p>
    <w:p w14:paraId="1FCE779D" w14:textId="77777777" w:rsidR="000E7BCB" w:rsidRDefault="000E7BCB"/>
    <w:p w14:paraId="4ECF8086" w14:textId="77777777" w:rsidR="000E7BCB" w:rsidRDefault="00A620E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Hartimin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kornizës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themelimin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veprimin</w:t>
      </w:r>
      <w:proofErr w:type="spellEnd"/>
      <w:r>
        <w:rPr>
          <w:color w:val="000000"/>
        </w:rPr>
        <w:t xml:space="preserve"> e FSRK (e </w:t>
      </w:r>
      <w:proofErr w:type="spellStart"/>
      <w:r>
        <w:rPr>
          <w:color w:val="000000"/>
        </w:rPr>
        <w:t>përshkruar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Kapitullin</w:t>
      </w:r>
      <w:proofErr w:type="spellEnd"/>
      <w:r>
        <w:rPr>
          <w:color w:val="000000"/>
        </w:rPr>
        <w:t xml:space="preserve"> 3).</w:t>
      </w:r>
    </w:p>
    <w:p w14:paraId="09828141" w14:textId="77777777" w:rsidR="000E7BCB" w:rsidRDefault="00A620E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Themelimi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institucion</w:t>
      </w:r>
      <w:proofErr w:type="spellEnd"/>
      <w:r>
        <w:rPr>
          <w:color w:val="000000"/>
        </w:rPr>
        <w:t>.</w:t>
      </w:r>
    </w:p>
    <w:p w14:paraId="6EA555A7" w14:textId="77777777" w:rsidR="000E7BCB" w:rsidRDefault="00A620E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Modelet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financimit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kapitalit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fillestar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likuid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FSRK.</w:t>
      </w:r>
    </w:p>
    <w:p w14:paraId="57D3ECF7" w14:textId="77777777" w:rsidR="000E7BCB" w:rsidRDefault="00A620E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Përcaktimi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aseteve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kapitalit</w:t>
      </w:r>
      <w:proofErr w:type="spellEnd"/>
      <w:r>
        <w:rPr>
          <w:color w:val="000000"/>
        </w:rPr>
        <w:t xml:space="preserve"> jo-</w:t>
      </w:r>
      <w:proofErr w:type="spellStart"/>
      <w:r>
        <w:rPr>
          <w:color w:val="000000"/>
        </w:rPr>
        <w:t>likuid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paraprak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kalimtar</w:t>
      </w:r>
      <w:proofErr w:type="spellEnd"/>
      <w:r>
        <w:rPr>
          <w:color w:val="000000"/>
        </w:rPr>
        <w:t>.</w:t>
      </w:r>
    </w:p>
    <w:p w14:paraId="78369EF6" w14:textId="77777777" w:rsidR="000E7BCB" w:rsidRDefault="000E7BCB"/>
    <w:p w14:paraId="627D3E66" w14:textId="77777777" w:rsidR="000E7BCB" w:rsidRDefault="000E7BCB"/>
    <w:p w14:paraId="79CFB2C8" w14:textId="77777777" w:rsidR="000E7BCB" w:rsidRDefault="00A620E4" w:rsidP="004F76C8">
      <w:pPr>
        <w:pStyle w:val="Heading2"/>
        <w:numPr>
          <w:ilvl w:val="0"/>
          <w:numId w:val="0"/>
        </w:numPr>
      </w:pPr>
      <w:bookmarkStart w:id="28" w:name="_Toc93312391"/>
      <w:r>
        <w:t>4.2. HARTIMI I KORNIZËS LIGJORE</w:t>
      </w:r>
      <w:bookmarkEnd w:id="28"/>
      <w:r>
        <w:t xml:space="preserve"> </w:t>
      </w:r>
    </w:p>
    <w:p w14:paraId="300A99CB" w14:textId="77777777" w:rsidR="000E7BCB" w:rsidRDefault="000E7BCB"/>
    <w:p w14:paraId="21BAD365" w14:textId="77777777" w:rsidR="000E7BCB" w:rsidRDefault="00A620E4">
      <w:proofErr w:type="spellStart"/>
      <w:r>
        <w:t>Siç</w:t>
      </w:r>
      <w:proofErr w:type="spellEnd"/>
      <w:r>
        <w:t xml:space="preserve"> </w:t>
      </w:r>
      <w:proofErr w:type="spellStart"/>
      <w:r>
        <w:t>theksohet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Kapitullin</w:t>
      </w:r>
      <w:proofErr w:type="spellEnd"/>
      <w:r>
        <w:t xml:space="preserve"> 3,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hartimin</w:t>
      </w:r>
      <w:proofErr w:type="spellEnd"/>
      <w:r>
        <w:t xml:space="preserve"> e </w:t>
      </w:r>
      <w:proofErr w:type="spellStart"/>
      <w:r>
        <w:t>kornizës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FSRK,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e </w:t>
      </w:r>
      <w:proofErr w:type="spellStart"/>
      <w:r>
        <w:t>nevojshme</w:t>
      </w:r>
      <w:proofErr w:type="spellEnd"/>
      <w:r>
        <w:t xml:space="preserve"> </w:t>
      </w:r>
      <w:proofErr w:type="spellStart"/>
      <w:r>
        <w:t>krijimi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Komisioni</w:t>
      </w:r>
      <w:proofErr w:type="spellEnd"/>
      <w:r>
        <w:t xml:space="preserve"> </w:t>
      </w:r>
      <w:proofErr w:type="spellStart"/>
      <w:r>
        <w:t>Qeveritar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ekipi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specializuar</w:t>
      </w:r>
      <w:proofErr w:type="spellEnd"/>
      <w:r>
        <w:t xml:space="preserve"> </w:t>
      </w:r>
      <w:proofErr w:type="spellStart"/>
      <w:r>
        <w:t>juridik</w:t>
      </w:r>
      <w:proofErr w:type="spellEnd"/>
      <w:r>
        <w:t xml:space="preserve">, me </w:t>
      </w:r>
      <w:proofErr w:type="spellStart"/>
      <w:r>
        <w:t>ekspertizë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funksionimin</w:t>
      </w:r>
      <w:proofErr w:type="spellEnd"/>
      <w:r>
        <w:t xml:space="preserve"> e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, </w:t>
      </w:r>
      <w:proofErr w:type="spellStart"/>
      <w:r>
        <w:t>menaxhimit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asteve</w:t>
      </w:r>
      <w:proofErr w:type="spellEnd"/>
      <w:r>
        <w:t xml:space="preserve">, </w:t>
      </w:r>
      <w:proofErr w:type="spellStart"/>
      <w:r>
        <w:t>konfiskimit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, e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përgjithësi</w:t>
      </w:r>
      <w:proofErr w:type="spellEnd"/>
      <w:r>
        <w:t xml:space="preserve"> </w:t>
      </w:r>
      <w:proofErr w:type="spellStart"/>
      <w:r>
        <w:t>funksionimit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shoqërive</w:t>
      </w:r>
      <w:proofErr w:type="spellEnd"/>
      <w:r>
        <w:t xml:space="preserve"> </w:t>
      </w:r>
      <w:proofErr w:type="spellStart"/>
      <w:r>
        <w:t>aksionare</w:t>
      </w:r>
      <w:proofErr w:type="spellEnd"/>
    </w:p>
    <w:p w14:paraId="174C8A95" w14:textId="77777777" w:rsidR="000E7BCB" w:rsidRDefault="000E7BCB"/>
    <w:p w14:paraId="6E6D3524" w14:textId="77777777" w:rsidR="000E7BCB" w:rsidRDefault="00A620E4">
      <w:proofErr w:type="spellStart"/>
      <w:r>
        <w:t>Në</w:t>
      </w:r>
      <w:proofErr w:type="spellEnd"/>
      <w:r>
        <w:t xml:space="preserve"> </w:t>
      </w:r>
      <w:proofErr w:type="spellStart"/>
      <w:r>
        <w:t>kontaktet</w:t>
      </w:r>
      <w:proofErr w:type="spellEnd"/>
      <w:r>
        <w:t xml:space="preserve"> e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me </w:t>
      </w:r>
      <w:proofErr w:type="spellStart"/>
      <w:r>
        <w:t>donatorë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 xml:space="preserve">,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sosh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shprehur</w:t>
      </w:r>
      <w:proofErr w:type="spellEnd"/>
      <w:r>
        <w:t xml:space="preserve"> </w:t>
      </w:r>
      <w:proofErr w:type="spellStart"/>
      <w:r>
        <w:t>interesim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ta </w:t>
      </w:r>
      <w:proofErr w:type="spellStart"/>
      <w:r>
        <w:t>përkrahin</w:t>
      </w:r>
      <w:proofErr w:type="spellEnd"/>
      <w:r>
        <w:t xml:space="preserve"> </w:t>
      </w:r>
      <w:proofErr w:type="spellStart"/>
      <w:r>
        <w:t>punën</w:t>
      </w:r>
      <w:proofErr w:type="spellEnd"/>
      <w:r>
        <w:t xml:space="preserve"> e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pjesën</w:t>
      </w:r>
      <w:proofErr w:type="spellEnd"/>
      <w:r>
        <w:t xml:space="preserve"> e </w:t>
      </w:r>
      <w:proofErr w:type="spellStart"/>
      <w:r>
        <w:t>hartimit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kornizës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FSRK.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ka </w:t>
      </w:r>
      <w:proofErr w:type="spellStart"/>
      <w:r>
        <w:t>mirëpritur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përkrahje</w:t>
      </w:r>
      <w:proofErr w:type="spellEnd"/>
      <w:r>
        <w:t xml:space="preserve">, </w:t>
      </w:r>
      <w:proofErr w:type="spellStart"/>
      <w:r>
        <w:t>mirëpo</w:t>
      </w:r>
      <w:proofErr w:type="spellEnd"/>
      <w:r>
        <w:t xml:space="preserve"> </w:t>
      </w:r>
      <w:proofErr w:type="spellStart"/>
      <w:r>
        <w:t>rekomandon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punën</w:t>
      </w:r>
      <w:proofErr w:type="spellEnd"/>
      <w:r>
        <w:t xml:space="preserve"> e </w:t>
      </w:r>
      <w:proofErr w:type="spellStart"/>
      <w:r>
        <w:t>hartimit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kornizës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, </w:t>
      </w:r>
      <w:proofErr w:type="spellStart"/>
      <w:r>
        <w:t>termat</w:t>
      </w:r>
      <w:proofErr w:type="spellEnd"/>
      <w:r>
        <w:t xml:space="preserve"> e </w:t>
      </w:r>
      <w:proofErr w:type="spellStart"/>
      <w:r>
        <w:t>referencës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juristë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angazhuar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, me </w:t>
      </w:r>
      <w:proofErr w:type="spellStart"/>
      <w:r>
        <w:t>financim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mundshëm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donatorët</w:t>
      </w:r>
      <w:proofErr w:type="spellEnd"/>
      <w:r>
        <w:t xml:space="preserve">.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rekomandon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hartimi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dokumenteve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juridike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përmbahet</w:t>
      </w:r>
      <w:proofErr w:type="spellEnd"/>
      <w:r>
        <w:t xml:space="preserve"> </w:t>
      </w:r>
      <w:proofErr w:type="spellStart"/>
      <w:r>
        <w:t>maksimalisht</w:t>
      </w:r>
      <w:proofErr w:type="spellEnd"/>
      <w:r>
        <w:t xml:space="preserve"> </w:t>
      </w:r>
      <w:proofErr w:type="spellStart"/>
      <w:r>
        <w:t>konceptit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Koncept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>.</w:t>
      </w:r>
    </w:p>
    <w:p w14:paraId="6E9C9D10" w14:textId="77777777" w:rsidR="000E7BCB" w:rsidRDefault="000E7BCB"/>
    <w:p w14:paraId="094259BD" w14:textId="77777777" w:rsidR="000E7BCB" w:rsidRDefault="00A620E4">
      <w:proofErr w:type="spellStart"/>
      <w:r>
        <w:t>Për</w:t>
      </w:r>
      <w:proofErr w:type="spellEnd"/>
      <w:r>
        <w:t xml:space="preserve"> </w:t>
      </w:r>
      <w:proofErr w:type="spellStart"/>
      <w:r>
        <w:t>hartimin</w:t>
      </w:r>
      <w:proofErr w:type="spellEnd"/>
      <w:r>
        <w:t xml:space="preserve"> e </w:t>
      </w:r>
      <w:proofErr w:type="spellStart"/>
      <w:r>
        <w:t>Statutit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FSRK, </w:t>
      </w:r>
      <w:proofErr w:type="spellStart"/>
      <w:r>
        <w:t>rekomandohet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pos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ekipi</w:t>
      </w:r>
      <w:proofErr w:type="spellEnd"/>
      <w:r>
        <w:t xml:space="preserve"> </w:t>
      </w:r>
      <w:proofErr w:type="spellStart"/>
      <w:r>
        <w:t>juridik</w:t>
      </w:r>
      <w:proofErr w:type="spellEnd"/>
      <w:r>
        <w:t xml:space="preserve">, </w:t>
      </w:r>
      <w:proofErr w:type="spellStart"/>
      <w:r>
        <w:t>hartimi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kompani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konsulencës</w:t>
      </w:r>
      <w:proofErr w:type="spellEnd"/>
      <w:r>
        <w:t xml:space="preserve"> </w:t>
      </w:r>
      <w:proofErr w:type="spellStart"/>
      <w:r>
        <w:t>afariste</w:t>
      </w:r>
      <w:proofErr w:type="spellEnd"/>
      <w:r>
        <w:t xml:space="preserve">, me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strategji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. </w:t>
      </w:r>
      <w:proofErr w:type="spellStart"/>
      <w:r>
        <w:t>Koncepti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elaboruar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brendshëm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 </w:t>
      </w:r>
      <w:proofErr w:type="spellStart"/>
      <w:r>
        <w:t>rekomandohet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me </w:t>
      </w:r>
      <w:proofErr w:type="spellStart"/>
      <w:r>
        <w:t>ekspertizën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kompanive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tilla, </w:t>
      </w:r>
      <w:proofErr w:type="spellStart"/>
      <w:r>
        <w:t>mbi</w:t>
      </w:r>
      <w:proofErr w:type="spellEnd"/>
      <w:r>
        <w:t xml:space="preserve"> </w:t>
      </w:r>
      <w:proofErr w:type="spellStart"/>
      <w:r>
        <w:t>premisat</w:t>
      </w:r>
      <w:proofErr w:type="spellEnd"/>
      <w:r>
        <w:t xml:space="preserve"> e </w:t>
      </w:r>
      <w:proofErr w:type="spellStart"/>
      <w:r>
        <w:t>caktuara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Koncept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>.</w:t>
      </w:r>
    </w:p>
    <w:p w14:paraId="517962ED" w14:textId="77777777" w:rsidR="000E7BCB" w:rsidRDefault="000E7BCB"/>
    <w:p w14:paraId="38D511F0" w14:textId="77777777" w:rsidR="000E7BCB" w:rsidRDefault="000E7BCB"/>
    <w:p w14:paraId="611DF6FB" w14:textId="77777777" w:rsidR="000E7BCB" w:rsidRDefault="00A620E4" w:rsidP="004F76C8">
      <w:pPr>
        <w:pStyle w:val="Heading2"/>
        <w:numPr>
          <w:ilvl w:val="0"/>
          <w:numId w:val="0"/>
        </w:numPr>
      </w:pPr>
      <w:bookmarkStart w:id="29" w:name="_Toc93312392"/>
      <w:r>
        <w:t>4.3. THEMELIMI DHE ORGANIZIMI I FSRK</w:t>
      </w:r>
      <w:bookmarkEnd w:id="29"/>
    </w:p>
    <w:p w14:paraId="5598F05F" w14:textId="77777777" w:rsidR="000E7BCB" w:rsidRDefault="000E7BCB"/>
    <w:p w14:paraId="674A49A5" w14:textId="77777777" w:rsidR="000E7BCB" w:rsidRDefault="00A620E4">
      <w:r>
        <w:lastRenderedPageBreak/>
        <w:t xml:space="preserve">Pas </w:t>
      </w:r>
      <w:proofErr w:type="spellStart"/>
      <w:r>
        <w:t>hartimit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miratimit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elementeve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kornizës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, hap </w:t>
      </w:r>
      <w:proofErr w:type="spellStart"/>
      <w:r>
        <w:t>i</w:t>
      </w:r>
      <w:proofErr w:type="spellEnd"/>
      <w:r>
        <w:t xml:space="preserve"> </w:t>
      </w:r>
      <w:proofErr w:type="spellStart"/>
      <w:r>
        <w:t>ardhshëm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organizimi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FSRK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institucion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përfshihen</w:t>
      </w:r>
      <w:proofErr w:type="spellEnd"/>
      <w:r>
        <w:t xml:space="preserve"> jo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formalitetet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(p.sh., </w:t>
      </w:r>
      <w:proofErr w:type="spellStart"/>
      <w:r>
        <w:t>regjistrimi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FSRK </w:t>
      </w:r>
      <w:proofErr w:type="spellStart"/>
      <w:r>
        <w:t>si</w:t>
      </w:r>
      <w:proofErr w:type="spellEnd"/>
      <w:r>
        <w:t xml:space="preserve"> SH.A.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regjistrin</w:t>
      </w:r>
      <w:proofErr w:type="spellEnd"/>
      <w:r>
        <w:t xml:space="preserve"> e </w:t>
      </w:r>
      <w:proofErr w:type="spellStart"/>
      <w:r>
        <w:t>bizneseve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), por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proceset</w:t>
      </w:r>
      <w:proofErr w:type="spellEnd"/>
      <w:r>
        <w:t xml:space="preserve"> </w:t>
      </w:r>
      <w:proofErr w:type="spellStart"/>
      <w:r>
        <w:t>vijuese</w:t>
      </w:r>
      <w:proofErr w:type="spellEnd"/>
      <w:r>
        <w:t>:</w:t>
      </w:r>
    </w:p>
    <w:p w14:paraId="27F836AE" w14:textId="77777777" w:rsidR="000E7BCB" w:rsidRDefault="000E7BCB"/>
    <w:p w14:paraId="78566EB9" w14:textId="77777777" w:rsidR="000E7BCB" w:rsidRDefault="00A620E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Hartimi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Statutit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Kartës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Afariste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FSRK, </w:t>
      </w:r>
      <w:proofErr w:type="spellStart"/>
      <w:r>
        <w:rPr>
          <w:color w:val="000000"/>
        </w:rPr>
        <w:t>ku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pajtim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Ligjin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Fondin</w:t>
      </w:r>
      <w:proofErr w:type="spellEnd"/>
      <w:r>
        <w:rPr>
          <w:color w:val="000000"/>
        </w:rPr>
        <w:t xml:space="preserve"> Sovran, </w:t>
      </w:r>
      <w:proofErr w:type="spellStart"/>
      <w:r>
        <w:rPr>
          <w:color w:val="000000"/>
        </w:rPr>
        <w:t>përshkruhen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qëllimet</w:t>
      </w:r>
      <w:proofErr w:type="spellEnd"/>
      <w:r>
        <w:rPr>
          <w:color w:val="000000"/>
        </w:rPr>
        <w:t xml:space="preserve">, forma e </w:t>
      </w:r>
      <w:proofErr w:type="spellStart"/>
      <w:r>
        <w:rPr>
          <w:color w:val="000000"/>
        </w:rPr>
        <w:t>qeverisjes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organizative</w:t>
      </w:r>
      <w:proofErr w:type="spellEnd"/>
      <w:r>
        <w:rPr>
          <w:color w:val="000000"/>
        </w:rPr>
        <w:t xml:space="preserve"> e FSRK.</w:t>
      </w:r>
    </w:p>
    <w:p w14:paraId="26E2B448" w14:textId="77777777" w:rsidR="000E7BCB" w:rsidRDefault="00A620E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Emërimi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Mbikëqryes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fillestar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mandat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përkohshëm</w:t>
      </w:r>
      <w:proofErr w:type="spellEnd"/>
      <w:r>
        <w:rPr>
          <w:color w:val="000000"/>
        </w:rPr>
        <w:t>.</w:t>
      </w:r>
    </w:p>
    <w:p w14:paraId="622AF869" w14:textId="77777777" w:rsidR="000E7BCB" w:rsidRDefault="00A620E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Rekrutimi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Shefit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Ekzekutiv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oficerëve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tjerë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FSRK.</w:t>
      </w:r>
    </w:p>
    <w:p w14:paraId="2588AE36" w14:textId="77777777" w:rsidR="000E7BCB" w:rsidRDefault="00A620E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Nisja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menjëhershme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rekrutimit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punësimit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stafit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FSRK.</w:t>
      </w:r>
    </w:p>
    <w:p w14:paraId="07900DD6" w14:textId="77777777" w:rsidR="000E7BCB" w:rsidRDefault="00A620E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Hartimi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Strategjisë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Investuese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FSRK.</w:t>
      </w:r>
    </w:p>
    <w:p w14:paraId="3C6F7168" w14:textId="77777777" w:rsidR="000E7BCB" w:rsidRDefault="00A620E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Transferi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kapitalit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likuid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sipas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modeleve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financimit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aseteve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tjera</w:t>
      </w:r>
      <w:proofErr w:type="spellEnd"/>
      <w:r>
        <w:rPr>
          <w:color w:val="000000"/>
        </w:rPr>
        <w:t xml:space="preserve"> jo-</w:t>
      </w:r>
      <w:proofErr w:type="spellStart"/>
      <w:r>
        <w:rPr>
          <w:color w:val="000000"/>
        </w:rPr>
        <w:t>likuide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sipas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strategjisë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propozuar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FSRK.</w:t>
      </w:r>
    </w:p>
    <w:p w14:paraId="1A5E7222" w14:textId="77777777" w:rsidR="000E7BCB" w:rsidRDefault="000E7BCB"/>
    <w:p w14:paraId="344D438A" w14:textId="77777777" w:rsidR="000E7BCB" w:rsidRDefault="000E7BCB"/>
    <w:p w14:paraId="1324E006" w14:textId="77777777" w:rsidR="000E7BCB" w:rsidRDefault="00A620E4" w:rsidP="004F76C8">
      <w:pPr>
        <w:pStyle w:val="Heading3"/>
        <w:numPr>
          <w:ilvl w:val="0"/>
          <w:numId w:val="0"/>
        </w:numPr>
      </w:pPr>
      <w:bookmarkStart w:id="30" w:name="_Toc93312393"/>
      <w:r>
        <w:t xml:space="preserve">4.3.1. </w:t>
      </w:r>
      <w:proofErr w:type="spellStart"/>
      <w:r>
        <w:t>Hartimi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</w:t>
      </w:r>
      <w:bookmarkEnd w:id="30"/>
    </w:p>
    <w:p w14:paraId="08B30652" w14:textId="77777777" w:rsidR="000E7BCB" w:rsidRDefault="000E7BCB"/>
    <w:p w14:paraId="57063DD9" w14:textId="77777777" w:rsidR="000E7BCB" w:rsidRDefault="00A620E4">
      <w:proofErr w:type="spellStart"/>
      <w:r>
        <w:t>Statuti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FSRK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 </w:t>
      </w:r>
      <w:proofErr w:type="spellStart"/>
      <w:r>
        <w:t>themelor</w:t>
      </w:r>
      <w:proofErr w:type="spellEnd"/>
      <w:r>
        <w:t xml:space="preserve"> </w:t>
      </w:r>
      <w:proofErr w:type="spellStart"/>
      <w:r>
        <w:t>qeverisës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FSRK.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strategji</w:t>
      </w:r>
      <w:proofErr w:type="spellEnd"/>
      <w:r>
        <w:t xml:space="preserve"> </w:t>
      </w:r>
      <w:proofErr w:type="spellStart"/>
      <w:r>
        <w:t>efikase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hartimi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niset</w:t>
      </w:r>
      <w:proofErr w:type="spellEnd"/>
      <w:r>
        <w:t xml:space="preserve"> </w:t>
      </w:r>
      <w:proofErr w:type="spellStart"/>
      <w:r>
        <w:t>paralelisht</w:t>
      </w:r>
      <w:proofErr w:type="spellEnd"/>
      <w:r>
        <w:t xml:space="preserve"> me </w:t>
      </w:r>
      <w:proofErr w:type="spellStart"/>
      <w:r>
        <w:t>hartimin</w:t>
      </w:r>
      <w:proofErr w:type="spellEnd"/>
      <w:r>
        <w:t xml:space="preserve"> e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Sovran. </w:t>
      </w:r>
      <w:proofErr w:type="spellStart"/>
      <w:r>
        <w:t>Kjo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arsyen</w:t>
      </w:r>
      <w:proofErr w:type="spellEnd"/>
      <w:r>
        <w:t xml:space="preserve"> se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hierarkisht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ndërvarura</w:t>
      </w:r>
      <w:proofErr w:type="spellEnd"/>
      <w:r>
        <w:t xml:space="preserve">. </w:t>
      </w:r>
      <w:proofErr w:type="spellStart"/>
      <w:r>
        <w:t>Ligji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Sovran, </w:t>
      </w:r>
      <w:proofErr w:type="spellStart"/>
      <w:r>
        <w:t>përveç</w:t>
      </w:r>
      <w:proofErr w:type="spellEnd"/>
      <w:r>
        <w:t xml:space="preserve"> se </w:t>
      </w:r>
      <w:proofErr w:type="spellStart"/>
      <w:r>
        <w:t>përben</w:t>
      </w:r>
      <w:proofErr w:type="spellEnd"/>
      <w:r>
        <w:t xml:space="preserve"> </w:t>
      </w:r>
      <w:proofErr w:type="spellStart"/>
      <w:r>
        <w:t>aktin</w:t>
      </w:r>
      <w:proofErr w:type="spellEnd"/>
      <w:r>
        <w:t xml:space="preserve"> </w:t>
      </w:r>
      <w:proofErr w:type="spellStart"/>
      <w:r>
        <w:t>ligjor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drejton</w:t>
      </w:r>
      <w:proofErr w:type="spellEnd"/>
      <w:r>
        <w:t xml:space="preserve"> </w:t>
      </w:r>
      <w:proofErr w:type="spellStart"/>
      <w:r>
        <w:t>Qeverinë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fillojë</w:t>
      </w:r>
      <w:proofErr w:type="spellEnd"/>
      <w:r>
        <w:t xml:space="preserve"> </w:t>
      </w:r>
      <w:proofErr w:type="spellStart"/>
      <w:r>
        <w:t>procedurat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FSRK </w:t>
      </w:r>
      <w:proofErr w:type="spellStart"/>
      <w:r>
        <w:t>dhe</w:t>
      </w:r>
      <w:proofErr w:type="spellEnd"/>
      <w:r>
        <w:t xml:space="preserve"> </w:t>
      </w:r>
      <w:proofErr w:type="spellStart"/>
      <w:r>
        <w:t>cakton</w:t>
      </w:r>
      <w:proofErr w:type="spellEnd"/>
      <w:r>
        <w:t xml:space="preserve"> </w:t>
      </w:r>
      <w:proofErr w:type="spellStart"/>
      <w:r>
        <w:t>kapitalin</w:t>
      </w:r>
      <w:proofErr w:type="spellEnd"/>
      <w:r>
        <w:t xml:space="preserve"> </w:t>
      </w:r>
      <w:proofErr w:type="spellStart"/>
      <w:r>
        <w:t>startues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FSRK,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përcaktojë</w:t>
      </w:r>
      <w:proofErr w:type="spellEnd"/>
      <w:r>
        <w:t xml:space="preserve"> </w:t>
      </w:r>
      <w:proofErr w:type="spellStart"/>
      <w:r>
        <w:t>qëllimet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mandatet</w:t>
      </w:r>
      <w:proofErr w:type="spellEnd"/>
      <w:r>
        <w:t xml:space="preserve"> e FSRK,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rregullojë</w:t>
      </w:r>
      <w:proofErr w:type="spellEnd"/>
      <w:r>
        <w:t xml:space="preserve"> </w:t>
      </w:r>
      <w:proofErr w:type="spellStart"/>
      <w:r>
        <w:t>marrëdhëniet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me </w:t>
      </w:r>
      <w:proofErr w:type="spellStart"/>
      <w:r>
        <w:t>institucionet</w:t>
      </w:r>
      <w:proofErr w:type="spellEnd"/>
      <w:r>
        <w:t xml:space="preserve"> e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aksionari</w:t>
      </w:r>
      <w:proofErr w:type="spellEnd"/>
      <w:r>
        <w:t xml:space="preserve"> </w:t>
      </w:r>
      <w:proofErr w:type="spellStart"/>
      <w:r>
        <w:t>kryesor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FSRK. </w:t>
      </w:r>
      <w:proofErr w:type="spellStart"/>
      <w:r>
        <w:t>Ndërkaq</w:t>
      </w:r>
      <w:proofErr w:type="spellEnd"/>
      <w:r>
        <w:t xml:space="preserve">, </w:t>
      </w:r>
      <w:proofErr w:type="spellStart"/>
      <w:r>
        <w:t>Statuti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pjesërisht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përcaktimet</w:t>
      </w:r>
      <w:proofErr w:type="spellEnd"/>
      <w:r>
        <w:t xml:space="preserve"> e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Sovran, por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përfshijë</w:t>
      </w:r>
      <w:proofErr w:type="spellEnd"/>
      <w:r>
        <w:t xml:space="preserve"> </w:t>
      </w:r>
      <w:proofErr w:type="spellStart"/>
      <w:r>
        <w:t>elementet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: </w:t>
      </w:r>
      <w:proofErr w:type="spellStart"/>
      <w:r>
        <w:t>qeverisja</w:t>
      </w:r>
      <w:proofErr w:type="spellEnd"/>
      <w:r>
        <w:t xml:space="preserve"> e </w:t>
      </w:r>
      <w:proofErr w:type="spellStart"/>
      <w:r>
        <w:t>brendshme</w:t>
      </w:r>
      <w:proofErr w:type="spellEnd"/>
      <w:r>
        <w:t xml:space="preserve"> e FSRK,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organizative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aspekte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operative </w:t>
      </w:r>
      <w:proofErr w:type="spellStart"/>
      <w:r>
        <w:t>të</w:t>
      </w:r>
      <w:proofErr w:type="spellEnd"/>
      <w:r>
        <w:t xml:space="preserve"> FSRK. </w:t>
      </w:r>
      <w:proofErr w:type="spellStart"/>
      <w:r>
        <w:t>Elementet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strukturës</w:t>
      </w:r>
      <w:proofErr w:type="spellEnd"/>
      <w:r>
        <w:t xml:space="preserve"> </w:t>
      </w:r>
      <w:proofErr w:type="spellStart"/>
      <w:r>
        <w:t>organizative</w:t>
      </w:r>
      <w:proofErr w:type="spellEnd"/>
      <w:r>
        <w:t xml:space="preserve"> </w:t>
      </w:r>
      <w:proofErr w:type="spellStart"/>
      <w:r>
        <w:t>përshkruhen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Shtojcën</w:t>
      </w:r>
      <w:proofErr w:type="spellEnd"/>
      <w:r>
        <w:t xml:space="preserve"> e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>.</w:t>
      </w:r>
    </w:p>
    <w:p w14:paraId="257F814E" w14:textId="77777777" w:rsidR="000E7BCB" w:rsidRDefault="000E7BCB"/>
    <w:p w14:paraId="27904E27" w14:textId="77777777" w:rsidR="000E7BCB" w:rsidRDefault="00A620E4"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rekomandon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ta </w:t>
      </w:r>
      <w:proofErr w:type="spellStart"/>
      <w:r>
        <w:t>bëjë</w:t>
      </w:r>
      <w:proofErr w:type="spellEnd"/>
      <w:r>
        <w:t xml:space="preserve"> </w:t>
      </w:r>
      <w:proofErr w:type="spellStart"/>
      <w:r>
        <w:t>hartimin</w:t>
      </w:r>
      <w:proofErr w:type="spellEnd"/>
      <w:r>
        <w:t xml:space="preserve"> e </w:t>
      </w:r>
      <w:proofErr w:type="spellStart"/>
      <w:r>
        <w:t>Statutit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strategjisë</w:t>
      </w:r>
      <w:proofErr w:type="spellEnd"/>
      <w:r>
        <w:t xml:space="preserve"> </w:t>
      </w:r>
      <w:proofErr w:type="spellStart"/>
      <w:r>
        <w:t>fillestare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 me </w:t>
      </w:r>
      <w:proofErr w:type="spellStart"/>
      <w:r>
        <w:t>ndihmën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konsulenteve</w:t>
      </w:r>
      <w:proofErr w:type="spellEnd"/>
      <w:r>
        <w:t xml:space="preserve"> </w:t>
      </w:r>
      <w:proofErr w:type="spellStart"/>
      <w:r>
        <w:t>ndërkombëtarë</w:t>
      </w:r>
      <w:proofErr w:type="spellEnd"/>
      <w:r>
        <w:t xml:space="preserve">, me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>
        <w:t xml:space="preserve"> e </w:t>
      </w:r>
      <w:proofErr w:type="spellStart"/>
      <w:r>
        <w:t>fondeve</w:t>
      </w:r>
      <w:proofErr w:type="spellEnd"/>
      <w:r>
        <w:t xml:space="preserve"> </w:t>
      </w:r>
      <w:proofErr w:type="spellStart"/>
      <w:r>
        <w:t>investive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strategjive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>.</w:t>
      </w:r>
    </w:p>
    <w:p w14:paraId="6612E636" w14:textId="77777777" w:rsidR="000E7BCB" w:rsidRDefault="000E7BCB"/>
    <w:p w14:paraId="7E16A0B9" w14:textId="77777777" w:rsidR="000E7BCB" w:rsidRDefault="000E7BCB"/>
    <w:p w14:paraId="4520C3C1" w14:textId="77777777" w:rsidR="000E7BCB" w:rsidRDefault="00A620E4" w:rsidP="004F76C8">
      <w:pPr>
        <w:pStyle w:val="Heading3"/>
        <w:numPr>
          <w:ilvl w:val="0"/>
          <w:numId w:val="0"/>
        </w:numPr>
      </w:pPr>
      <w:bookmarkStart w:id="31" w:name="_Toc93312394"/>
      <w:r>
        <w:t xml:space="preserve">4.3.2. </w:t>
      </w:r>
      <w:proofErr w:type="spellStart"/>
      <w:r>
        <w:t>Emërimi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fillestar</w:t>
      </w:r>
      <w:bookmarkEnd w:id="31"/>
      <w:proofErr w:type="spellEnd"/>
    </w:p>
    <w:p w14:paraId="1502A858" w14:textId="77777777" w:rsidR="000E7BCB" w:rsidRDefault="000E7BCB"/>
    <w:p w14:paraId="2200FAA8" w14:textId="77777777" w:rsidR="000E7BCB" w:rsidRDefault="00A620E4"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</w:t>
      </w:r>
      <w:proofErr w:type="spellStart"/>
      <w:r>
        <w:t>qeverisës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FSRK (shih </w:t>
      </w:r>
      <w:proofErr w:type="spellStart"/>
      <w:r>
        <w:t>Shtojcën</w:t>
      </w:r>
      <w:proofErr w:type="spellEnd"/>
      <w:r>
        <w:t xml:space="preserve">). </w:t>
      </w:r>
      <w:proofErr w:type="spellStart"/>
      <w:r>
        <w:t>Akti</w:t>
      </w:r>
      <w:proofErr w:type="spellEnd"/>
      <w:r>
        <w:t xml:space="preserve"> </w:t>
      </w:r>
      <w:proofErr w:type="spellStart"/>
      <w:r>
        <w:t>themelues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FSRK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shoqërohet</w:t>
      </w:r>
      <w:proofErr w:type="spellEnd"/>
      <w:r>
        <w:t xml:space="preserve"> me </w:t>
      </w:r>
      <w:proofErr w:type="spellStart"/>
      <w:r>
        <w:t>listën</w:t>
      </w:r>
      <w:proofErr w:type="spellEnd"/>
      <w:r>
        <w:t xml:space="preserve"> e </w:t>
      </w:r>
      <w:proofErr w:type="spellStart"/>
      <w:r>
        <w:t>anëtarëve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themeltarë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FSRK.</w:t>
      </w:r>
    </w:p>
    <w:p w14:paraId="1A9CCBD6" w14:textId="77777777" w:rsidR="000E7BCB" w:rsidRDefault="000E7BCB"/>
    <w:p w14:paraId="0C448B31" w14:textId="77777777" w:rsidR="000E7BCB" w:rsidRDefault="00A620E4">
      <w:proofErr w:type="spellStart"/>
      <w:r>
        <w:lastRenderedPageBreak/>
        <w:t>Ligji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përcaktojnë</w:t>
      </w:r>
      <w:proofErr w:type="spellEnd"/>
      <w:r>
        <w:t xml:space="preserve"> </w:t>
      </w:r>
      <w:proofErr w:type="spellStart"/>
      <w:r>
        <w:t>kualifimet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anëtarët</w:t>
      </w:r>
      <w:proofErr w:type="spellEnd"/>
      <w:r>
        <w:t xml:space="preserve"> e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, </w:t>
      </w:r>
      <w:proofErr w:type="spellStart"/>
      <w:r>
        <w:t>procedurat</w:t>
      </w:r>
      <w:proofErr w:type="spellEnd"/>
      <w:r>
        <w:t xml:space="preserve"> e </w:t>
      </w:r>
      <w:proofErr w:type="spellStart"/>
      <w:r>
        <w:t>përzgjedhjes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mandatin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. </w:t>
      </w:r>
      <w:proofErr w:type="spellStart"/>
      <w:r>
        <w:t>Ndërkaq</w:t>
      </w:r>
      <w:proofErr w:type="spellEnd"/>
      <w:r>
        <w:t xml:space="preserve">, </w:t>
      </w:r>
      <w:proofErr w:type="spellStart"/>
      <w:r>
        <w:t>Statuti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përcaktojë</w:t>
      </w:r>
      <w:proofErr w:type="spellEnd"/>
      <w:r>
        <w:t xml:space="preserve"> </w:t>
      </w:r>
      <w:proofErr w:type="spellStart"/>
      <w:r>
        <w:t>rolet</w:t>
      </w:r>
      <w:proofErr w:type="spellEnd"/>
      <w:r>
        <w:t xml:space="preserve"> </w:t>
      </w:r>
      <w:proofErr w:type="spellStart"/>
      <w:r>
        <w:t>qeverisëse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FSRK.</w:t>
      </w:r>
    </w:p>
    <w:p w14:paraId="3C9C7DFD" w14:textId="77777777" w:rsidR="000E7BCB" w:rsidRDefault="000E7BCB"/>
    <w:p w14:paraId="5A9A2CAC" w14:textId="77777777" w:rsidR="000E7BCB" w:rsidRDefault="00A620E4">
      <w:proofErr w:type="spellStart"/>
      <w:r>
        <w:t>Për</w:t>
      </w:r>
      <w:proofErr w:type="spellEnd"/>
      <w:r>
        <w:t xml:space="preserve"> </w:t>
      </w:r>
      <w:proofErr w:type="spellStart"/>
      <w:r>
        <w:t>Bordin</w:t>
      </w:r>
      <w:proofErr w:type="spellEnd"/>
      <w:r>
        <w:t xml:space="preserve"> </w:t>
      </w:r>
      <w:proofErr w:type="spellStart"/>
      <w:r>
        <w:t>themeltar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FSRK,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rekomandon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emërojë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Bord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përkohshëm</w:t>
      </w:r>
      <w:proofErr w:type="spellEnd"/>
      <w:r>
        <w:t xml:space="preserve">, me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fillestar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FSRK. Ky </w:t>
      </w:r>
      <w:proofErr w:type="spellStart"/>
      <w:r>
        <w:t>mandat</w:t>
      </w:r>
      <w:proofErr w:type="spellEnd"/>
      <w:r>
        <w:t xml:space="preserve">, me </w:t>
      </w:r>
      <w:proofErr w:type="spellStart"/>
      <w:r>
        <w:t>zgjatje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vjet</w:t>
      </w:r>
      <w:proofErr w:type="spellEnd"/>
      <w:r>
        <w:t xml:space="preserve">,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pasohet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përzgjedhja</w:t>
      </w:r>
      <w:proofErr w:type="spellEnd"/>
      <w:r>
        <w:t xml:space="preserve"> e </w:t>
      </w:r>
      <w:proofErr w:type="spellStart"/>
      <w:r>
        <w:t>anëtarëve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procedurës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Sovran. </w:t>
      </w:r>
      <w:proofErr w:type="spellStart"/>
      <w:r>
        <w:t>Emërimi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fillestar</w:t>
      </w:r>
      <w:proofErr w:type="spellEnd"/>
      <w:r>
        <w:t xml:space="preserve"> me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përkohshëm</w:t>
      </w:r>
      <w:proofErr w:type="spellEnd"/>
      <w:r>
        <w:t xml:space="preserve"> do ta </w:t>
      </w:r>
      <w:proofErr w:type="spellStart"/>
      <w:r>
        <w:t>përshpejtonte</w:t>
      </w:r>
      <w:proofErr w:type="spellEnd"/>
      <w:r>
        <w:t xml:space="preserve"> </w:t>
      </w:r>
      <w:proofErr w:type="spellStart"/>
      <w:r>
        <w:t>dukshëm</w:t>
      </w:r>
      <w:proofErr w:type="spellEnd"/>
      <w:r>
        <w:t xml:space="preserve">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themelimit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nisjes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, </w:t>
      </w:r>
      <w:proofErr w:type="spellStart"/>
      <w:r>
        <w:t>meqë</w:t>
      </w:r>
      <w:proofErr w:type="spellEnd"/>
      <w:r>
        <w:t xml:space="preserve"> </w:t>
      </w:r>
      <w:proofErr w:type="spellStart"/>
      <w:r>
        <w:t>procedurat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përzgjedhjes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anëtarëve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kohë</w:t>
      </w:r>
      <w:proofErr w:type="spellEnd"/>
      <w:r>
        <w:t xml:space="preserve">. </w:t>
      </w:r>
      <w:proofErr w:type="spellStart"/>
      <w:r>
        <w:t>Megjithatë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përzgjedhjen</w:t>
      </w:r>
      <w:proofErr w:type="spellEnd"/>
      <w:r>
        <w:t xml:space="preserve"> e </w:t>
      </w:r>
      <w:proofErr w:type="spellStart"/>
      <w:r>
        <w:t>anëtarevë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përkohshëm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,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</w:t>
      </w:r>
      <w:proofErr w:type="spellStart"/>
      <w:r>
        <w:t>kualifikuese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Sovran.</w:t>
      </w:r>
    </w:p>
    <w:p w14:paraId="67B0B38D" w14:textId="77777777" w:rsidR="000E7BCB" w:rsidRDefault="000E7BCB"/>
    <w:p w14:paraId="00E505BD" w14:textId="77777777" w:rsidR="000E7BCB" w:rsidRDefault="000E7BCB"/>
    <w:p w14:paraId="6D19CB25" w14:textId="77777777" w:rsidR="000E7BCB" w:rsidRDefault="00A620E4" w:rsidP="004F76C8">
      <w:pPr>
        <w:pStyle w:val="Heading3"/>
        <w:numPr>
          <w:ilvl w:val="0"/>
          <w:numId w:val="0"/>
        </w:numPr>
      </w:pPr>
      <w:bookmarkStart w:id="32" w:name="_Toc93312395"/>
      <w:r>
        <w:t xml:space="preserve">4.3.3. </w:t>
      </w:r>
      <w:proofErr w:type="spellStart"/>
      <w:r>
        <w:t>Rekrutimi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Shefit</w:t>
      </w:r>
      <w:proofErr w:type="spellEnd"/>
      <w:r>
        <w:t xml:space="preserve"> </w:t>
      </w:r>
      <w:proofErr w:type="spellStart"/>
      <w:r>
        <w:t>Ekzekutiv</w:t>
      </w:r>
      <w:bookmarkEnd w:id="32"/>
      <w:proofErr w:type="spellEnd"/>
    </w:p>
    <w:p w14:paraId="11934015" w14:textId="77777777" w:rsidR="000E7BCB" w:rsidRDefault="000E7BCB"/>
    <w:p w14:paraId="590E2B63" w14:textId="77777777" w:rsidR="000E7BCB" w:rsidRDefault="00A620E4">
      <w:proofErr w:type="spellStart"/>
      <w:r>
        <w:t>Shefi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zyrtari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FSRK (shih </w:t>
      </w:r>
      <w:proofErr w:type="spellStart"/>
      <w:r>
        <w:t>Shtojcën</w:t>
      </w:r>
      <w:proofErr w:type="spellEnd"/>
      <w:r>
        <w:t xml:space="preserve">). </w:t>
      </w:r>
      <w:proofErr w:type="spellStart"/>
      <w:r>
        <w:t>Menjëherë</w:t>
      </w:r>
      <w:proofErr w:type="spellEnd"/>
      <w:r>
        <w:t xml:space="preserve"> pas </w:t>
      </w:r>
      <w:proofErr w:type="spellStart"/>
      <w:r>
        <w:t>themelimit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FSRK, </w:t>
      </w:r>
      <w:proofErr w:type="spellStart"/>
      <w:r>
        <w:t>Bordi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nisë</w:t>
      </w:r>
      <w:proofErr w:type="spellEnd"/>
      <w:r>
        <w:t xml:space="preserve"> </w:t>
      </w:r>
      <w:proofErr w:type="spellStart"/>
      <w:r>
        <w:t>procedurat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punësimin</w:t>
      </w:r>
      <w:proofErr w:type="spellEnd"/>
      <w:r>
        <w:t xml:space="preserve"> e </w:t>
      </w:r>
      <w:proofErr w:type="spellStart"/>
      <w:r>
        <w:t>Shefit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, me </w:t>
      </w:r>
      <w:proofErr w:type="spellStart"/>
      <w:r>
        <w:t>shpalljen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konkursi</w:t>
      </w:r>
      <w:proofErr w:type="spellEnd"/>
      <w:r>
        <w:t xml:space="preserve"> </w:t>
      </w:r>
      <w:proofErr w:type="spellStart"/>
      <w:r>
        <w:t>ndërkombëtar</w:t>
      </w:r>
      <w:proofErr w:type="spellEnd"/>
      <w:r>
        <w:t xml:space="preserve">. </w:t>
      </w:r>
      <w:proofErr w:type="spellStart"/>
      <w:r>
        <w:t>Rekomandohet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rekrutimi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Shefit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me </w:t>
      </w:r>
      <w:proofErr w:type="spellStart"/>
      <w:r>
        <w:t>ndihmën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konsulente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. </w:t>
      </w:r>
      <w:proofErr w:type="spellStart"/>
      <w:r>
        <w:t>Personi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rekrutuar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Shef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figurë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me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shumëvjeçare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fondet</w:t>
      </w:r>
      <w:proofErr w:type="spellEnd"/>
      <w:r>
        <w:t xml:space="preserve"> </w:t>
      </w:r>
      <w:proofErr w:type="spellStart"/>
      <w:r>
        <w:t>investive</w:t>
      </w:r>
      <w:proofErr w:type="spellEnd"/>
      <w:r>
        <w:t xml:space="preserve">,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ekzekutimin</w:t>
      </w:r>
      <w:proofErr w:type="spellEnd"/>
      <w:r>
        <w:t xml:space="preserve"> e </w:t>
      </w:r>
      <w:proofErr w:type="spellStart"/>
      <w:r>
        <w:t>strategjive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 xml:space="preserve">. </w:t>
      </w:r>
      <w:proofErr w:type="spellStart"/>
      <w:r>
        <w:t>Parametrat</w:t>
      </w:r>
      <w:proofErr w:type="spellEnd"/>
      <w:r>
        <w:t xml:space="preserve"> e </w:t>
      </w:r>
      <w:proofErr w:type="spellStart"/>
      <w:r>
        <w:t>tjerë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profilit</w:t>
      </w:r>
      <w:proofErr w:type="spellEnd"/>
      <w:r>
        <w:t xml:space="preserve"> </w:t>
      </w:r>
      <w:proofErr w:type="spellStart"/>
      <w:r>
        <w:t>arsimor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Shefit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me </w:t>
      </w:r>
      <w:proofErr w:type="spellStart"/>
      <w:r>
        <w:t>Qeverinë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konsulentin</w:t>
      </w:r>
      <w:proofErr w:type="spellEnd"/>
      <w:r>
        <w:t xml:space="preserve"> </w:t>
      </w:r>
      <w:proofErr w:type="spellStart"/>
      <w:r>
        <w:t>ndërkombëtar</w:t>
      </w:r>
      <w:proofErr w:type="spellEnd"/>
      <w:r>
        <w:t>.</w:t>
      </w:r>
    </w:p>
    <w:p w14:paraId="0FA352EE" w14:textId="77777777" w:rsidR="000E7BCB" w:rsidRDefault="000E7BCB"/>
    <w:p w14:paraId="07B11F66" w14:textId="77777777" w:rsidR="000E7BCB" w:rsidRDefault="00A620E4">
      <w:r>
        <w:t xml:space="preserve">Pas </w:t>
      </w:r>
      <w:proofErr w:type="spellStart"/>
      <w:r>
        <w:t>emërtimit</w:t>
      </w:r>
      <w:proofErr w:type="spellEnd"/>
      <w:r>
        <w:t xml:space="preserve">, </w:t>
      </w:r>
      <w:proofErr w:type="spellStart"/>
      <w:r>
        <w:t>Shefi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udhëheq</w:t>
      </w:r>
      <w:proofErr w:type="spellEnd"/>
      <w:r>
        <w:t xml:space="preserve">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kompletimit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zyrtarëve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</w:t>
      </w:r>
      <w:proofErr w:type="spellStart"/>
      <w:r>
        <w:t>udhëheqës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 (shih </w:t>
      </w:r>
      <w:proofErr w:type="spellStart"/>
      <w:r>
        <w:t>Shtojcën</w:t>
      </w:r>
      <w:proofErr w:type="spellEnd"/>
      <w:r>
        <w:t xml:space="preserve">)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pas </w:t>
      </w:r>
      <w:proofErr w:type="spellStart"/>
      <w:r>
        <w:t>nisjen</w:t>
      </w:r>
      <w:proofErr w:type="spellEnd"/>
      <w:r>
        <w:t xml:space="preserve"> e </w:t>
      </w:r>
      <w:proofErr w:type="spellStart"/>
      <w:r>
        <w:t>rekrutimit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pjesës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stafit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konkurseve</w:t>
      </w:r>
      <w:proofErr w:type="spellEnd"/>
      <w:r>
        <w:t xml:space="preserve"> </w:t>
      </w:r>
      <w:proofErr w:type="spellStart"/>
      <w:r>
        <w:t>konkurrente</w:t>
      </w:r>
      <w:proofErr w:type="spellEnd"/>
      <w:r>
        <w:t>.</w:t>
      </w:r>
    </w:p>
    <w:p w14:paraId="310E429B" w14:textId="77777777" w:rsidR="000E7BCB" w:rsidRDefault="000E7BCB"/>
    <w:p w14:paraId="0B1DF0C7" w14:textId="77777777" w:rsidR="000E7BCB" w:rsidRDefault="000E7BCB"/>
    <w:p w14:paraId="16AACC2D" w14:textId="77777777" w:rsidR="000E7BCB" w:rsidRDefault="00A620E4" w:rsidP="004F76C8">
      <w:pPr>
        <w:pStyle w:val="Heading3"/>
        <w:numPr>
          <w:ilvl w:val="0"/>
          <w:numId w:val="0"/>
        </w:numPr>
      </w:pPr>
      <w:bookmarkStart w:id="33" w:name="_Toc93312396"/>
      <w:r>
        <w:t xml:space="preserve">4.3.4. </w:t>
      </w:r>
      <w:proofErr w:type="spellStart"/>
      <w:r>
        <w:t>Modelet</w:t>
      </w:r>
      <w:proofErr w:type="spellEnd"/>
      <w:r>
        <w:t xml:space="preserve"> e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kapitalit</w:t>
      </w:r>
      <w:proofErr w:type="spellEnd"/>
      <w:r>
        <w:t xml:space="preserve"> </w:t>
      </w:r>
      <w:proofErr w:type="spellStart"/>
      <w:r>
        <w:t>startues</w:t>
      </w:r>
      <w:proofErr w:type="spellEnd"/>
      <w:r>
        <w:t xml:space="preserve"> </w:t>
      </w:r>
      <w:proofErr w:type="spellStart"/>
      <w:r>
        <w:t>likuid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bookmarkEnd w:id="33"/>
      <w:proofErr w:type="spellEnd"/>
    </w:p>
    <w:p w14:paraId="31679192" w14:textId="77777777" w:rsidR="000E7BCB" w:rsidRDefault="000E7BCB"/>
    <w:p w14:paraId="6D4862DB" w14:textId="77777777" w:rsidR="000E7BCB" w:rsidRDefault="00A620E4">
      <w:proofErr w:type="spellStart"/>
      <w:r>
        <w:t>Bashkë</w:t>
      </w:r>
      <w:proofErr w:type="spellEnd"/>
      <w:r>
        <w:t xml:space="preserve"> me </w:t>
      </w:r>
      <w:proofErr w:type="spellStart"/>
      <w:r>
        <w:t>asetet</w:t>
      </w:r>
      <w:proofErr w:type="spellEnd"/>
      <w:r>
        <w:t xml:space="preserve"> jo-</w:t>
      </w:r>
      <w:proofErr w:type="spellStart"/>
      <w:r>
        <w:t>likuide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do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trashëgojë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(NP-</w:t>
      </w:r>
      <w:proofErr w:type="spellStart"/>
      <w:r>
        <w:t>të</w:t>
      </w:r>
      <w:proofErr w:type="spellEnd"/>
      <w:r>
        <w:t xml:space="preserve">, </w:t>
      </w:r>
      <w:proofErr w:type="spellStart"/>
      <w:r>
        <w:t>asetet</w:t>
      </w:r>
      <w:proofErr w:type="spellEnd"/>
      <w:r>
        <w:t xml:space="preserve"> e AKP-</w:t>
      </w:r>
      <w:proofErr w:type="spellStart"/>
      <w:r>
        <w:t>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), FSRK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nevojë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kapital</w:t>
      </w:r>
      <w:proofErr w:type="spellEnd"/>
      <w:r>
        <w:t xml:space="preserve"> </w:t>
      </w:r>
      <w:proofErr w:type="spellStart"/>
      <w:r>
        <w:t>startues</w:t>
      </w:r>
      <w:proofErr w:type="spellEnd"/>
      <w:r>
        <w:t xml:space="preserve"> </w:t>
      </w:r>
      <w:proofErr w:type="spellStart"/>
      <w:r>
        <w:t>likuid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e </w:t>
      </w:r>
      <w:proofErr w:type="spellStart"/>
      <w:r>
        <w:t>shpenzimeve</w:t>
      </w:r>
      <w:proofErr w:type="spellEnd"/>
      <w:r>
        <w:t xml:space="preserve"> </w:t>
      </w:r>
      <w:proofErr w:type="spellStart"/>
      <w:r>
        <w:t>fillestare</w:t>
      </w:r>
      <w:proofErr w:type="spellEnd"/>
      <w:r>
        <w:t xml:space="preserve"> </w:t>
      </w:r>
      <w:proofErr w:type="spellStart"/>
      <w:r>
        <w:t>operacionale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FSRK, por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investimeve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FSRK do ta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dispozicion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dita e </w:t>
      </w:r>
      <w:proofErr w:type="spellStart"/>
      <w:r>
        <w:t>parë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t’ju</w:t>
      </w:r>
      <w:proofErr w:type="spellEnd"/>
      <w:r>
        <w:t xml:space="preserve"> </w:t>
      </w:r>
      <w:proofErr w:type="spellStart"/>
      <w:r>
        <w:t>shmangur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implikimeve</w:t>
      </w:r>
      <w:proofErr w:type="spellEnd"/>
      <w:r>
        <w:t xml:space="preserve"> </w:t>
      </w:r>
      <w:proofErr w:type="spellStart"/>
      <w:r>
        <w:t>buxhetore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Qeverinë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financimin</w:t>
      </w:r>
      <w:proofErr w:type="spellEnd"/>
      <w:r>
        <w:t xml:space="preserve"> e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kapitali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kapital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burojë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operativ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rialokimet</w:t>
      </w:r>
      <w:proofErr w:type="spellEnd"/>
      <w:r>
        <w:t xml:space="preserve"> </w:t>
      </w:r>
      <w:proofErr w:type="spellStart"/>
      <w:r>
        <w:t>buxhetore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kornizës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shpenzimeve</w:t>
      </w:r>
      <w:proofErr w:type="spellEnd"/>
      <w:r>
        <w:t xml:space="preserve">,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ka </w:t>
      </w:r>
      <w:proofErr w:type="spellStart"/>
      <w:r>
        <w:t>shqyrtuar</w:t>
      </w:r>
      <w:proofErr w:type="spellEnd"/>
      <w:r>
        <w:t xml:space="preserve">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sigurimin</w:t>
      </w:r>
      <w:proofErr w:type="spellEnd"/>
      <w:r>
        <w:t xml:space="preserve"> e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financimi</w:t>
      </w:r>
      <w:proofErr w:type="spellEnd"/>
      <w:r>
        <w:t>.</w:t>
      </w:r>
    </w:p>
    <w:p w14:paraId="0D055D14" w14:textId="77777777" w:rsidR="000E7BCB" w:rsidRDefault="000E7BCB"/>
    <w:p w14:paraId="21D082F0" w14:textId="77777777" w:rsidR="000E7BCB" w:rsidRDefault="00A620E4"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para </w:t>
      </w:r>
      <w:proofErr w:type="spellStart"/>
      <w:r>
        <w:t>sheh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, </w:t>
      </w:r>
      <w:proofErr w:type="spellStart"/>
      <w:r>
        <w:t>qoftë</w:t>
      </w:r>
      <w:proofErr w:type="spellEnd"/>
      <w:r>
        <w:t xml:space="preserve"> </w:t>
      </w:r>
      <w:proofErr w:type="spellStart"/>
      <w:r>
        <w:t>veçanërisht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kombinim</w:t>
      </w:r>
      <w:proofErr w:type="spellEnd"/>
      <w:r>
        <w:t xml:space="preserve">,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ofrojnë</w:t>
      </w:r>
      <w:proofErr w:type="spellEnd"/>
      <w:r>
        <w:t xml:space="preserve"> </w:t>
      </w:r>
      <w:proofErr w:type="spellStart"/>
      <w:r>
        <w:t>financimin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kapitalin</w:t>
      </w:r>
      <w:proofErr w:type="spellEnd"/>
      <w:r>
        <w:t xml:space="preserve"> </w:t>
      </w:r>
      <w:proofErr w:type="spellStart"/>
      <w:r>
        <w:t>startues</w:t>
      </w:r>
      <w:proofErr w:type="spellEnd"/>
      <w:r>
        <w:t xml:space="preserve"> </w:t>
      </w:r>
      <w:proofErr w:type="spellStart"/>
      <w:r>
        <w:t>likuid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FSRK. </w:t>
      </w:r>
      <w:proofErr w:type="spellStart"/>
      <w:r>
        <w:t>Mundësia</w:t>
      </w:r>
      <w:proofErr w:type="spellEnd"/>
      <w:r>
        <w:t xml:space="preserve"> e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parasheh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nxjerr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kredi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jashtme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bazën</w:t>
      </w:r>
      <w:proofErr w:type="spellEnd"/>
      <w:r>
        <w:t xml:space="preserve"> e </w:t>
      </w:r>
      <w:proofErr w:type="spellStart"/>
      <w:r>
        <w:t>fondeve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mirëbesim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ruhen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AKP. </w:t>
      </w:r>
      <w:proofErr w:type="spellStart"/>
      <w:r>
        <w:t>Mundësia</w:t>
      </w:r>
      <w:proofErr w:type="spellEnd"/>
      <w:r>
        <w:t xml:space="preserve"> e </w:t>
      </w:r>
      <w:proofErr w:type="spellStart"/>
      <w:r>
        <w:t>dytë</w:t>
      </w:r>
      <w:proofErr w:type="spellEnd"/>
      <w:r>
        <w:t xml:space="preserve"> </w:t>
      </w:r>
      <w:proofErr w:type="spellStart"/>
      <w:r>
        <w:t>parasheh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shesë</w:t>
      </w:r>
      <w:proofErr w:type="spellEnd"/>
      <w:r>
        <w:t xml:space="preserve"> bono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thesarit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dedikuara</w:t>
      </w:r>
      <w:proofErr w:type="spellEnd"/>
      <w:r>
        <w:t xml:space="preserve"> </w:t>
      </w:r>
      <w:proofErr w:type="spellStart"/>
      <w:r>
        <w:t>veçanërisht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financimin</w:t>
      </w:r>
      <w:proofErr w:type="spellEnd"/>
      <w:r>
        <w:t xml:space="preserve"> e FSRK. </w:t>
      </w:r>
      <w:proofErr w:type="spellStart"/>
      <w:r>
        <w:t>Mundësia</w:t>
      </w:r>
      <w:proofErr w:type="spellEnd"/>
      <w:r>
        <w:t xml:space="preserve"> e </w:t>
      </w:r>
      <w:proofErr w:type="spellStart"/>
      <w:r>
        <w:t>tretë</w:t>
      </w:r>
      <w:proofErr w:type="spellEnd"/>
      <w:r>
        <w:t xml:space="preserve"> </w:t>
      </w:r>
      <w:proofErr w:type="spellStart"/>
      <w:r>
        <w:t>parasheh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, </w:t>
      </w:r>
      <w:proofErr w:type="spellStart"/>
      <w:r>
        <w:t>përkatësisht</w:t>
      </w:r>
      <w:proofErr w:type="spellEnd"/>
      <w:r>
        <w:t xml:space="preserve"> </w:t>
      </w:r>
      <w:proofErr w:type="spellStart"/>
      <w:r>
        <w:t>Ministria</w:t>
      </w:r>
      <w:proofErr w:type="spellEnd"/>
      <w:r>
        <w:t xml:space="preserve"> e </w:t>
      </w:r>
      <w:proofErr w:type="spellStart"/>
      <w:r>
        <w:t>Financave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krijojë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instrument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njohur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“Kapital </w:t>
      </w:r>
      <w:proofErr w:type="spellStart"/>
      <w:r>
        <w:t>Investues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Grantuar</w:t>
      </w:r>
      <w:proofErr w:type="spellEnd"/>
      <w:r>
        <w:t xml:space="preserve">” me </w:t>
      </w:r>
      <w:proofErr w:type="spellStart"/>
      <w:r>
        <w:t>kthim</w:t>
      </w:r>
      <w:proofErr w:type="spellEnd"/>
      <w:r>
        <w:t xml:space="preserve"> nominal </w:t>
      </w:r>
      <w:proofErr w:type="spellStart"/>
      <w:r>
        <w:t>prej</w:t>
      </w:r>
      <w:proofErr w:type="spellEnd"/>
      <w:r>
        <w:t xml:space="preserve"> 0,001% </w:t>
      </w:r>
      <w:proofErr w:type="spellStart"/>
      <w:r>
        <w:t>në</w:t>
      </w:r>
      <w:proofErr w:type="spellEnd"/>
      <w:r>
        <w:t xml:space="preserve"> vit. </w:t>
      </w:r>
      <w:proofErr w:type="spellStart"/>
      <w:r>
        <w:t>Qeveria</w:t>
      </w:r>
      <w:proofErr w:type="spellEnd"/>
      <w:r>
        <w:t xml:space="preserve"> do </w:t>
      </w:r>
      <w:proofErr w:type="spellStart"/>
      <w:r>
        <w:t>t’ia</w:t>
      </w:r>
      <w:proofErr w:type="spellEnd"/>
      <w:r>
        <w:t xml:space="preserve"> </w:t>
      </w:r>
      <w:proofErr w:type="spellStart"/>
      <w:r>
        <w:t>shiste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instrument </w:t>
      </w:r>
      <w:proofErr w:type="spellStart"/>
      <w:r>
        <w:t>Trustit</w:t>
      </w:r>
      <w:proofErr w:type="spellEnd"/>
      <w:r>
        <w:t xml:space="preserve"> </w:t>
      </w:r>
      <w:proofErr w:type="spellStart"/>
      <w:r>
        <w:t>Pensional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, duke e </w:t>
      </w:r>
      <w:proofErr w:type="spellStart"/>
      <w:r>
        <w:t>përdorë</w:t>
      </w:r>
      <w:proofErr w:type="spellEnd"/>
      <w:r>
        <w:t xml:space="preserve"> </w:t>
      </w:r>
      <w:proofErr w:type="spellStart"/>
      <w:r>
        <w:t>shumën</w:t>
      </w:r>
      <w:proofErr w:type="spellEnd"/>
      <w:r>
        <w:t xml:space="preserve"> e </w:t>
      </w:r>
      <w:proofErr w:type="spellStart"/>
      <w:r>
        <w:t>përfituar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financimin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. </w:t>
      </w:r>
      <w:proofErr w:type="spellStart"/>
      <w:r>
        <w:t>Detajet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opsionet</w:t>
      </w:r>
      <w:proofErr w:type="spellEnd"/>
      <w:r>
        <w:t xml:space="preserve"> </w:t>
      </w:r>
      <w:proofErr w:type="spellStart"/>
      <w:r>
        <w:t>jepen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.</w:t>
      </w:r>
    </w:p>
    <w:p w14:paraId="573BED47" w14:textId="77777777" w:rsidR="000E7BCB" w:rsidRDefault="000E7BCB"/>
    <w:p w14:paraId="310AB08F" w14:textId="77777777" w:rsidR="000E7BCB" w:rsidRDefault="000E7BCB"/>
    <w:p w14:paraId="022429C8" w14:textId="77777777" w:rsidR="000E7BCB" w:rsidRDefault="00A620E4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proofErr w:type="spellStart"/>
      <w:r>
        <w:rPr>
          <w:i/>
          <w:color w:val="000000"/>
        </w:rPr>
        <w:t>Kredi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mbi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bazën</w:t>
      </w:r>
      <w:proofErr w:type="spellEnd"/>
      <w:r>
        <w:rPr>
          <w:i/>
          <w:color w:val="000000"/>
        </w:rPr>
        <w:t xml:space="preserve"> e </w:t>
      </w:r>
      <w:proofErr w:type="spellStart"/>
      <w:r>
        <w:rPr>
          <w:i/>
          <w:color w:val="000000"/>
        </w:rPr>
        <w:t>fondeve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mirëbesim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AKP-</w:t>
      </w:r>
      <w:proofErr w:type="spellStart"/>
      <w:r>
        <w:rPr>
          <w:i/>
          <w:color w:val="000000"/>
        </w:rPr>
        <w:t>së</w:t>
      </w:r>
      <w:proofErr w:type="spellEnd"/>
    </w:p>
    <w:p w14:paraId="40638A3D" w14:textId="77777777" w:rsidR="000E7BCB" w:rsidRDefault="000E7BCB"/>
    <w:p w14:paraId="45BB22EC" w14:textId="77777777" w:rsidR="000E7BCB" w:rsidRDefault="00A620E4">
      <w:proofErr w:type="spellStart"/>
      <w:r>
        <w:t>Sipas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variante</w:t>
      </w:r>
      <w:proofErr w:type="spellEnd"/>
      <w:r>
        <w:t xml:space="preserve">, </w:t>
      </w:r>
      <w:proofErr w:type="spellStart"/>
      <w:r>
        <w:t>Qeveria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kërkonte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kredi</w:t>
      </w:r>
      <w:proofErr w:type="spellEnd"/>
      <w:r>
        <w:t xml:space="preserve"> me </w:t>
      </w:r>
      <w:proofErr w:type="spellStart"/>
      <w:r>
        <w:t>kamatë</w:t>
      </w:r>
      <w:proofErr w:type="spellEnd"/>
      <w:r>
        <w:t xml:space="preserve"> </w:t>
      </w:r>
      <w:proofErr w:type="spellStart"/>
      <w:r>
        <w:t>konkurrente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. Si </w:t>
      </w:r>
      <w:proofErr w:type="spellStart"/>
      <w:r>
        <w:t>garancë</w:t>
      </w:r>
      <w:proofErr w:type="spellEnd"/>
      <w:r>
        <w:t xml:space="preserve"> e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kredie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përdoreshin</w:t>
      </w:r>
      <w:proofErr w:type="spellEnd"/>
      <w:r>
        <w:t xml:space="preserve"> </w:t>
      </w:r>
      <w:proofErr w:type="spellStart"/>
      <w:r>
        <w:t>fondet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mirëbesim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ruhen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AKP. </w:t>
      </w:r>
      <w:proofErr w:type="spellStart"/>
      <w:r>
        <w:t>Shuma</w:t>
      </w:r>
      <w:proofErr w:type="spellEnd"/>
      <w:r>
        <w:t xml:space="preserve"> </w:t>
      </w:r>
      <w:proofErr w:type="spellStart"/>
      <w:r>
        <w:t>aktuale</w:t>
      </w:r>
      <w:proofErr w:type="spellEnd"/>
      <w:r>
        <w:t xml:space="preserve"> e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(</w:t>
      </w:r>
      <w:proofErr w:type="spellStart"/>
      <w:r>
        <w:t>nëntor</w:t>
      </w:r>
      <w:proofErr w:type="spellEnd"/>
      <w:r>
        <w:t xml:space="preserve"> 2021) </w:t>
      </w:r>
      <w:proofErr w:type="spellStart"/>
      <w:r>
        <w:t>është</w:t>
      </w:r>
      <w:proofErr w:type="spellEnd"/>
      <w:r>
        <w:t xml:space="preserve"> 182.6 mil. €.</w:t>
      </w:r>
    </w:p>
    <w:p w14:paraId="3737A3A2" w14:textId="77777777" w:rsidR="000E7BCB" w:rsidRDefault="000E7BCB"/>
    <w:p w14:paraId="6C8D46E7" w14:textId="77777777" w:rsidR="000E7BCB" w:rsidRDefault="00A620E4">
      <w:proofErr w:type="spellStart"/>
      <w:r>
        <w:rPr>
          <w:i/>
        </w:rPr>
        <w:t>Arsyetimi</w:t>
      </w:r>
      <w:proofErr w:type="spellEnd"/>
      <w:r>
        <w:t>:</w:t>
      </w:r>
    </w:p>
    <w:p w14:paraId="02E60FF2" w14:textId="77777777" w:rsidR="000E7BCB" w:rsidRDefault="000E7BCB"/>
    <w:p w14:paraId="4EFE6C7D" w14:textId="77777777" w:rsidR="000E7BCB" w:rsidRDefault="00A620E4">
      <w:r>
        <w:t xml:space="preserve">AKP </w:t>
      </w:r>
      <w:proofErr w:type="spellStart"/>
      <w:r>
        <w:t>i</w:t>
      </w:r>
      <w:proofErr w:type="spellEnd"/>
      <w:r>
        <w:t xml:space="preserve"> </w:t>
      </w:r>
      <w:proofErr w:type="spellStart"/>
      <w:r>
        <w:t>ruan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hyrat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shitja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(</w:t>
      </w:r>
      <w:proofErr w:type="spellStart"/>
      <w:r>
        <w:t>privatizimi</w:t>
      </w:r>
      <w:proofErr w:type="spellEnd"/>
      <w:r>
        <w:t xml:space="preserve">)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mirëbesim</w:t>
      </w:r>
      <w:proofErr w:type="spellEnd"/>
      <w:r>
        <w:t xml:space="preserve">.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AKP-</w:t>
      </w:r>
      <w:proofErr w:type="spellStart"/>
      <w:r>
        <w:t>në</w:t>
      </w:r>
      <w:proofErr w:type="spellEnd"/>
      <w:r>
        <w:t xml:space="preserve">,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ka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fonde</w:t>
      </w:r>
      <w:proofErr w:type="spellEnd"/>
      <w:r>
        <w:t xml:space="preserve"> </w:t>
      </w:r>
      <w:proofErr w:type="spellStart"/>
      <w:r>
        <w:t>përderisa</w:t>
      </w:r>
      <w:proofErr w:type="spellEnd"/>
      <w:r>
        <w:t xml:space="preserve"> </w:t>
      </w:r>
      <w:proofErr w:type="spellStart"/>
      <w:r>
        <w:t>konsumohet</w:t>
      </w:r>
      <w:proofErr w:type="spellEnd"/>
      <w:r>
        <w:t xml:space="preserve"> e </w:t>
      </w:r>
      <w:proofErr w:type="spellStart"/>
      <w:r>
        <w:t>drejta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ankesa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palët</w:t>
      </w:r>
      <w:proofErr w:type="spellEnd"/>
      <w:r>
        <w:t xml:space="preserve"> </w:t>
      </w:r>
      <w:proofErr w:type="spellStart"/>
      <w:r>
        <w:t>kreditore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Dhomës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Posaçme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Gjykatës</w:t>
      </w:r>
      <w:proofErr w:type="spellEnd"/>
      <w:r>
        <w:t xml:space="preserve"> Supreme.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pasi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shqyrtuar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gjykuar</w:t>
      </w:r>
      <w:proofErr w:type="spellEnd"/>
      <w:r>
        <w:t xml:space="preserve"> </w:t>
      </w:r>
      <w:proofErr w:type="spellStart"/>
      <w:r>
        <w:t>parashtresat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pasi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fond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kompenzuar</w:t>
      </w:r>
      <w:proofErr w:type="spellEnd"/>
      <w:r>
        <w:t xml:space="preserve"> </w:t>
      </w:r>
      <w:proofErr w:type="spellStart"/>
      <w:r>
        <w:t>kreditorët</w:t>
      </w:r>
      <w:proofErr w:type="spellEnd"/>
      <w:r>
        <w:t xml:space="preserve">, </w:t>
      </w:r>
      <w:proofErr w:type="spellStart"/>
      <w:r>
        <w:t>pjesa</w:t>
      </w:r>
      <w:proofErr w:type="spellEnd"/>
      <w:r>
        <w:t xml:space="preserve"> e </w:t>
      </w:r>
      <w:proofErr w:type="spellStart"/>
      <w:r>
        <w:t>mbetur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kalon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>.</w:t>
      </w:r>
    </w:p>
    <w:p w14:paraId="1194CC62" w14:textId="77777777" w:rsidR="000E7BCB" w:rsidRDefault="000E7BCB"/>
    <w:p w14:paraId="14719556" w14:textId="77777777" w:rsidR="000E7BCB" w:rsidRDefault="00A620E4">
      <w:proofErr w:type="spellStart"/>
      <w:r>
        <w:t>Kjo</w:t>
      </w:r>
      <w:proofErr w:type="spellEnd"/>
      <w:r>
        <w:t xml:space="preserve"> </w:t>
      </w:r>
      <w:proofErr w:type="spellStart"/>
      <w:r>
        <w:t>situatë</w:t>
      </w:r>
      <w:proofErr w:type="spellEnd"/>
      <w:r>
        <w:t xml:space="preserve"> e </w:t>
      </w:r>
      <w:proofErr w:type="spellStart"/>
      <w:r>
        <w:t>bën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paprekshëm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fond </w:t>
      </w:r>
      <w:proofErr w:type="spellStart"/>
      <w:r>
        <w:t>përderisa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përfundon</w:t>
      </w:r>
      <w:proofErr w:type="spellEnd"/>
      <w:r>
        <w:t xml:space="preserve"> </w:t>
      </w:r>
      <w:proofErr w:type="spellStart"/>
      <w:r>
        <w:t>shqyrtimi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ankesave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Dhoma</w:t>
      </w:r>
      <w:proofErr w:type="spellEnd"/>
      <w:r>
        <w:t xml:space="preserve"> e </w:t>
      </w:r>
      <w:proofErr w:type="spellStart"/>
      <w:r>
        <w:t>Posaçme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secilen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privatizuar</w:t>
      </w:r>
      <w:proofErr w:type="spellEnd"/>
      <w:r>
        <w:t xml:space="preserve">. </w:t>
      </w:r>
      <w:proofErr w:type="spellStart"/>
      <w:r>
        <w:t>Mirëpo</w:t>
      </w:r>
      <w:proofErr w:type="spellEnd"/>
      <w:r>
        <w:t xml:space="preserve">, duke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se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ardhme</w:t>
      </w:r>
      <w:proofErr w:type="spellEnd"/>
      <w:r>
        <w:t xml:space="preserve"> </w:t>
      </w:r>
      <w:proofErr w:type="spellStart"/>
      <w:r>
        <w:t>afatshkurtër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afatmesme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fonde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pjesa</w:t>
      </w:r>
      <w:proofErr w:type="spellEnd"/>
      <w:r>
        <w:t xml:space="preserve"> </w:t>
      </w:r>
      <w:proofErr w:type="spellStart"/>
      <w:r>
        <w:t>dërrmuese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, do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kalojë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,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përdorë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hipotekë</w:t>
      </w:r>
      <w:proofErr w:type="spellEnd"/>
      <w:r>
        <w:t xml:space="preserve"> </w:t>
      </w:r>
      <w:proofErr w:type="spellStart"/>
      <w:r>
        <w:t>kreditore</w:t>
      </w:r>
      <w:proofErr w:type="spellEnd"/>
      <w:r>
        <w:t xml:space="preserve">, duke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kredi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vlerë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50% (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shumës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gjendet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e </w:t>
      </w:r>
      <w:proofErr w:type="spellStart"/>
      <w:r>
        <w:t>mirëbesimit</w:t>
      </w:r>
      <w:proofErr w:type="spellEnd"/>
      <w:r>
        <w:t xml:space="preserve">. </w:t>
      </w:r>
      <w:proofErr w:type="spellStart"/>
      <w:r>
        <w:t>Kjo</w:t>
      </w:r>
      <w:proofErr w:type="spellEnd"/>
      <w:r>
        <w:t xml:space="preserve"> </w:t>
      </w:r>
      <w:proofErr w:type="spellStart"/>
      <w:r>
        <w:t>kredi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merrej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</w:t>
      </w:r>
      <w:proofErr w:type="spellEnd"/>
      <w:r>
        <w:t xml:space="preserve"> </w:t>
      </w:r>
      <w:proofErr w:type="spellStart"/>
      <w:r>
        <w:t>konkurrente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periudhë</w:t>
      </w:r>
      <w:proofErr w:type="spellEnd"/>
      <w:r>
        <w:t xml:space="preserve"> </w:t>
      </w:r>
      <w:proofErr w:type="spellStart"/>
      <w:r>
        <w:t>minimun</w:t>
      </w:r>
      <w:proofErr w:type="spellEnd"/>
      <w:r>
        <w:t xml:space="preserve"> </w:t>
      </w:r>
      <w:proofErr w:type="spellStart"/>
      <w:r>
        <w:t>dhjetë</w:t>
      </w:r>
      <w:proofErr w:type="spellEnd"/>
      <w:r>
        <w:t xml:space="preserve"> </w:t>
      </w:r>
      <w:proofErr w:type="spellStart"/>
      <w:r>
        <w:t>vjeçare</w:t>
      </w:r>
      <w:proofErr w:type="spellEnd"/>
      <w:r>
        <w:t xml:space="preserve">. </w:t>
      </w:r>
      <w:proofErr w:type="spellStart"/>
      <w:r>
        <w:t>Shuma</w:t>
      </w:r>
      <w:proofErr w:type="spellEnd"/>
      <w:r>
        <w:t xml:space="preserve"> e </w:t>
      </w:r>
      <w:proofErr w:type="spellStart"/>
      <w:r>
        <w:t>kredituar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dedikohej</w:t>
      </w:r>
      <w:proofErr w:type="spellEnd"/>
      <w:r>
        <w:t xml:space="preserve"> </w:t>
      </w:r>
      <w:proofErr w:type="spellStart"/>
      <w:r>
        <w:t>ekskluzivisht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financimin</w:t>
      </w:r>
      <w:proofErr w:type="spellEnd"/>
      <w:r>
        <w:t xml:space="preserve"> e </w:t>
      </w:r>
      <w:proofErr w:type="spellStart"/>
      <w:r>
        <w:t>kapitalit</w:t>
      </w:r>
      <w:proofErr w:type="spellEnd"/>
      <w:r>
        <w:t xml:space="preserve"> </w:t>
      </w:r>
      <w:proofErr w:type="spellStart"/>
      <w:r>
        <w:t>startues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çka</w:t>
      </w:r>
      <w:proofErr w:type="spellEnd"/>
      <w:r>
        <w:t xml:space="preserve"> </w:t>
      </w:r>
      <w:proofErr w:type="spellStart"/>
      <w:r>
        <w:t>Ministria</w:t>
      </w:r>
      <w:proofErr w:type="spellEnd"/>
      <w:r>
        <w:t xml:space="preserve"> e </w:t>
      </w:r>
      <w:proofErr w:type="spellStart"/>
      <w:r>
        <w:t>Financave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autorizohej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tranzaksion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tillë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veçantë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Ligji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Sovran.</w:t>
      </w:r>
    </w:p>
    <w:p w14:paraId="647AAD87" w14:textId="77777777" w:rsidR="000E7BCB" w:rsidRDefault="000E7BCB"/>
    <w:p w14:paraId="515FF11A" w14:textId="77777777" w:rsidR="000E7BCB" w:rsidRDefault="000E7BCB"/>
    <w:p w14:paraId="68B16336" w14:textId="77777777" w:rsidR="000E7BCB" w:rsidRDefault="00A620E4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Bono 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thesarit</w:t>
      </w:r>
      <w:proofErr w:type="spellEnd"/>
    </w:p>
    <w:p w14:paraId="7837F69D" w14:textId="77777777" w:rsidR="000E7BCB" w:rsidRDefault="000E7BCB"/>
    <w:p w14:paraId="15FCE9BC" w14:textId="77777777" w:rsidR="000E7BCB" w:rsidRDefault="00A620E4">
      <w:proofErr w:type="spellStart"/>
      <w:r>
        <w:lastRenderedPageBreak/>
        <w:t>Qeveria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nxjerr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ankand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</w:t>
      </w:r>
      <w:proofErr w:type="spellEnd"/>
      <w:r>
        <w:t xml:space="preserve"> </w:t>
      </w:r>
      <w:proofErr w:type="spellStart"/>
      <w:r>
        <w:t>bonosh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dedikuara</w:t>
      </w:r>
      <w:proofErr w:type="spellEnd"/>
      <w:r>
        <w:t xml:space="preserve"> </w:t>
      </w:r>
      <w:proofErr w:type="spellStart"/>
      <w:r>
        <w:t>veçanërisht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financimin</w:t>
      </w:r>
      <w:proofErr w:type="spellEnd"/>
      <w:r>
        <w:t xml:space="preserve"> e FSRK. </w:t>
      </w:r>
      <w:proofErr w:type="spellStart"/>
      <w:r>
        <w:t>Këto</w:t>
      </w:r>
      <w:proofErr w:type="spellEnd"/>
      <w:r>
        <w:t xml:space="preserve"> bono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bëheshin</w:t>
      </w:r>
      <w:proofErr w:type="spellEnd"/>
      <w:r>
        <w:t xml:space="preserve"> me </w:t>
      </w:r>
      <w:proofErr w:type="spellStart"/>
      <w:r>
        <w:t>maturitet</w:t>
      </w:r>
      <w:proofErr w:type="spellEnd"/>
      <w:r>
        <w:t xml:space="preserve"> </w:t>
      </w:r>
      <w:proofErr w:type="spellStart"/>
      <w:r>
        <w:t>afatgjatë</w:t>
      </w:r>
      <w:proofErr w:type="spellEnd"/>
      <w:r>
        <w:t xml:space="preserve"> (5 </w:t>
      </w:r>
      <w:proofErr w:type="spellStart"/>
      <w:r>
        <w:t>ose</w:t>
      </w:r>
      <w:proofErr w:type="spellEnd"/>
      <w:r>
        <w:t xml:space="preserve"> 10 </w:t>
      </w:r>
      <w:proofErr w:type="spellStart"/>
      <w:r>
        <w:t>vite</w:t>
      </w:r>
      <w:proofErr w:type="spellEnd"/>
      <w:r>
        <w:t xml:space="preserve">)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kamatë</w:t>
      </w:r>
      <w:proofErr w:type="spellEnd"/>
      <w:r>
        <w:t xml:space="preserve"> </w:t>
      </w:r>
      <w:proofErr w:type="spellStart"/>
      <w:r>
        <w:t>konkurrente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shitjen</w:t>
      </w:r>
      <w:proofErr w:type="spellEnd"/>
      <w:r>
        <w:t xml:space="preserve"> e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bonove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lidhte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marrëveshje</w:t>
      </w:r>
      <w:proofErr w:type="spellEnd"/>
      <w:r>
        <w:t xml:space="preserve"> </w:t>
      </w:r>
      <w:proofErr w:type="spellStart"/>
      <w:r>
        <w:t>memorandimi</w:t>
      </w:r>
      <w:proofErr w:type="spellEnd"/>
      <w:r>
        <w:t xml:space="preserve"> me </w:t>
      </w:r>
      <w:proofErr w:type="spellStart"/>
      <w:r>
        <w:t>bankat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vendit</w:t>
      </w:r>
      <w:proofErr w:type="spellEnd"/>
      <w:r>
        <w:t>.</w:t>
      </w:r>
    </w:p>
    <w:p w14:paraId="229F9F26" w14:textId="77777777" w:rsidR="000E7BCB" w:rsidRDefault="000E7BCB"/>
    <w:p w14:paraId="60A94414" w14:textId="77777777" w:rsidR="000E7BCB" w:rsidRDefault="00A620E4">
      <w:proofErr w:type="spellStart"/>
      <w:r>
        <w:t>Arsyetimi</w:t>
      </w:r>
      <w:proofErr w:type="spellEnd"/>
      <w:r>
        <w:t>:</w:t>
      </w:r>
    </w:p>
    <w:p w14:paraId="58A593D9" w14:textId="77777777" w:rsidR="000E7BCB" w:rsidRDefault="000E7BCB"/>
    <w:p w14:paraId="6325CAD7" w14:textId="77777777" w:rsidR="000E7BCB" w:rsidRDefault="00A620E4">
      <w:proofErr w:type="spellStart"/>
      <w:r>
        <w:t>Shitja</w:t>
      </w:r>
      <w:proofErr w:type="spellEnd"/>
      <w:r>
        <w:t xml:space="preserve"> e </w:t>
      </w:r>
      <w:proofErr w:type="spellStart"/>
      <w:r>
        <w:t>bonove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me risk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ulët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kushte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volitshme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nxjerrja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kredie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jashtme</w:t>
      </w:r>
      <w:proofErr w:type="spellEnd"/>
      <w:r>
        <w:t xml:space="preserve">. </w:t>
      </w:r>
      <w:proofErr w:type="spellStart"/>
      <w:r>
        <w:t>Mirëpo</w:t>
      </w:r>
      <w:proofErr w:type="spellEnd"/>
      <w:r>
        <w:t xml:space="preserve">, </w:t>
      </w:r>
      <w:proofErr w:type="spellStart"/>
      <w:r>
        <w:t>meqenëse</w:t>
      </w:r>
      <w:proofErr w:type="spellEnd"/>
      <w:r>
        <w:t xml:space="preserve"> se </w:t>
      </w:r>
      <w:proofErr w:type="spellStart"/>
      <w:r>
        <w:t>kapaciteti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tërhequr</w:t>
      </w:r>
      <w:proofErr w:type="spellEnd"/>
      <w:r>
        <w:t xml:space="preserve"> </w:t>
      </w:r>
      <w:proofErr w:type="spellStart"/>
      <w:r>
        <w:t>fonde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bonove</w:t>
      </w:r>
      <w:proofErr w:type="spellEnd"/>
      <w:r>
        <w:t xml:space="preserve"> </w:t>
      </w:r>
      <w:proofErr w:type="spellStart"/>
      <w:r>
        <w:t>varet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disponueshmëria</w:t>
      </w:r>
      <w:proofErr w:type="spellEnd"/>
      <w:r>
        <w:t xml:space="preserve"> e </w:t>
      </w:r>
      <w:proofErr w:type="spellStart"/>
      <w:r>
        <w:t>investitorëve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blerë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, </w:t>
      </w:r>
      <w:proofErr w:type="spellStart"/>
      <w:r>
        <w:t>shuma</w:t>
      </w:r>
      <w:proofErr w:type="spellEnd"/>
      <w:r>
        <w:t xml:space="preserve"> e </w:t>
      </w:r>
      <w:proofErr w:type="spellStart"/>
      <w:r>
        <w:t>tërhequr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e </w:t>
      </w:r>
      <w:proofErr w:type="spellStart"/>
      <w:r>
        <w:t>vogël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nxjerrja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kredie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bazën</w:t>
      </w:r>
      <w:proofErr w:type="spellEnd"/>
      <w:r>
        <w:t xml:space="preserve"> e </w:t>
      </w:r>
      <w:proofErr w:type="spellStart"/>
      <w:r>
        <w:t>fondeve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mirëbesim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AKP-</w:t>
      </w:r>
      <w:proofErr w:type="spellStart"/>
      <w:r>
        <w:t>së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anën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, </w:t>
      </w:r>
      <w:proofErr w:type="spellStart"/>
      <w:r>
        <w:t>kjo</w:t>
      </w:r>
      <w:proofErr w:type="spellEnd"/>
      <w:r>
        <w:t xml:space="preserve"> </w:t>
      </w:r>
      <w:proofErr w:type="spellStart"/>
      <w:r>
        <w:t>formë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nxitjen</w:t>
      </w:r>
      <w:proofErr w:type="spellEnd"/>
      <w:r>
        <w:t xml:space="preserve"> e </w:t>
      </w:r>
      <w:proofErr w:type="spellStart"/>
      <w:r>
        <w:t>kapitalit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brendshëm</w:t>
      </w:r>
      <w:proofErr w:type="spellEnd"/>
      <w:r>
        <w:t xml:space="preserve">, </w:t>
      </w:r>
      <w:proofErr w:type="spellStart"/>
      <w:r>
        <w:t>sidomos</w:t>
      </w:r>
      <w:proofErr w:type="spellEnd"/>
      <w:r>
        <w:t xml:space="preserve">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mbajtur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bankat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investohen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qëllime</w:t>
      </w:r>
      <w:proofErr w:type="spellEnd"/>
      <w:r>
        <w:t xml:space="preserve"> </w:t>
      </w:r>
      <w:proofErr w:type="spellStart"/>
      <w:r>
        <w:t>zhvillimore</w:t>
      </w:r>
      <w:proofErr w:type="spellEnd"/>
      <w:r>
        <w:t xml:space="preserve"> </w:t>
      </w:r>
      <w:proofErr w:type="spellStart"/>
      <w:r>
        <w:t>ekonomike</w:t>
      </w:r>
      <w:proofErr w:type="spellEnd"/>
      <w:r>
        <w:t xml:space="preserve">. </w:t>
      </w:r>
      <w:proofErr w:type="spellStart"/>
      <w:r>
        <w:t>Kjo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realizohej</w:t>
      </w:r>
      <w:proofErr w:type="spellEnd"/>
      <w:r>
        <w:t xml:space="preserve"> </w:t>
      </w:r>
      <w:proofErr w:type="spellStart"/>
      <w:r>
        <w:t>sidomos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para </w:t>
      </w:r>
      <w:proofErr w:type="spellStart"/>
      <w:r>
        <w:t>nxjerrjes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bonove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ankand</w:t>
      </w:r>
      <w:proofErr w:type="spellEnd"/>
      <w:r>
        <w:t xml:space="preserve">,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përmbyll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memorandum </w:t>
      </w:r>
      <w:proofErr w:type="spellStart"/>
      <w:r>
        <w:t>bashkëpunimi</w:t>
      </w:r>
      <w:proofErr w:type="spellEnd"/>
      <w:r>
        <w:t xml:space="preserve"> me </w:t>
      </w:r>
      <w:proofErr w:type="spellStart"/>
      <w:r>
        <w:t>bankat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me </w:t>
      </w:r>
      <w:proofErr w:type="spellStart"/>
      <w:r>
        <w:t>zotimin</w:t>
      </w:r>
      <w:proofErr w:type="spellEnd"/>
      <w:r>
        <w:t xml:space="preserve"> se </w:t>
      </w:r>
      <w:proofErr w:type="spellStart"/>
      <w:r>
        <w:t>fondet</w:t>
      </w:r>
      <w:proofErr w:type="spellEnd"/>
      <w:r>
        <w:t xml:space="preserve"> e </w:t>
      </w:r>
      <w:proofErr w:type="spellStart"/>
      <w:r>
        <w:t>ngritura</w:t>
      </w:r>
      <w:proofErr w:type="spellEnd"/>
      <w:r>
        <w:t xml:space="preserve"> </w:t>
      </w:r>
      <w:proofErr w:type="spellStart"/>
      <w:r>
        <w:t>dedikohen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FSRK </w:t>
      </w:r>
      <w:proofErr w:type="spellStart"/>
      <w:r>
        <w:t>dhe</w:t>
      </w:r>
      <w:proofErr w:type="spellEnd"/>
      <w:r>
        <w:t xml:space="preserve"> se </w:t>
      </w:r>
      <w:proofErr w:type="spellStart"/>
      <w:r>
        <w:t>investimi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zgjerimit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tregut</w:t>
      </w:r>
      <w:proofErr w:type="spellEnd"/>
      <w:r>
        <w:t xml:space="preserve"> </w:t>
      </w:r>
      <w:proofErr w:type="spellStart"/>
      <w:r>
        <w:t>bankar</w:t>
      </w:r>
      <w:proofErr w:type="spellEnd"/>
      <w:r>
        <w:t xml:space="preserve"> (</w:t>
      </w:r>
      <w:proofErr w:type="spellStart"/>
      <w:r>
        <w:t>sidomos</w:t>
      </w:r>
      <w:proofErr w:type="spellEnd"/>
      <w:r>
        <w:t xml:space="preserve"> </w:t>
      </w:r>
      <w:proofErr w:type="spellStart"/>
      <w:r>
        <w:t>atij</w:t>
      </w:r>
      <w:proofErr w:type="spellEnd"/>
      <w:r>
        <w:t xml:space="preserve"> </w:t>
      </w:r>
      <w:proofErr w:type="spellStart"/>
      <w:r>
        <w:t>komercial</w:t>
      </w:r>
      <w:proofErr w:type="spellEnd"/>
      <w:r>
        <w:t xml:space="preserve">)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. </w:t>
      </w:r>
      <w:proofErr w:type="spellStart"/>
      <w:r>
        <w:t>Memorandumi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përfshijë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marrëveshjen</w:t>
      </w:r>
      <w:proofErr w:type="spellEnd"/>
      <w:r>
        <w:t xml:space="preserve"> midis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bankave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shfrytëzimin</w:t>
      </w:r>
      <w:proofErr w:type="spellEnd"/>
      <w:r>
        <w:t xml:space="preserve"> e </w:t>
      </w:r>
      <w:proofErr w:type="spellStart"/>
      <w:r>
        <w:t>bankave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FSRK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depozitat</w:t>
      </w:r>
      <w:proofErr w:type="spellEnd"/>
      <w:r>
        <w:t xml:space="preserve"> e </w:t>
      </w:r>
      <w:proofErr w:type="spellStart"/>
      <w:r>
        <w:t>veta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pagesave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bankare</w:t>
      </w:r>
      <w:proofErr w:type="spellEnd"/>
      <w:r>
        <w:t xml:space="preserve">. </w:t>
      </w:r>
    </w:p>
    <w:p w14:paraId="3BE3803C" w14:textId="77777777" w:rsidR="000E7BCB" w:rsidRDefault="000E7BCB"/>
    <w:p w14:paraId="21BB4761" w14:textId="77777777" w:rsidR="000E7BCB" w:rsidRDefault="000E7BCB"/>
    <w:p w14:paraId="28AE15F4" w14:textId="77777777" w:rsidR="000E7BCB" w:rsidRDefault="00A620E4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proofErr w:type="spellStart"/>
      <w:r>
        <w:rPr>
          <w:i/>
          <w:color w:val="000000"/>
        </w:rPr>
        <w:t>Kapitali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Investues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Garantuar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dhe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Trusti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Pensional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Kosovës</w:t>
      </w:r>
      <w:proofErr w:type="spellEnd"/>
    </w:p>
    <w:p w14:paraId="398CF095" w14:textId="77777777" w:rsidR="000E7BCB" w:rsidRDefault="000E7BCB"/>
    <w:p w14:paraId="6EF64DC8" w14:textId="77777777" w:rsidR="000E7BCB" w:rsidRDefault="00A620E4">
      <w:proofErr w:type="spellStart"/>
      <w:r>
        <w:t>Për</w:t>
      </w:r>
      <w:proofErr w:type="spellEnd"/>
      <w:r>
        <w:t xml:space="preserve"> </w:t>
      </w:r>
      <w:proofErr w:type="spellStart"/>
      <w:r>
        <w:t>financimin</w:t>
      </w:r>
      <w:proofErr w:type="spellEnd"/>
      <w:r>
        <w:t xml:space="preserve"> e FSRK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krijojë</w:t>
      </w:r>
      <w:proofErr w:type="spellEnd"/>
      <w:r>
        <w:t xml:space="preserve"> me </w:t>
      </w:r>
      <w:proofErr w:type="spellStart"/>
      <w:r>
        <w:t>ligj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instrument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quajtur</w:t>
      </w:r>
      <w:proofErr w:type="spellEnd"/>
      <w:r>
        <w:t xml:space="preserve"> “</w:t>
      </w:r>
      <w:proofErr w:type="spellStart"/>
      <w:r>
        <w:t>Kapitali</w:t>
      </w:r>
      <w:proofErr w:type="spellEnd"/>
      <w:r>
        <w:t xml:space="preserve"> </w:t>
      </w:r>
      <w:proofErr w:type="spellStart"/>
      <w:r>
        <w:t>Investues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Garantuar</w:t>
      </w:r>
      <w:proofErr w:type="spellEnd"/>
      <w:r>
        <w:t xml:space="preserve">”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deponohet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Bankën</w:t>
      </w:r>
      <w:proofErr w:type="spellEnd"/>
      <w:r>
        <w:t xml:space="preserve"> </w:t>
      </w:r>
      <w:proofErr w:type="spellStart"/>
      <w:r>
        <w:t>Qendrore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. Ky instrument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krijohet</w:t>
      </w:r>
      <w:proofErr w:type="spellEnd"/>
      <w:r>
        <w:t xml:space="preserve"> me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ta </w:t>
      </w:r>
      <w:proofErr w:type="spellStart"/>
      <w:r>
        <w:t>orientojë</w:t>
      </w:r>
      <w:proofErr w:type="spellEnd"/>
      <w:r>
        <w:t xml:space="preserve"> </w:t>
      </w:r>
      <w:proofErr w:type="spellStart"/>
      <w:r>
        <w:t>Trustin</w:t>
      </w:r>
      <w:proofErr w:type="spellEnd"/>
      <w:r>
        <w:t xml:space="preserve"> </w:t>
      </w:r>
      <w:proofErr w:type="spellStart"/>
      <w:r>
        <w:t>Pensional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rezervë</w:t>
      </w:r>
      <w:proofErr w:type="spellEnd"/>
      <w:r>
        <w:t xml:space="preserve"> (</w:t>
      </w:r>
      <w:proofErr w:type="spellStart"/>
      <w:r>
        <w:t>pjesës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painvestuar</w:t>
      </w:r>
      <w:proofErr w:type="spellEnd"/>
      <w:r>
        <w:t xml:space="preserve">) ta </w:t>
      </w:r>
      <w:proofErr w:type="spellStart"/>
      <w:r>
        <w:t>investojë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instrument,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normë</w:t>
      </w:r>
      <w:proofErr w:type="spellEnd"/>
      <w:r>
        <w:t xml:space="preserve"> </w:t>
      </w:r>
      <w:proofErr w:type="spellStart"/>
      <w:r>
        <w:t>interesi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0,001%. </w:t>
      </w:r>
    </w:p>
    <w:p w14:paraId="7A12E0B2" w14:textId="77777777" w:rsidR="000E7BCB" w:rsidRDefault="000E7BCB"/>
    <w:p w14:paraId="4143145C" w14:textId="77777777" w:rsidR="000E7BCB" w:rsidRDefault="00A620E4">
      <w:proofErr w:type="spellStart"/>
      <w:r>
        <w:rPr>
          <w:i/>
        </w:rPr>
        <w:t>Arsyetimi</w:t>
      </w:r>
      <w:proofErr w:type="spellEnd"/>
      <w:r>
        <w:t>:</w:t>
      </w:r>
    </w:p>
    <w:p w14:paraId="4570E576" w14:textId="77777777" w:rsidR="000E7BCB" w:rsidRDefault="000E7BCB"/>
    <w:p w14:paraId="171FCA1E" w14:textId="77777777" w:rsidR="000E7BCB" w:rsidRDefault="00A620E4">
      <w:proofErr w:type="spellStart"/>
      <w:r>
        <w:t>Krijimi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tillë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e </w:t>
      </w:r>
      <w:proofErr w:type="spellStart"/>
      <w:r>
        <w:t>bën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mundur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mobilizojë</w:t>
      </w:r>
      <w:proofErr w:type="spellEnd"/>
      <w:r>
        <w:t xml:space="preserve">,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garance</w:t>
      </w:r>
      <w:proofErr w:type="spellEnd"/>
      <w:r>
        <w:t xml:space="preserve"> </w:t>
      </w:r>
      <w:proofErr w:type="spellStart"/>
      <w:r>
        <w:t>qeveritare</w:t>
      </w:r>
      <w:proofErr w:type="spellEnd"/>
      <w:r>
        <w:t xml:space="preserve"> (</w:t>
      </w:r>
      <w:proofErr w:type="spellStart"/>
      <w:r>
        <w:t>pra</w:t>
      </w:r>
      <w:proofErr w:type="spellEnd"/>
      <w:r>
        <w:t xml:space="preserve">, me risk minimal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depozitorët</w:t>
      </w:r>
      <w:proofErr w:type="spellEnd"/>
      <w:r>
        <w:t xml:space="preserve"> e </w:t>
      </w:r>
      <w:proofErr w:type="spellStart"/>
      <w:r>
        <w:t>Trustit</w:t>
      </w:r>
      <w:proofErr w:type="spellEnd"/>
      <w:r>
        <w:t xml:space="preserve">), </w:t>
      </w:r>
      <w:proofErr w:type="spellStart"/>
      <w:r>
        <w:t>fondet</w:t>
      </w:r>
      <w:proofErr w:type="spellEnd"/>
      <w:r>
        <w:t xml:space="preserve"> </w:t>
      </w:r>
      <w:proofErr w:type="spellStart"/>
      <w:r>
        <w:t>rezervë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Trustit</w:t>
      </w:r>
      <w:proofErr w:type="spellEnd"/>
      <w:r>
        <w:t xml:space="preserve"> </w:t>
      </w:r>
      <w:proofErr w:type="spellStart"/>
      <w:r>
        <w:t>Pensional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Sovran.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veprim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niste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fondet</w:t>
      </w:r>
      <w:proofErr w:type="spellEnd"/>
      <w:r>
        <w:t xml:space="preserve"> e </w:t>
      </w:r>
      <w:proofErr w:type="spellStart"/>
      <w:r>
        <w:t>Trustit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orientojë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investime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vendit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funksion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, </w:t>
      </w:r>
      <w:proofErr w:type="spellStart"/>
      <w:r>
        <w:t>gjë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ka </w:t>
      </w:r>
      <w:proofErr w:type="spellStart"/>
      <w:r>
        <w:t>ndodhur</w:t>
      </w:r>
      <w:proofErr w:type="spellEnd"/>
      <w:r>
        <w:t xml:space="preserve"> (</w:t>
      </w:r>
      <w:proofErr w:type="spellStart"/>
      <w:r>
        <w:t>meqë</w:t>
      </w:r>
      <w:proofErr w:type="spellEnd"/>
      <w:r>
        <w:t xml:space="preserve"> </w:t>
      </w:r>
      <w:proofErr w:type="spellStart"/>
      <w:r>
        <w:t>pjesa</w:t>
      </w:r>
      <w:proofErr w:type="spellEnd"/>
      <w:r>
        <w:t xml:space="preserve"> </w:t>
      </w:r>
      <w:proofErr w:type="spellStart"/>
      <w:r>
        <w:t>dërrmuese</w:t>
      </w:r>
      <w:proofErr w:type="spellEnd"/>
      <w:r>
        <w:t xml:space="preserve"> e </w:t>
      </w:r>
      <w:proofErr w:type="spellStart"/>
      <w:r>
        <w:t>fondeve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Trustit</w:t>
      </w:r>
      <w:proofErr w:type="spellEnd"/>
      <w:r>
        <w:t xml:space="preserve"> </w:t>
      </w:r>
      <w:proofErr w:type="spellStart"/>
      <w:r>
        <w:t>investohen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tregje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jashtme</w:t>
      </w:r>
      <w:proofErr w:type="spellEnd"/>
      <w:r>
        <w:t>).</w:t>
      </w:r>
    </w:p>
    <w:p w14:paraId="3999AA1B" w14:textId="77777777" w:rsidR="000E7BCB" w:rsidRDefault="000E7BCB"/>
    <w:p w14:paraId="571F930B" w14:textId="77777777" w:rsidR="000E7BCB" w:rsidRDefault="00A620E4">
      <w:proofErr w:type="spellStart"/>
      <w:r>
        <w:lastRenderedPageBreak/>
        <w:t>Kjo</w:t>
      </w:r>
      <w:proofErr w:type="spellEnd"/>
      <w:r>
        <w:t xml:space="preserve"> </w:t>
      </w:r>
      <w:proofErr w:type="spellStart"/>
      <w:r>
        <w:t>metodë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siguronte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ta </w:t>
      </w:r>
      <w:proofErr w:type="spellStart"/>
      <w:r>
        <w:t>ngrisë</w:t>
      </w:r>
      <w:proofErr w:type="spellEnd"/>
      <w:r>
        <w:t xml:space="preserve"> </w:t>
      </w:r>
      <w:proofErr w:type="spellStart"/>
      <w:r>
        <w:t>kapitalin</w:t>
      </w:r>
      <w:proofErr w:type="spellEnd"/>
      <w:r>
        <w:t xml:space="preserve"> </w:t>
      </w:r>
      <w:proofErr w:type="spellStart"/>
      <w:r>
        <w:t>fillestar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me </w:t>
      </w:r>
      <w:proofErr w:type="spellStart"/>
      <w:r>
        <w:t>kushte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volitshme</w:t>
      </w:r>
      <w:proofErr w:type="spellEnd"/>
      <w:r>
        <w:t xml:space="preserve">, </w:t>
      </w:r>
      <w:proofErr w:type="spellStart"/>
      <w:r>
        <w:t>meqë</w:t>
      </w:r>
      <w:proofErr w:type="spellEnd"/>
      <w:r>
        <w:t xml:space="preserve"> </w:t>
      </w:r>
      <w:proofErr w:type="spellStart"/>
      <w:r>
        <w:t>kostoja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Qeverinë</w:t>
      </w:r>
      <w:proofErr w:type="spellEnd"/>
      <w:r>
        <w:t xml:space="preserve"> e </w:t>
      </w:r>
      <w:proofErr w:type="spellStart"/>
      <w:r>
        <w:t>instrumentit</w:t>
      </w:r>
      <w:proofErr w:type="spellEnd"/>
      <w:r>
        <w:t xml:space="preserve"> “</w:t>
      </w:r>
      <w:proofErr w:type="spellStart"/>
      <w:r>
        <w:t>Kapitali</w:t>
      </w:r>
      <w:proofErr w:type="spellEnd"/>
      <w:r>
        <w:t xml:space="preserve"> </w:t>
      </w:r>
      <w:proofErr w:type="spellStart"/>
      <w:r>
        <w:t>Investues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Garantuar</w:t>
      </w:r>
      <w:proofErr w:type="spellEnd"/>
      <w:r>
        <w:t xml:space="preserve">”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e </w:t>
      </w:r>
      <w:proofErr w:type="spellStart"/>
      <w:r>
        <w:t>vogël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e </w:t>
      </w:r>
      <w:proofErr w:type="spellStart"/>
      <w:r>
        <w:t>vogël</w:t>
      </w:r>
      <w:proofErr w:type="spellEnd"/>
      <w:r>
        <w:t xml:space="preserve"> se </w:t>
      </w:r>
      <w:proofErr w:type="spellStart"/>
      <w:r>
        <w:t>çfarëdo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nxirrte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treg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hapur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kredive</w:t>
      </w:r>
      <w:proofErr w:type="spellEnd"/>
      <w:r>
        <w:t>.</w:t>
      </w:r>
    </w:p>
    <w:p w14:paraId="7158E08A" w14:textId="77777777" w:rsidR="000E7BCB" w:rsidRDefault="000E7BCB"/>
    <w:p w14:paraId="79AAFC46" w14:textId="77777777" w:rsidR="000E7BCB" w:rsidRDefault="00A620E4"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hequr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brengë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riskut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investuara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Trusti</w:t>
      </w:r>
      <w:proofErr w:type="spellEnd"/>
      <w:r>
        <w:t xml:space="preserve">, </w:t>
      </w:r>
      <w:proofErr w:type="spellStart"/>
      <w:r>
        <w:t>Ministria</w:t>
      </w:r>
      <w:proofErr w:type="spellEnd"/>
      <w:r>
        <w:t xml:space="preserve"> e </w:t>
      </w:r>
      <w:proofErr w:type="spellStart"/>
      <w:r>
        <w:t>Financave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përdorë</w:t>
      </w:r>
      <w:proofErr w:type="spellEnd"/>
      <w:r>
        <w:t xml:space="preserve"> (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memorandumi</w:t>
      </w:r>
      <w:proofErr w:type="spellEnd"/>
      <w:r>
        <w:t xml:space="preserve"> me </w:t>
      </w:r>
      <w:proofErr w:type="spellStart"/>
      <w:r>
        <w:t>Trustin</w:t>
      </w:r>
      <w:proofErr w:type="spellEnd"/>
      <w:r>
        <w:t xml:space="preserve">) </w:t>
      </w:r>
      <w:proofErr w:type="spellStart"/>
      <w:r>
        <w:t>paratë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e </w:t>
      </w:r>
      <w:proofErr w:type="spellStart"/>
      <w:r>
        <w:t>mirëbesimit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AKP-</w:t>
      </w:r>
      <w:proofErr w:type="spellStart"/>
      <w:r>
        <w:t>së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garancë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mbulimin</w:t>
      </w:r>
      <w:proofErr w:type="spellEnd"/>
      <w:r>
        <w:t xml:space="preserve"> e </w:t>
      </w:r>
      <w:proofErr w:type="spellStart"/>
      <w:r>
        <w:t>shumës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investimi</w:t>
      </w:r>
      <w:proofErr w:type="spellEnd"/>
      <w:r>
        <w:t xml:space="preserve">, </w:t>
      </w:r>
      <w:proofErr w:type="spellStart"/>
      <w:r>
        <w:t>bashkë</w:t>
      </w:r>
      <w:proofErr w:type="spellEnd"/>
      <w:r>
        <w:t xml:space="preserve"> me </w:t>
      </w:r>
      <w:proofErr w:type="spellStart"/>
      <w:r>
        <w:t>kamatën</w:t>
      </w:r>
      <w:proofErr w:type="spellEnd"/>
      <w:r>
        <w:t xml:space="preserve"> e </w:t>
      </w:r>
      <w:proofErr w:type="spellStart"/>
      <w:r>
        <w:t>garantuar</w:t>
      </w:r>
      <w:proofErr w:type="spellEnd"/>
      <w:r>
        <w:t xml:space="preserve">. </w:t>
      </w:r>
      <w:proofErr w:type="spellStart"/>
      <w:r>
        <w:t>Kjo</w:t>
      </w:r>
      <w:proofErr w:type="spellEnd"/>
      <w:r>
        <w:t xml:space="preserve"> </w:t>
      </w:r>
      <w:proofErr w:type="spellStart"/>
      <w:r>
        <w:t>metodë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përbentë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kombinim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variantës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financimit</w:t>
      </w:r>
      <w:proofErr w:type="spellEnd"/>
      <w:r>
        <w:t xml:space="preserve">, por </w:t>
      </w:r>
      <w:proofErr w:type="spellStart"/>
      <w:r>
        <w:t>ku</w:t>
      </w:r>
      <w:proofErr w:type="spellEnd"/>
      <w:r>
        <w:t xml:space="preserve"> </w:t>
      </w:r>
      <w:proofErr w:type="spellStart"/>
      <w:r>
        <w:t>investitor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bankë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e </w:t>
      </w:r>
      <w:proofErr w:type="spellStart"/>
      <w:r>
        <w:t>jashtme</w:t>
      </w:r>
      <w:proofErr w:type="spellEnd"/>
      <w:r>
        <w:t xml:space="preserve"> por </w:t>
      </w:r>
      <w:proofErr w:type="spellStart"/>
      <w:r>
        <w:t>Trusti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mekanizmi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përkatës</w:t>
      </w:r>
      <w:proofErr w:type="spellEnd"/>
      <w:r>
        <w:t xml:space="preserve">. </w:t>
      </w:r>
    </w:p>
    <w:p w14:paraId="2F9D0A3C" w14:textId="77777777" w:rsidR="000E7BCB" w:rsidRDefault="000E7BCB"/>
    <w:p w14:paraId="369E5C91" w14:textId="77777777" w:rsidR="000E7BCB" w:rsidRDefault="000E7BCB"/>
    <w:p w14:paraId="7451E610" w14:textId="77777777" w:rsidR="000E7BCB" w:rsidRDefault="00A620E4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proofErr w:type="spellStart"/>
      <w:r>
        <w:rPr>
          <w:i/>
          <w:color w:val="000000"/>
        </w:rPr>
        <w:t>Kombinimi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metodave</w:t>
      </w:r>
      <w:proofErr w:type="spellEnd"/>
    </w:p>
    <w:p w14:paraId="04F3E748" w14:textId="77777777" w:rsidR="000E7BCB" w:rsidRDefault="000E7BCB"/>
    <w:p w14:paraId="1BFC6530" w14:textId="77777777" w:rsidR="000E7BCB" w:rsidRDefault="00A620E4"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rekomandon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shqyrtojë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t’ia</w:t>
      </w:r>
      <w:proofErr w:type="spellEnd"/>
      <w:r>
        <w:t xml:space="preserve"> </w:t>
      </w:r>
      <w:proofErr w:type="spellStart"/>
      <w:r>
        <w:t>lejë</w:t>
      </w:r>
      <w:proofErr w:type="spellEnd"/>
      <w:r>
        <w:t xml:space="preserve"> </w:t>
      </w:r>
      <w:proofErr w:type="spellStart"/>
      <w:r>
        <w:t>vetës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hapur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opcionet</w:t>
      </w:r>
      <w:proofErr w:type="spellEnd"/>
      <w:r>
        <w:t xml:space="preserve"> e </w:t>
      </w:r>
      <w:proofErr w:type="spellStart"/>
      <w:r>
        <w:t>mësipërme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financimin</w:t>
      </w:r>
      <w:proofErr w:type="spellEnd"/>
      <w:r>
        <w:t xml:space="preserve"> e FSRK.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fjalë</w:t>
      </w:r>
      <w:proofErr w:type="spellEnd"/>
      <w:r>
        <w:t xml:space="preserve">,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rekomandon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Ligji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parashikojë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variantat</w:t>
      </w:r>
      <w:proofErr w:type="spellEnd"/>
      <w:r>
        <w:t xml:space="preserve"> e </w:t>
      </w:r>
      <w:proofErr w:type="spellStart"/>
      <w:r>
        <w:t>mësipërme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opcione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ndiqen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, por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përfshira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sipër</w:t>
      </w:r>
      <w:proofErr w:type="spellEnd"/>
      <w:r>
        <w:t xml:space="preserve">, </w:t>
      </w:r>
      <w:proofErr w:type="spellStart"/>
      <w:r>
        <w:t>pavarësisht</w:t>
      </w:r>
      <w:proofErr w:type="spellEnd"/>
      <w:r>
        <w:t xml:space="preserve"> </w:t>
      </w:r>
      <w:proofErr w:type="spellStart"/>
      <w:r>
        <w:t>metodës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kombinimit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metodave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ndiqen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përfundim</w:t>
      </w:r>
      <w:proofErr w:type="spellEnd"/>
      <w:r>
        <w:t xml:space="preserve">. </w:t>
      </w:r>
      <w:proofErr w:type="spellStart"/>
      <w:r>
        <w:t>Kjo</w:t>
      </w:r>
      <w:proofErr w:type="spellEnd"/>
      <w:r>
        <w:t xml:space="preserve"> e </w:t>
      </w:r>
      <w:proofErr w:type="spellStart"/>
      <w:r>
        <w:t>fundit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përcaktohet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ofron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opsion</w:t>
      </w:r>
      <w:proofErr w:type="spellEnd"/>
      <w:r>
        <w:t xml:space="preserve">. </w:t>
      </w:r>
      <w:proofErr w:type="spellStart"/>
      <w:r>
        <w:t>Ministria</w:t>
      </w:r>
      <w:proofErr w:type="spellEnd"/>
      <w:r>
        <w:t xml:space="preserve"> e </w:t>
      </w:r>
      <w:proofErr w:type="spellStart"/>
      <w:r>
        <w:t>Financave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duhej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përpiqej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gjejë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zbatojë</w:t>
      </w:r>
      <w:proofErr w:type="spellEnd"/>
      <w:r>
        <w:t xml:space="preserve"> format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volitshme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mundura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kostoja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(</w:t>
      </w:r>
      <w:proofErr w:type="spellStart"/>
      <w:r>
        <w:t>principali</w:t>
      </w:r>
      <w:proofErr w:type="spellEnd"/>
      <w:r>
        <w:t xml:space="preserve"> plus </w:t>
      </w:r>
      <w:proofErr w:type="spellStart"/>
      <w:r>
        <w:t>kostoja</w:t>
      </w:r>
      <w:proofErr w:type="spellEnd"/>
      <w:r>
        <w:t xml:space="preserve"> e </w:t>
      </w:r>
      <w:proofErr w:type="spellStart"/>
      <w:r>
        <w:t>interesit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kostot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financimit</w:t>
      </w:r>
      <w:proofErr w:type="spellEnd"/>
      <w:r>
        <w:t xml:space="preserve">)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minimizohen</w:t>
      </w:r>
      <w:proofErr w:type="spellEnd"/>
      <w:r>
        <w:t xml:space="preserve"> </w:t>
      </w:r>
      <w:proofErr w:type="spellStart"/>
      <w:r>
        <w:t>pasojat</w:t>
      </w:r>
      <w:proofErr w:type="spellEnd"/>
      <w:r>
        <w:t xml:space="preserve"> </w:t>
      </w:r>
      <w:proofErr w:type="spellStart"/>
      <w:r>
        <w:t>buxhetore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Qeverinë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themelimit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.  </w:t>
      </w:r>
    </w:p>
    <w:p w14:paraId="3CC2A679" w14:textId="77777777" w:rsidR="000E7BCB" w:rsidRDefault="000E7BCB"/>
    <w:p w14:paraId="1279471A" w14:textId="77777777" w:rsidR="000E7BCB" w:rsidRDefault="000E7BCB"/>
    <w:p w14:paraId="51A96D70" w14:textId="77777777" w:rsidR="000E7BCB" w:rsidRDefault="00A620E4" w:rsidP="004F76C8">
      <w:pPr>
        <w:pStyle w:val="Heading3"/>
        <w:numPr>
          <w:ilvl w:val="0"/>
          <w:numId w:val="0"/>
        </w:numPr>
      </w:pPr>
      <w:bookmarkStart w:id="34" w:name="_Toc93312397"/>
      <w:r>
        <w:t xml:space="preserve">4.3.5.  </w:t>
      </w:r>
      <w:proofErr w:type="spellStart"/>
      <w:r>
        <w:t>Rekomandimi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shumën</w:t>
      </w:r>
      <w:proofErr w:type="spellEnd"/>
      <w:r>
        <w:t xml:space="preserve"> e </w:t>
      </w:r>
      <w:proofErr w:type="spellStart"/>
      <w:r>
        <w:t>kapitalit</w:t>
      </w:r>
      <w:proofErr w:type="spellEnd"/>
      <w:r>
        <w:t xml:space="preserve"> </w:t>
      </w:r>
      <w:proofErr w:type="spellStart"/>
      <w:r>
        <w:t>fillestar</w:t>
      </w:r>
      <w:bookmarkEnd w:id="34"/>
      <w:proofErr w:type="spellEnd"/>
    </w:p>
    <w:p w14:paraId="6BD835FB" w14:textId="77777777" w:rsidR="000E7BCB" w:rsidRDefault="000E7BCB"/>
    <w:p w14:paraId="609BC549" w14:textId="77777777" w:rsidR="000E7BCB" w:rsidRDefault="00A620E4"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e ka </w:t>
      </w:r>
      <w:proofErr w:type="spellStart"/>
      <w:r>
        <w:t>parasysh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kapitalin</w:t>
      </w:r>
      <w:proofErr w:type="spellEnd"/>
      <w:r>
        <w:t xml:space="preserve"> </w:t>
      </w:r>
      <w:proofErr w:type="spellStart"/>
      <w:r>
        <w:t>fillestar</w:t>
      </w:r>
      <w:proofErr w:type="spellEnd"/>
      <w:r>
        <w:t xml:space="preserve"> </w:t>
      </w:r>
      <w:proofErr w:type="spellStart"/>
      <w:r>
        <w:t>likuid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por </w:t>
      </w:r>
      <w:proofErr w:type="spellStart"/>
      <w:r>
        <w:t>rekomandon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ndërtimin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solide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dita e </w:t>
      </w:r>
      <w:proofErr w:type="spellStart"/>
      <w:r>
        <w:t>parë</w:t>
      </w:r>
      <w:proofErr w:type="spellEnd"/>
      <w:r>
        <w:t xml:space="preserve">, </w:t>
      </w:r>
      <w:proofErr w:type="spellStart"/>
      <w:r>
        <w:t>kjo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e </w:t>
      </w:r>
      <w:proofErr w:type="spellStart"/>
      <w:r>
        <w:t>vogël</w:t>
      </w:r>
      <w:proofErr w:type="spellEnd"/>
      <w:r>
        <w:t xml:space="preserve"> se 20 </w:t>
      </w:r>
      <w:proofErr w:type="spellStart"/>
      <w:r>
        <w:t>milionë</w:t>
      </w:r>
      <w:proofErr w:type="spellEnd"/>
      <w:r>
        <w:t xml:space="preserve"> €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mundësisht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e </w:t>
      </w:r>
      <w:proofErr w:type="spellStart"/>
      <w:r>
        <w:t>lartë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parashihen</w:t>
      </w:r>
      <w:proofErr w:type="spellEnd"/>
      <w:r>
        <w:t xml:space="preserve"> minimum 10 </w:t>
      </w:r>
      <w:proofErr w:type="spellStart"/>
      <w:r>
        <w:t>milionë</w:t>
      </w:r>
      <w:proofErr w:type="spellEnd"/>
      <w:r>
        <w:t xml:space="preserve"> €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shpenzimet</w:t>
      </w:r>
      <w:proofErr w:type="spellEnd"/>
      <w:r>
        <w:t xml:space="preserve"> </w:t>
      </w:r>
      <w:proofErr w:type="spellStart"/>
      <w:r>
        <w:t>fillestare</w:t>
      </w:r>
      <w:proofErr w:type="spellEnd"/>
      <w:r>
        <w:t xml:space="preserve"> </w:t>
      </w:r>
      <w:proofErr w:type="spellStart"/>
      <w:r>
        <w:t>operacionale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vitet</w:t>
      </w:r>
      <w:proofErr w:type="spellEnd"/>
      <w:r>
        <w:t xml:space="preserve"> e para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shpenzimet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bartë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shërbimet</w:t>
      </w:r>
      <w:proofErr w:type="spellEnd"/>
      <w:r>
        <w:t xml:space="preserve"> e </w:t>
      </w:r>
      <w:proofErr w:type="spellStart"/>
      <w:r>
        <w:t>kontraktuara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</w:t>
      </w:r>
      <w:proofErr w:type="spellStart"/>
      <w:r>
        <w:t>drejtpërdrejtë</w:t>
      </w:r>
      <w:proofErr w:type="spellEnd"/>
      <w:r>
        <w:t xml:space="preserve"> me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themelimit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 (</w:t>
      </w:r>
      <w:proofErr w:type="spellStart"/>
      <w:r>
        <w:t>përfshi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konsulencës</w:t>
      </w:r>
      <w:proofErr w:type="spellEnd"/>
      <w:r>
        <w:t xml:space="preserve"> </w:t>
      </w:r>
      <w:proofErr w:type="spellStart"/>
      <w:r>
        <w:t>juridike</w:t>
      </w:r>
      <w:proofErr w:type="spellEnd"/>
      <w:r>
        <w:t xml:space="preserve">, </w:t>
      </w:r>
      <w:proofErr w:type="spellStart"/>
      <w:r>
        <w:t>biznesore</w:t>
      </w:r>
      <w:proofErr w:type="spellEnd"/>
      <w:r>
        <w:t xml:space="preserve"> </w:t>
      </w:r>
      <w:proofErr w:type="spellStart"/>
      <w:r>
        <w:t>etj</w:t>
      </w:r>
      <w:proofErr w:type="spellEnd"/>
      <w:r>
        <w:t xml:space="preserve">.).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minimum do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dedikohej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fillestar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investimeve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pjesa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shpronësim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AKP (shih </w:t>
      </w:r>
      <w:proofErr w:type="spellStart"/>
      <w:r>
        <w:t>sekcionin</w:t>
      </w:r>
      <w:proofErr w:type="spellEnd"/>
      <w:r>
        <w:t xml:space="preserve"> 4.3.6.2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).</w:t>
      </w:r>
    </w:p>
    <w:p w14:paraId="52EC58F6" w14:textId="77777777" w:rsidR="004F76C8" w:rsidRDefault="004F76C8"/>
    <w:p w14:paraId="501DAE3B" w14:textId="77777777" w:rsidR="000E7BCB" w:rsidRDefault="00A620E4">
      <w:proofErr w:type="spellStart"/>
      <w:r>
        <w:t>Strategjia</w:t>
      </w:r>
      <w:proofErr w:type="spellEnd"/>
      <w:r>
        <w:t xml:space="preserve"> </w:t>
      </w:r>
      <w:proofErr w:type="spellStart"/>
      <w:r>
        <w:t>themeluese</w:t>
      </w:r>
      <w:proofErr w:type="spellEnd"/>
      <w:r>
        <w:t xml:space="preserve"> e FSRK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përfshijë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normën</w:t>
      </w:r>
      <w:proofErr w:type="spellEnd"/>
      <w:r>
        <w:t xml:space="preserve"> e </w:t>
      </w:r>
      <w:proofErr w:type="spellStart"/>
      <w:r>
        <w:t>parallogaritur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kthimit</w:t>
      </w:r>
      <w:proofErr w:type="spellEnd"/>
      <w:r>
        <w:t xml:space="preserve"> (rate of return)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planin</w:t>
      </w:r>
      <w:proofErr w:type="spellEnd"/>
      <w:r>
        <w:t xml:space="preserve"> </w:t>
      </w:r>
      <w:proofErr w:type="spellStart"/>
      <w:r>
        <w:t>afatshkurtër</w:t>
      </w:r>
      <w:proofErr w:type="spellEnd"/>
      <w:r>
        <w:t xml:space="preserve"> (1 </w:t>
      </w:r>
      <w:proofErr w:type="spellStart"/>
      <w:r>
        <w:t>vjeçar</w:t>
      </w:r>
      <w:proofErr w:type="spellEnd"/>
      <w:r>
        <w:t xml:space="preserve">), </w:t>
      </w:r>
      <w:proofErr w:type="spellStart"/>
      <w:r>
        <w:t>afatmesëm</w:t>
      </w:r>
      <w:proofErr w:type="spellEnd"/>
      <w:r>
        <w:t xml:space="preserve"> (5 </w:t>
      </w:r>
      <w:proofErr w:type="spellStart"/>
      <w:r>
        <w:t>vjeçar</w:t>
      </w:r>
      <w:proofErr w:type="spellEnd"/>
      <w:r>
        <w:t xml:space="preserve">)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afatgjatë</w:t>
      </w:r>
      <w:proofErr w:type="spellEnd"/>
      <w:r>
        <w:t xml:space="preserve"> (10 </w:t>
      </w:r>
      <w:proofErr w:type="spellStart"/>
      <w:r>
        <w:t>vjeçar</w:t>
      </w:r>
      <w:proofErr w:type="spellEnd"/>
      <w:r>
        <w:t xml:space="preserve">),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skenarët</w:t>
      </w:r>
      <w:proofErr w:type="spellEnd"/>
      <w:r>
        <w:t xml:space="preserve"> e </w:t>
      </w:r>
      <w:proofErr w:type="spellStart"/>
      <w:r>
        <w:t>ndryshëm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lastRenderedPageBreak/>
        <w:t>investimit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Kuvendi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aksionarë</w:t>
      </w:r>
      <w:proofErr w:type="spellEnd"/>
      <w:r>
        <w:t xml:space="preserve"> ta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</w:t>
      </w:r>
      <w:proofErr w:type="spellStart"/>
      <w:r>
        <w:t>vlerën</w:t>
      </w:r>
      <w:proofErr w:type="spellEnd"/>
      <w:r>
        <w:t xml:space="preserve"> e </w:t>
      </w:r>
      <w:proofErr w:type="spellStart"/>
      <w:r>
        <w:t>ardhshme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investimit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e </w:t>
      </w:r>
      <w:proofErr w:type="spellStart"/>
      <w:r>
        <w:t>bëjnë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FSRK.</w:t>
      </w:r>
    </w:p>
    <w:p w14:paraId="1DB1F79C" w14:textId="77777777" w:rsidR="000E7BCB" w:rsidRDefault="000E7BCB"/>
    <w:p w14:paraId="4F74DDE8" w14:textId="77777777" w:rsidR="004F76C8" w:rsidRDefault="004F76C8"/>
    <w:p w14:paraId="5171FD00" w14:textId="77777777" w:rsidR="000E7BCB" w:rsidRDefault="00A620E4" w:rsidP="004F76C8">
      <w:pPr>
        <w:pStyle w:val="Heading3"/>
        <w:numPr>
          <w:ilvl w:val="0"/>
          <w:numId w:val="0"/>
        </w:numPr>
      </w:pPr>
      <w:bookmarkStart w:id="35" w:name="_Toc93312398"/>
      <w:r>
        <w:t xml:space="preserve">4.3.6. </w:t>
      </w:r>
      <w:proofErr w:type="spellStart"/>
      <w:r>
        <w:t>Përcaktimi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jo-</w:t>
      </w:r>
      <w:proofErr w:type="spellStart"/>
      <w:r>
        <w:t>likuide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barten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FSRK</w:t>
      </w:r>
      <w:bookmarkEnd w:id="35"/>
      <w:r>
        <w:t xml:space="preserve"> </w:t>
      </w:r>
    </w:p>
    <w:p w14:paraId="1D03BC2C" w14:textId="77777777" w:rsidR="000E7BCB" w:rsidRDefault="000E7BCB" w:rsidP="004F76C8"/>
    <w:p w14:paraId="3356AF4A" w14:textId="77777777" w:rsidR="000E7BCB" w:rsidRDefault="00A620E4">
      <w:pPr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proofErr w:type="spellStart"/>
      <w:r>
        <w:rPr>
          <w:i/>
          <w:color w:val="000000"/>
        </w:rPr>
        <w:t>Kriteret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për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kualifikim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për</w:t>
      </w:r>
      <w:proofErr w:type="spellEnd"/>
      <w:r>
        <w:rPr>
          <w:i/>
          <w:color w:val="000000"/>
        </w:rPr>
        <w:t xml:space="preserve"> NP-</w:t>
      </w:r>
      <w:proofErr w:type="spellStart"/>
      <w:r>
        <w:rPr>
          <w:i/>
          <w:color w:val="000000"/>
        </w:rPr>
        <w:t>të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që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barten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te</w:t>
      </w:r>
      <w:proofErr w:type="spellEnd"/>
      <w:r>
        <w:rPr>
          <w:i/>
          <w:color w:val="000000"/>
        </w:rPr>
        <w:t xml:space="preserve"> FSRK</w:t>
      </w:r>
    </w:p>
    <w:p w14:paraId="1F8F726A" w14:textId="77777777" w:rsidR="000E7BCB" w:rsidRDefault="000E7BCB"/>
    <w:p w14:paraId="5D251FC0" w14:textId="77777777" w:rsidR="000E7BCB" w:rsidRDefault="00A620E4">
      <w:proofErr w:type="spellStart"/>
      <w:r>
        <w:t>Procesi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përzgjedhjes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organizimit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bartjes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jo-</w:t>
      </w:r>
      <w:proofErr w:type="spellStart"/>
      <w:r>
        <w:t>likuide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mbahen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AKP </w:t>
      </w:r>
      <w:proofErr w:type="spellStart"/>
      <w:r>
        <w:t>në</w:t>
      </w:r>
      <w:proofErr w:type="spellEnd"/>
      <w:r>
        <w:t xml:space="preserve"> FSRK </w:t>
      </w:r>
      <w:proofErr w:type="spellStart"/>
      <w:r>
        <w:t>kërkon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koordinuar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disa-hapësh</w:t>
      </w:r>
      <w:proofErr w:type="spellEnd"/>
      <w:r>
        <w:t xml:space="preserve">.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vlerësimëve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NP-</w:t>
      </w:r>
      <w:proofErr w:type="spellStart"/>
      <w:r>
        <w:t>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konsiderohen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transfer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FSRK,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plotësohen</w:t>
      </w:r>
      <w:proofErr w:type="spellEnd"/>
      <w:r>
        <w:t xml:space="preserve"> </w:t>
      </w:r>
      <w:proofErr w:type="spellStart"/>
      <w:r>
        <w:t>minimalisht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kritere</w:t>
      </w:r>
      <w:proofErr w:type="spellEnd"/>
      <w:r>
        <w:t>:</w:t>
      </w:r>
    </w:p>
    <w:p w14:paraId="74400162" w14:textId="77777777" w:rsidR="000E7BCB" w:rsidRDefault="000E7BCB"/>
    <w:p w14:paraId="5681F760" w14:textId="77777777" w:rsidR="000E7BCB" w:rsidRDefault="00A620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Fushëveprimtaria</w:t>
      </w:r>
      <w:proofErr w:type="spellEnd"/>
      <w:r>
        <w:rPr>
          <w:color w:val="000000"/>
        </w:rPr>
        <w:t xml:space="preserve"> e NP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kryesisht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karakterit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komercial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domethënë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produktet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shërbimet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ndërmarrjes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ofrohen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kuadër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konkurrent</w:t>
      </w:r>
      <w:proofErr w:type="spellEnd"/>
      <w:r>
        <w:rPr>
          <w:color w:val="000000"/>
        </w:rPr>
        <w:t>. P.sh., NP-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veprojnë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kryesisht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shërbime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kualifikohen</w:t>
      </w:r>
      <w:proofErr w:type="spellEnd"/>
      <w:r>
        <w:rPr>
          <w:color w:val="000000"/>
        </w:rPr>
        <w:t xml:space="preserve">. Ky </w:t>
      </w:r>
      <w:proofErr w:type="spellStart"/>
      <w:r>
        <w:rPr>
          <w:color w:val="000000"/>
        </w:rPr>
        <w:t>kriter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automatizëm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përjashton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kompanitë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rajonale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ujësjellsit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ngrohtoret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NP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ngjashme</w:t>
      </w:r>
      <w:proofErr w:type="spellEnd"/>
      <w:r>
        <w:rPr>
          <w:color w:val="000000"/>
        </w:rPr>
        <w:t>.</w:t>
      </w:r>
    </w:p>
    <w:p w14:paraId="52FBF192" w14:textId="77777777" w:rsidR="000E7BCB" w:rsidRDefault="00A620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Sipas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vlerësimit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FSRK, </w:t>
      </w:r>
      <w:proofErr w:type="spellStart"/>
      <w:r>
        <w:rPr>
          <w:color w:val="000000"/>
        </w:rPr>
        <w:t>ndërmarrja</w:t>
      </w:r>
      <w:proofErr w:type="spellEnd"/>
      <w:r>
        <w:rPr>
          <w:color w:val="000000"/>
        </w:rPr>
        <w:t xml:space="preserve"> ka bord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përzgjedhur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profesionalisht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efektiv</w:t>
      </w:r>
      <w:proofErr w:type="spellEnd"/>
      <w:r>
        <w:rPr>
          <w:color w:val="000000"/>
        </w:rPr>
        <w:t>.</w:t>
      </w:r>
    </w:p>
    <w:p w14:paraId="266F43C2" w14:textId="77777777" w:rsidR="000E7BCB" w:rsidRDefault="00A620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Ndërmarrja</w:t>
      </w:r>
      <w:proofErr w:type="spellEnd"/>
      <w:r>
        <w:rPr>
          <w:color w:val="000000"/>
        </w:rPr>
        <w:t xml:space="preserve"> ka </w:t>
      </w:r>
      <w:proofErr w:type="spellStart"/>
      <w:r>
        <w:rPr>
          <w:color w:val="000000"/>
        </w:rPr>
        <w:t>ndërtuar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strategjinë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komerciale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dyvjeçare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identifikuar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epërsitë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tregtare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parashikimet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tregut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planet </w:t>
      </w:r>
      <w:proofErr w:type="spellStart"/>
      <w:r>
        <w:rPr>
          <w:color w:val="000000"/>
        </w:rPr>
        <w:t>investive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mundësisht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ndihmën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konsulencës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jashtme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specializuar</w:t>
      </w:r>
      <w:proofErr w:type="spellEnd"/>
      <w:r>
        <w:rPr>
          <w:color w:val="000000"/>
        </w:rPr>
        <w:t>).</w:t>
      </w:r>
    </w:p>
    <w:p w14:paraId="15873B87" w14:textId="77777777" w:rsidR="000E7BCB" w:rsidRDefault="00A620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Ndërmarrja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nënshtruar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auditimit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jashtëm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konstatuar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gjendja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librave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gjendja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aktuale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pasqyra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vitet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fundit</w:t>
      </w:r>
      <w:proofErr w:type="spellEnd"/>
      <w:r>
        <w:rPr>
          <w:color w:val="000000"/>
        </w:rPr>
        <w:t>.</w:t>
      </w:r>
    </w:p>
    <w:p w14:paraId="0003598D" w14:textId="77777777" w:rsidR="000E7BCB" w:rsidRDefault="00A620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Gjendja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ndërmarrjes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nivelit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qëndrueshëm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nënkupton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që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qarkullimi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është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aktualisht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negativ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menaxhmenti</w:t>
      </w:r>
      <w:proofErr w:type="spellEnd"/>
      <w:r>
        <w:rPr>
          <w:color w:val="000000"/>
        </w:rPr>
        <w:t xml:space="preserve"> ka </w:t>
      </w:r>
      <w:proofErr w:type="spellStart"/>
      <w:r>
        <w:rPr>
          <w:color w:val="000000"/>
        </w:rPr>
        <w:t>ndërtuar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implementojë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strategjinë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kontrollimit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kostove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kthen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brenda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profitabilitetit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brenda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periudhe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gjatë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mujore</w:t>
      </w:r>
      <w:proofErr w:type="spellEnd"/>
      <w:r>
        <w:rPr>
          <w:color w:val="000000"/>
        </w:rPr>
        <w:t xml:space="preserve">, pa </w:t>
      </w:r>
      <w:proofErr w:type="spellStart"/>
      <w:r>
        <w:rPr>
          <w:color w:val="000000"/>
        </w:rPr>
        <w:t>dëmtuar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viabilitetin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komercial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kuptimin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pjesëmarrjes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cilësisë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prodhimeve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shërbimeve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etj</w:t>
      </w:r>
      <w:proofErr w:type="spellEnd"/>
      <w:r>
        <w:rPr>
          <w:color w:val="000000"/>
        </w:rPr>
        <w:t xml:space="preserve">.). </w:t>
      </w:r>
      <w:proofErr w:type="spellStart"/>
      <w:r>
        <w:rPr>
          <w:color w:val="000000"/>
        </w:rPr>
        <w:t>Këtu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përfshihet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sjellja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borxhit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menaxhueshëm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raport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aktuale</w:t>
      </w:r>
      <w:proofErr w:type="spellEnd"/>
      <w:r>
        <w:rPr>
          <w:color w:val="000000"/>
        </w:rPr>
        <w:t>.</w:t>
      </w:r>
    </w:p>
    <w:p w14:paraId="1B8F2FD8" w14:textId="77777777" w:rsidR="000E7BCB" w:rsidRDefault="000E7BCB"/>
    <w:p w14:paraId="5F2B3F18" w14:textId="77777777" w:rsidR="000E7BCB" w:rsidRDefault="00A620E4">
      <w:proofErr w:type="spellStart"/>
      <w:r>
        <w:t>Sipas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vlerësimi</w:t>
      </w:r>
      <w:proofErr w:type="spellEnd"/>
      <w:r>
        <w:t xml:space="preserve"> </w:t>
      </w:r>
      <w:proofErr w:type="spellStart"/>
      <w:r>
        <w:t>paraprak</w:t>
      </w:r>
      <w:proofErr w:type="spellEnd"/>
      <w:r>
        <w:t xml:space="preserve">,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ka </w:t>
      </w:r>
      <w:proofErr w:type="spellStart"/>
      <w:r>
        <w:t>identifikuar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NP </w:t>
      </w:r>
      <w:proofErr w:type="spellStart"/>
      <w:r>
        <w:t>si</w:t>
      </w:r>
      <w:proofErr w:type="spellEnd"/>
      <w:r>
        <w:t xml:space="preserve"> </w:t>
      </w:r>
      <w:proofErr w:type="spellStart"/>
      <w:r>
        <w:rPr>
          <w:i/>
        </w:rPr>
        <w:t>kandidatë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mundshëm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bartje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FSRK:</w:t>
      </w:r>
    </w:p>
    <w:p w14:paraId="19206A47" w14:textId="77777777" w:rsidR="000E7BCB" w:rsidRDefault="000E7BCB"/>
    <w:p w14:paraId="0B99ECD4" w14:textId="77777777" w:rsidR="000E7BCB" w:rsidRDefault="00A620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Korporata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Energjetike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 (KEK)</w:t>
      </w:r>
    </w:p>
    <w:p w14:paraId="2B1F3BFC" w14:textId="77777777" w:rsidR="000E7BCB" w:rsidRDefault="00A620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Telekomi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Kosovës</w:t>
      </w:r>
      <w:proofErr w:type="spellEnd"/>
      <w:r>
        <w:rPr>
          <w:color w:val="000000"/>
        </w:rPr>
        <w:t xml:space="preserve"> (TK)</w:t>
      </w:r>
    </w:p>
    <w:p w14:paraId="684D0A83" w14:textId="77777777" w:rsidR="000E7BCB" w:rsidRDefault="00A620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Posta e </w:t>
      </w:r>
      <w:proofErr w:type="spellStart"/>
      <w:r>
        <w:rPr>
          <w:color w:val="000000"/>
        </w:rPr>
        <w:t>Kosovës</w:t>
      </w:r>
      <w:proofErr w:type="spellEnd"/>
    </w:p>
    <w:p w14:paraId="6E9926DE" w14:textId="77777777" w:rsidR="000E7BCB" w:rsidRDefault="00A620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Trepça</w:t>
      </w:r>
      <w:proofErr w:type="spellEnd"/>
    </w:p>
    <w:p w14:paraId="04750657" w14:textId="77777777" w:rsidR="000E7BCB" w:rsidRDefault="00A620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lastRenderedPageBreak/>
        <w:t>Trainkos</w:t>
      </w:r>
      <w:proofErr w:type="spellEnd"/>
    </w:p>
    <w:p w14:paraId="1880FC78" w14:textId="77777777" w:rsidR="000E7BCB" w:rsidRDefault="00A620E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Infrakos</w:t>
      </w:r>
      <w:proofErr w:type="spellEnd"/>
    </w:p>
    <w:p w14:paraId="2762384D" w14:textId="77777777" w:rsidR="000E7BCB" w:rsidRDefault="000E7BCB"/>
    <w:p w14:paraId="7E1697FE" w14:textId="77777777" w:rsidR="000E7BCB" w:rsidRDefault="00A620E4">
      <w:r>
        <w:t xml:space="preserve">Lista e </w:t>
      </w:r>
      <w:proofErr w:type="spellStart"/>
      <w:r>
        <w:t>mësipërme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përfundimtare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as </w:t>
      </w:r>
      <w:proofErr w:type="spellStart"/>
      <w:r>
        <w:t>medoemos</w:t>
      </w:r>
      <w:proofErr w:type="spellEnd"/>
      <w:r>
        <w:t xml:space="preserve"> e </w:t>
      </w:r>
      <w:proofErr w:type="spellStart"/>
      <w:r>
        <w:t>plotë</w:t>
      </w:r>
      <w:proofErr w:type="spellEnd"/>
      <w:r>
        <w:t xml:space="preserve">. </w:t>
      </w:r>
      <w:proofErr w:type="spellStart"/>
      <w:r>
        <w:t>Ndërmarrjet</w:t>
      </w:r>
      <w:proofErr w:type="spellEnd"/>
      <w:r>
        <w:t xml:space="preserve"> e </w:t>
      </w:r>
      <w:proofErr w:type="spellStart"/>
      <w:r>
        <w:t>propozuara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kandidatë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duhej</w:t>
      </w:r>
      <w:proofErr w:type="spellEnd"/>
      <w:r>
        <w:t xml:space="preserve"> </w:t>
      </w:r>
      <w:proofErr w:type="spellStart"/>
      <w:r>
        <w:t>megjithatë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nënshtrohen</w:t>
      </w:r>
      <w:proofErr w:type="spellEnd"/>
      <w:r>
        <w:t xml:space="preserve"> </w:t>
      </w:r>
      <w:proofErr w:type="spellStart"/>
      <w:r>
        <w:t>procesit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kualifikimit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përshkruar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sipër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thënë</w:t>
      </w:r>
      <w:proofErr w:type="spellEnd"/>
      <w:r>
        <w:t xml:space="preserve"> se </w:t>
      </w:r>
      <w:proofErr w:type="spellStart"/>
      <w:r>
        <w:t>obligativisht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barten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FSRK. </w:t>
      </w:r>
      <w:proofErr w:type="spellStart"/>
      <w:r>
        <w:t>Bartja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ndodh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pas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procesi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tranzicionit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përfshin</w:t>
      </w:r>
      <w:proofErr w:type="spellEnd"/>
      <w:r>
        <w:t xml:space="preserve"> </w:t>
      </w:r>
      <w:proofErr w:type="spellStart"/>
      <w:r>
        <w:t>ristrukturimin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rehabilitimin</w:t>
      </w:r>
      <w:proofErr w:type="spellEnd"/>
      <w:r>
        <w:t xml:space="preserve"> e </w:t>
      </w:r>
      <w:proofErr w:type="spellStart"/>
      <w:r>
        <w:t>ndërmarrjes</w:t>
      </w:r>
      <w:proofErr w:type="spellEnd"/>
      <w:r>
        <w:t xml:space="preserve"> </w:t>
      </w:r>
      <w:proofErr w:type="spellStart"/>
      <w:r>
        <w:t>drejt</w:t>
      </w:r>
      <w:proofErr w:type="spellEnd"/>
      <w:r>
        <w:t xml:space="preserve"> </w:t>
      </w:r>
      <w:proofErr w:type="spellStart"/>
      <w:r>
        <w:t>realizimit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standardeve</w:t>
      </w:r>
      <w:proofErr w:type="spellEnd"/>
      <w:r>
        <w:t xml:space="preserve"> </w:t>
      </w:r>
      <w:proofErr w:type="spellStart"/>
      <w:r>
        <w:t>kualifikuese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vjeçarë</w:t>
      </w:r>
      <w:proofErr w:type="spellEnd"/>
      <w:r>
        <w:t xml:space="preserve">. </w:t>
      </w:r>
      <w:proofErr w:type="spellStart"/>
      <w:r>
        <w:t>Ligji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 do ta </w:t>
      </w:r>
      <w:proofErr w:type="spellStart"/>
      <w:r>
        <w:t>parashikojë</w:t>
      </w:r>
      <w:proofErr w:type="spellEnd"/>
      <w:r>
        <w:t xml:space="preserve">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bartjes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,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përveç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 do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nënshtrohet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FSRK-ja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përshtatshmëria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qëndrueshmëria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e </w:t>
      </w:r>
      <w:proofErr w:type="spellStart"/>
      <w:r>
        <w:t>asetit</w:t>
      </w:r>
      <w:proofErr w:type="spellEnd"/>
      <w:r>
        <w:t xml:space="preserve"> para </w:t>
      </w:r>
      <w:proofErr w:type="spellStart"/>
      <w:r>
        <w:t>kalimit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(shih </w:t>
      </w:r>
      <w:proofErr w:type="spellStart"/>
      <w:r>
        <w:t>Shtojcën</w:t>
      </w:r>
      <w:proofErr w:type="spellEnd"/>
      <w:r>
        <w:t>).</w:t>
      </w:r>
    </w:p>
    <w:p w14:paraId="43D1EA0D" w14:textId="77777777" w:rsidR="000E7BCB" w:rsidRDefault="000E7BCB"/>
    <w:p w14:paraId="670CDB73" w14:textId="77777777" w:rsidR="000E7BCB" w:rsidRDefault="000E7BCB"/>
    <w:p w14:paraId="734BA5BD" w14:textId="77777777" w:rsidR="000E7BCB" w:rsidRDefault="00A620E4">
      <w:pPr>
        <w:rPr>
          <w:i/>
        </w:rPr>
      </w:pPr>
      <w:r>
        <w:rPr>
          <w:i/>
        </w:rPr>
        <w:t xml:space="preserve">4.3.6.2 </w:t>
      </w:r>
      <w:proofErr w:type="spellStart"/>
      <w:r>
        <w:rPr>
          <w:i/>
        </w:rPr>
        <w:t>Ristrukturimi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ndërmarrjeve</w:t>
      </w:r>
      <w:proofErr w:type="spellEnd"/>
      <w:r>
        <w:rPr>
          <w:i/>
        </w:rPr>
        <w:t xml:space="preserve"> para </w:t>
      </w:r>
      <w:proofErr w:type="spellStart"/>
      <w:r>
        <w:rPr>
          <w:i/>
        </w:rPr>
        <w:t>bartjes</w:t>
      </w:r>
      <w:proofErr w:type="spellEnd"/>
    </w:p>
    <w:p w14:paraId="38223122" w14:textId="77777777" w:rsidR="000E7BCB" w:rsidRDefault="000E7BCB"/>
    <w:p w14:paraId="12C3A75E" w14:textId="77777777" w:rsidR="000E7BCB" w:rsidRDefault="00A620E4">
      <w:proofErr w:type="spellStart"/>
      <w:r>
        <w:t>Paraprakisht</w:t>
      </w:r>
      <w:proofErr w:type="spellEnd"/>
      <w:r>
        <w:t xml:space="preserve"> me </w:t>
      </w:r>
      <w:proofErr w:type="spellStart"/>
      <w:r>
        <w:t>identifikimin</w:t>
      </w:r>
      <w:proofErr w:type="spellEnd"/>
      <w:r>
        <w:t xml:space="preserve"> e NP-</w:t>
      </w:r>
      <w:proofErr w:type="spellStart"/>
      <w:r>
        <w:t>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mundshme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transfer </w:t>
      </w:r>
      <w:proofErr w:type="spellStart"/>
      <w:r>
        <w:t>në</w:t>
      </w:r>
      <w:proofErr w:type="spellEnd"/>
      <w:r>
        <w:t xml:space="preserve"> FSRK,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rekomandohet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ta </w:t>
      </w:r>
      <w:proofErr w:type="spellStart"/>
      <w:r>
        <w:t>fillojë</w:t>
      </w:r>
      <w:proofErr w:type="spellEnd"/>
      <w:r>
        <w:t xml:space="preserve">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ristrukturimit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kontrollimit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kostove</w:t>
      </w:r>
      <w:proofErr w:type="spellEnd"/>
      <w:r>
        <w:t xml:space="preserve">. </w:t>
      </w:r>
      <w:proofErr w:type="spellStart"/>
      <w:r>
        <w:t>Kjo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përzgjedhjes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bordeve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reja</w:t>
      </w:r>
      <w:proofErr w:type="spellEnd"/>
      <w:r>
        <w:t xml:space="preserve"> (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tashmë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nisur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), </w:t>
      </w:r>
      <w:proofErr w:type="spellStart"/>
      <w:r>
        <w:t>rekrutimit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stafit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</w:t>
      </w:r>
      <w:proofErr w:type="spellStart"/>
      <w:r>
        <w:t>menaxherial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cilësor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hartimin</w:t>
      </w:r>
      <w:proofErr w:type="spellEnd"/>
      <w:r>
        <w:t xml:space="preserve"> e </w:t>
      </w:r>
      <w:proofErr w:type="spellStart"/>
      <w:r>
        <w:t>planeve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strategjive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periudhën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>.</w:t>
      </w:r>
    </w:p>
    <w:p w14:paraId="76F87598" w14:textId="77777777" w:rsidR="000E7BCB" w:rsidRDefault="000E7BCB"/>
    <w:p w14:paraId="34C44E1E" w14:textId="77777777" w:rsidR="000E7BCB" w:rsidRDefault="00A620E4"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,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rekomandohet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mbështetet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përkrahjen</w:t>
      </w:r>
      <w:proofErr w:type="spellEnd"/>
      <w:r>
        <w:t xml:space="preserve"> e </w:t>
      </w:r>
      <w:proofErr w:type="spellStart"/>
      <w:r>
        <w:t>donatorëve</w:t>
      </w:r>
      <w:proofErr w:type="spellEnd"/>
      <w:r>
        <w:t xml:space="preserve"> </w:t>
      </w:r>
      <w:proofErr w:type="spellStart"/>
      <w:r>
        <w:t>ndërkombëtarë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interesim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mbështetjen</w:t>
      </w:r>
      <w:proofErr w:type="spellEnd"/>
      <w:r>
        <w:t xml:space="preserve"> e </w:t>
      </w:r>
      <w:proofErr w:type="spellStart"/>
      <w:r>
        <w:t>procesit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ristrukturimit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mbështetjes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konsulencës</w:t>
      </w:r>
      <w:proofErr w:type="spellEnd"/>
      <w:r>
        <w:t xml:space="preserve">, </w:t>
      </w:r>
      <w:proofErr w:type="spellStart"/>
      <w:r>
        <w:t>ristrukturimit</w:t>
      </w:r>
      <w:proofErr w:type="spellEnd"/>
      <w:r>
        <w:t xml:space="preserve"> </w:t>
      </w:r>
      <w:proofErr w:type="spellStart"/>
      <w:r>
        <w:t>organizativ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investimeve</w:t>
      </w:r>
      <w:proofErr w:type="spellEnd"/>
      <w:r>
        <w:t xml:space="preserve"> </w:t>
      </w:r>
      <w:proofErr w:type="spellStart"/>
      <w:r>
        <w:t>kapitale</w:t>
      </w:r>
      <w:proofErr w:type="spellEnd"/>
      <w:r>
        <w:t>.</w:t>
      </w:r>
    </w:p>
    <w:p w14:paraId="69F59F26" w14:textId="77777777" w:rsidR="000E7BCB" w:rsidRDefault="000E7BCB"/>
    <w:p w14:paraId="0EE7753C" w14:textId="77777777" w:rsidR="000E7BCB" w:rsidRDefault="00A620E4">
      <w:proofErr w:type="spellStart"/>
      <w:r>
        <w:t>Strategjia</w:t>
      </w:r>
      <w:proofErr w:type="spellEnd"/>
      <w:r>
        <w:t xml:space="preserve"> </w:t>
      </w:r>
      <w:proofErr w:type="spellStart"/>
      <w:r>
        <w:t>ristrukturuese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varet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ndërmarrja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, </w:t>
      </w:r>
      <w:proofErr w:type="spellStart"/>
      <w:r>
        <w:t>prandaj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ka </w:t>
      </w:r>
      <w:proofErr w:type="spellStart"/>
      <w:r>
        <w:t>rekomandime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përket</w:t>
      </w:r>
      <w:proofErr w:type="spellEnd"/>
      <w:r>
        <w:t xml:space="preserve"> </w:t>
      </w:r>
      <w:proofErr w:type="spellStart"/>
      <w:r>
        <w:t>qasjes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veçanta</w:t>
      </w:r>
      <w:proofErr w:type="spellEnd"/>
      <w:r>
        <w:t xml:space="preserve">, </w:t>
      </w:r>
      <w:proofErr w:type="spellStart"/>
      <w:r>
        <w:t>përderisa</w:t>
      </w:r>
      <w:proofErr w:type="spellEnd"/>
      <w:r>
        <w:t xml:space="preserve"> </w:t>
      </w:r>
      <w:proofErr w:type="spellStart"/>
      <w:r>
        <w:t>ristrukturimi</w:t>
      </w:r>
      <w:proofErr w:type="spellEnd"/>
      <w:r>
        <w:t xml:space="preserve"> </w:t>
      </w:r>
      <w:proofErr w:type="spellStart"/>
      <w:r>
        <w:t>arrin</w:t>
      </w:r>
      <w:proofErr w:type="spellEnd"/>
      <w:r>
        <w:t xml:space="preserve"> </w:t>
      </w:r>
      <w:proofErr w:type="spellStart"/>
      <w:r>
        <w:t>objektivat</w:t>
      </w:r>
      <w:proofErr w:type="spellEnd"/>
      <w:r>
        <w:t xml:space="preserve"> e </w:t>
      </w:r>
      <w:proofErr w:type="spellStart"/>
      <w:r>
        <w:t>përshkruara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sipër</w:t>
      </w:r>
      <w:proofErr w:type="spellEnd"/>
      <w:r>
        <w:t xml:space="preserve">. Planet </w:t>
      </w:r>
      <w:proofErr w:type="spellStart"/>
      <w:r>
        <w:t>konkrete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ristrukturim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hisenikët</w:t>
      </w:r>
      <w:proofErr w:type="spellEnd"/>
      <w:r>
        <w:t xml:space="preserve">,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Qeverinë</w:t>
      </w:r>
      <w:proofErr w:type="spellEnd"/>
      <w:r>
        <w:t xml:space="preserve"> (</w:t>
      </w:r>
      <w:proofErr w:type="spellStart"/>
      <w:r>
        <w:t>përkatësisht</w:t>
      </w:r>
      <w:proofErr w:type="spellEnd"/>
      <w:r>
        <w:t xml:space="preserve"> </w:t>
      </w:r>
      <w:proofErr w:type="spellStart"/>
      <w:r>
        <w:t>Ministrinë</w:t>
      </w:r>
      <w:proofErr w:type="spellEnd"/>
      <w:r>
        <w:t xml:space="preserve"> e </w:t>
      </w:r>
      <w:proofErr w:type="spellStart"/>
      <w:r>
        <w:t>Ekonomisë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Ministrinë</w:t>
      </w:r>
      <w:proofErr w:type="spellEnd"/>
      <w:r>
        <w:t xml:space="preserve"> e </w:t>
      </w:r>
      <w:proofErr w:type="spellStart"/>
      <w:r>
        <w:t>Financave</w:t>
      </w:r>
      <w:proofErr w:type="spellEnd"/>
      <w:r>
        <w:t xml:space="preserve">), </w:t>
      </w:r>
      <w:proofErr w:type="spellStart"/>
      <w:r>
        <w:t>bordet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menaxhmentet</w:t>
      </w:r>
      <w:proofErr w:type="spellEnd"/>
      <w:r>
        <w:t xml:space="preserve"> e </w:t>
      </w:r>
      <w:proofErr w:type="spellStart"/>
      <w:r>
        <w:t>ndërmarrjeve</w:t>
      </w:r>
      <w:proofErr w:type="spellEnd"/>
      <w:r>
        <w:t xml:space="preserve">, </w:t>
      </w:r>
      <w:proofErr w:type="spellStart"/>
      <w:r>
        <w:t>sindikatat</w:t>
      </w:r>
      <w:proofErr w:type="spellEnd"/>
      <w:r>
        <w:t>, FSRK-</w:t>
      </w:r>
      <w:proofErr w:type="spellStart"/>
      <w:r>
        <w:t>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donatorët</w:t>
      </w:r>
      <w:proofErr w:type="spellEnd"/>
      <w:r>
        <w:t xml:space="preserve"> </w:t>
      </w:r>
      <w:proofErr w:type="spellStart"/>
      <w:r>
        <w:t>eventualë</w:t>
      </w:r>
      <w:proofErr w:type="spellEnd"/>
      <w:r>
        <w:t>.</w:t>
      </w:r>
    </w:p>
    <w:p w14:paraId="60893F02" w14:textId="77777777" w:rsidR="000E7BCB" w:rsidRDefault="000E7BCB"/>
    <w:p w14:paraId="0C43231F" w14:textId="77777777" w:rsidR="000E7BCB" w:rsidRDefault="00A620E4">
      <w:proofErr w:type="spellStart"/>
      <w:r>
        <w:t>Qeverisë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rekomandohet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përgatisë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program </w:t>
      </w:r>
      <w:proofErr w:type="spellStart"/>
      <w:r>
        <w:t>mbështetës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punësuarit</w:t>
      </w:r>
      <w:proofErr w:type="spellEnd"/>
      <w:r>
        <w:t xml:space="preserve"> </w:t>
      </w:r>
      <w:proofErr w:type="spellStart"/>
      <w:r>
        <w:t>aktualë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NP-</w:t>
      </w:r>
      <w:proofErr w:type="spellStart"/>
      <w:r>
        <w:t>ve</w:t>
      </w:r>
      <w:proofErr w:type="spellEnd"/>
      <w:r>
        <w:t xml:space="preserve">, </w:t>
      </w:r>
      <w:proofErr w:type="spellStart"/>
      <w:r>
        <w:t>vendet</w:t>
      </w:r>
      <w:proofErr w:type="spellEnd"/>
      <w:r>
        <w:t xml:space="preserve"> e </w:t>
      </w:r>
      <w:proofErr w:type="spellStart"/>
      <w:r>
        <w:t>punës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cilëve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eliminohen</w:t>
      </w:r>
      <w:proofErr w:type="spellEnd"/>
      <w:r>
        <w:t xml:space="preserve"> </w:t>
      </w:r>
      <w:proofErr w:type="spellStart"/>
      <w:r>
        <w:t>shkaku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ristrukturimeve</w:t>
      </w:r>
      <w:proofErr w:type="spellEnd"/>
      <w:r>
        <w:t xml:space="preserve">,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kompenzues</w:t>
      </w:r>
      <w:proofErr w:type="spellEnd"/>
      <w:r>
        <w:t xml:space="preserve"> </w:t>
      </w:r>
      <w:proofErr w:type="spellStart"/>
      <w:r>
        <w:t>dhe</w:t>
      </w:r>
      <w:proofErr w:type="spellEnd"/>
      <w:r>
        <w:t>/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ritrajnimit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zhvillimin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tillë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kyç</w:t>
      </w:r>
      <w:proofErr w:type="spellEnd"/>
      <w:r>
        <w:t xml:space="preserve"> </w:t>
      </w:r>
      <w:proofErr w:type="spellStart"/>
      <w:r>
        <w:t>bashkëpunimi</w:t>
      </w:r>
      <w:proofErr w:type="spellEnd"/>
      <w:r>
        <w:t xml:space="preserve"> me </w:t>
      </w:r>
      <w:proofErr w:type="spellStart"/>
      <w:r>
        <w:t>sindikatat</w:t>
      </w:r>
      <w:proofErr w:type="spellEnd"/>
      <w:r>
        <w:t>.</w:t>
      </w:r>
    </w:p>
    <w:p w14:paraId="06A70540" w14:textId="77777777" w:rsidR="000E7BCB" w:rsidRDefault="000E7BCB"/>
    <w:p w14:paraId="50812970" w14:textId="77777777" w:rsidR="000E7BCB" w:rsidRDefault="000E7BCB"/>
    <w:p w14:paraId="061F8894" w14:textId="77777777" w:rsidR="000E7BCB" w:rsidRDefault="00A620E4">
      <w:pPr>
        <w:rPr>
          <w:i/>
        </w:rPr>
      </w:pPr>
      <w:r>
        <w:rPr>
          <w:i/>
        </w:rPr>
        <w:lastRenderedPageBreak/>
        <w:t xml:space="preserve">4.3.6.3 </w:t>
      </w:r>
      <w:proofErr w:type="spellStart"/>
      <w:r>
        <w:rPr>
          <w:i/>
        </w:rPr>
        <w:t>Transferi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aseteve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nga</w:t>
      </w:r>
      <w:proofErr w:type="spellEnd"/>
      <w:r>
        <w:rPr>
          <w:i/>
        </w:rPr>
        <w:t xml:space="preserve"> AKP</w:t>
      </w:r>
    </w:p>
    <w:p w14:paraId="02C755E9" w14:textId="77777777" w:rsidR="000E7BCB" w:rsidRDefault="000E7BCB"/>
    <w:p w14:paraId="34376B57" w14:textId="77777777" w:rsidR="000E7BCB" w:rsidRDefault="00A620E4">
      <w:r>
        <w:t xml:space="preserve">AKP </w:t>
      </w:r>
      <w:proofErr w:type="spellStart"/>
      <w:r>
        <w:t>aktualisht</w:t>
      </w:r>
      <w:proofErr w:type="spellEnd"/>
      <w:r>
        <w:t xml:space="preserve"> </w:t>
      </w:r>
      <w:proofErr w:type="spellStart"/>
      <w:r>
        <w:t>administron</w:t>
      </w:r>
      <w:proofErr w:type="spellEnd"/>
      <w:r>
        <w:t xml:space="preserve"> </w:t>
      </w:r>
      <w:proofErr w:type="spellStart"/>
      <w:r>
        <w:t>asetet</w:t>
      </w:r>
      <w:proofErr w:type="spellEnd"/>
      <w:r>
        <w:t xml:space="preserve"> e </w:t>
      </w:r>
      <w:proofErr w:type="spellStart"/>
      <w:r>
        <w:t>rreth</w:t>
      </w:r>
      <w:proofErr w:type="spellEnd"/>
      <w:r>
        <w:t xml:space="preserve"> 592 </w:t>
      </w:r>
      <w:proofErr w:type="spellStart"/>
      <w:r>
        <w:t>ish</w:t>
      </w:r>
      <w:proofErr w:type="spellEnd"/>
      <w:r>
        <w:t>-NSH-</w:t>
      </w:r>
      <w:proofErr w:type="spellStart"/>
      <w:r>
        <w:t>ve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me AKP,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ka </w:t>
      </w:r>
      <w:proofErr w:type="spellStart"/>
      <w:r>
        <w:t>identifikuar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numër</w:t>
      </w:r>
      <w:proofErr w:type="spellEnd"/>
      <w:r>
        <w:t xml:space="preserve"> </w:t>
      </w:r>
      <w:proofErr w:type="spellStart"/>
      <w:r>
        <w:t>asetesh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AKP-</w:t>
      </w:r>
      <w:proofErr w:type="spellStart"/>
      <w:r>
        <w:t>së</w:t>
      </w:r>
      <w:proofErr w:type="spellEnd"/>
      <w:r>
        <w:t xml:space="preserve"> me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veçantë</w:t>
      </w:r>
      <w:proofErr w:type="spellEnd"/>
      <w:r>
        <w:t xml:space="preserve"> </w:t>
      </w:r>
      <w:proofErr w:type="spellStart"/>
      <w:r>
        <w:t>zhvillimor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barten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FKSH </w:t>
      </w:r>
      <w:r>
        <w:rPr>
          <w:highlight w:val="yellow"/>
        </w:rPr>
        <w:t>(</w:t>
      </w:r>
      <w:proofErr w:type="spellStart"/>
      <w:r>
        <w:rPr>
          <w:highlight w:val="yellow"/>
        </w:rPr>
        <w:t>në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Shtojcën</w:t>
      </w:r>
      <w:proofErr w:type="spellEnd"/>
      <w:r>
        <w:rPr>
          <w:highlight w:val="yellow"/>
        </w:rPr>
        <w:t xml:space="preserve"> 2)</w:t>
      </w:r>
      <w:r>
        <w:t xml:space="preserve">.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kihet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se </w:t>
      </w:r>
      <w:proofErr w:type="spellStart"/>
      <w:r>
        <w:t>transferi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AKP </w:t>
      </w:r>
      <w:proofErr w:type="spellStart"/>
      <w:r>
        <w:t>në</w:t>
      </w:r>
      <w:proofErr w:type="spellEnd"/>
      <w:r>
        <w:t xml:space="preserve"> FSRK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, por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përmbajë</w:t>
      </w:r>
      <w:proofErr w:type="spellEnd"/>
      <w:r>
        <w:t xml:space="preserve">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kritere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ndjekë</w:t>
      </w:r>
      <w:proofErr w:type="spellEnd"/>
      <w:r>
        <w:t xml:space="preserve">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hapa</w:t>
      </w:r>
      <w:proofErr w:type="spellEnd"/>
      <w:r>
        <w:t>.</w:t>
      </w:r>
    </w:p>
    <w:p w14:paraId="4D1DBC14" w14:textId="77777777" w:rsidR="000E7BCB" w:rsidRDefault="000E7BCB"/>
    <w:p w14:paraId="08C52316" w14:textId="77777777" w:rsidR="000E7BCB" w:rsidRDefault="00A620E4">
      <w:r>
        <w:t xml:space="preserve">Ka </w:t>
      </w:r>
      <w:proofErr w:type="spellStart"/>
      <w:r>
        <w:t>dy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kalimi</w:t>
      </w:r>
      <w:proofErr w:type="spellEnd"/>
      <w:r>
        <w:t xml:space="preserve"> </w:t>
      </w:r>
      <w:proofErr w:type="spellStart"/>
      <w:r>
        <w:t>asetesh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AKP </w:t>
      </w:r>
      <w:proofErr w:type="spellStart"/>
      <w:r>
        <w:t>në</w:t>
      </w:r>
      <w:proofErr w:type="spellEnd"/>
      <w:r>
        <w:t xml:space="preserve"> FSRK. E para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transferi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NSH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procesi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“spin-off”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ngjashëm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FSRK </w:t>
      </w:r>
      <w:proofErr w:type="spellStart"/>
      <w:r>
        <w:t>merr</w:t>
      </w:r>
      <w:proofErr w:type="spellEnd"/>
      <w:r>
        <w:t xml:space="preserve"> </w:t>
      </w:r>
      <w:proofErr w:type="spellStart"/>
      <w:r>
        <w:t>pronësinë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re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krijuar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asetet</w:t>
      </w:r>
      <w:proofErr w:type="spellEnd"/>
      <w:r>
        <w:t xml:space="preserve"> e </w:t>
      </w:r>
      <w:proofErr w:type="spellStart"/>
      <w:r>
        <w:t>ish</w:t>
      </w:r>
      <w:proofErr w:type="spellEnd"/>
      <w:r>
        <w:t>-NSH-</w:t>
      </w:r>
      <w:proofErr w:type="spellStart"/>
      <w:r>
        <w:t>së</w:t>
      </w:r>
      <w:proofErr w:type="spellEnd"/>
      <w:r>
        <w:t xml:space="preserve">. E </w:t>
      </w:r>
      <w:proofErr w:type="spellStart"/>
      <w:r>
        <w:t>dyta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transferi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fizike</w:t>
      </w:r>
      <w:proofErr w:type="spellEnd"/>
      <w:r>
        <w:t xml:space="preserve"> (</w:t>
      </w:r>
      <w:proofErr w:type="spellStart"/>
      <w:r>
        <w:t>objekteve</w:t>
      </w:r>
      <w:proofErr w:type="spellEnd"/>
      <w:r>
        <w:t xml:space="preserve">, </w:t>
      </w:r>
      <w:proofErr w:type="spellStart"/>
      <w:r>
        <w:t>tokave</w:t>
      </w:r>
      <w:proofErr w:type="spellEnd"/>
      <w:r>
        <w:t xml:space="preserve">, </w:t>
      </w:r>
      <w:proofErr w:type="spellStart"/>
      <w:r>
        <w:t>teknologjisë</w:t>
      </w:r>
      <w:proofErr w:type="spellEnd"/>
      <w:r>
        <w:t xml:space="preserve"> </w:t>
      </w:r>
      <w:proofErr w:type="spellStart"/>
      <w:r>
        <w:t>etj</w:t>
      </w:r>
      <w:proofErr w:type="spellEnd"/>
      <w:r>
        <w:t xml:space="preserve">.), </w:t>
      </w:r>
      <w:proofErr w:type="spellStart"/>
      <w:r>
        <w:t>që</w:t>
      </w:r>
      <w:proofErr w:type="spellEnd"/>
      <w:r>
        <w:t xml:space="preserve"> FSRK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reja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sigurojë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asetet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nxirren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AKP </w:t>
      </w:r>
      <w:proofErr w:type="spellStart"/>
      <w:r>
        <w:t>procedohen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AKP. </w:t>
      </w:r>
      <w:proofErr w:type="spellStart"/>
      <w:r>
        <w:t>Ndjekja</w:t>
      </w:r>
      <w:proofErr w:type="spellEnd"/>
      <w:r>
        <w:t xml:space="preserve"> e </w:t>
      </w:r>
      <w:proofErr w:type="spellStart"/>
      <w:r>
        <w:t>procedurës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parashtruar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Ligj</w:t>
      </w:r>
      <w:proofErr w:type="spellEnd"/>
      <w:r>
        <w:t xml:space="preserve"> </w:t>
      </w:r>
      <w:proofErr w:type="spellStart"/>
      <w:r>
        <w:t>garanton</w:t>
      </w:r>
      <w:proofErr w:type="spellEnd"/>
      <w:r>
        <w:t xml:space="preserve"> se </w:t>
      </w:r>
      <w:proofErr w:type="spellStart"/>
      <w:r>
        <w:t>ish-punëtorëve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NSH-</w:t>
      </w:r>
      <w:proofErr w:type="spellStart"/>
      <w:r>
        <w:t>së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kompenzohet</w:t>
      </w:r>
      <w:proofErr w:type="spellEnd"/>
      <w:r>
        <w:t xml:space="preserve"> </w:t>
      </w:r>
      <w:proofErr w:type="spellStart"/>
      <w:r>
        <w:t>njëzet</w:t>
      </w:r>
      <w:proofErr w:type="spellEnd"/>
      <w:r>
        <w:t xml:space="preserve"> (20) </w:t>
      </w:r>
      <w:proofErr w:type="spellStart"/>
      <w:r>
        <w:t>përqindëshi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vlerës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shitjes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garantuar</w:t>
      </w:r>
      <w:proofErr w:type="spellEnd"/>
      <w:r>
        <w:t xml:space="preserve"> me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AKP,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detyrimet</w:t>
      </w:r>
      <w:proofErr w:type="spellEnd"/>
      <w:r>
        <w:t xml:space="preserve"> (</w:t>
      </w:r>
      <w:r>
        <w:rPr>
          <w:i/>
        </w:rPr>
        <w:t>liabilities</w:t>
      </w:r>
      <w:r>
        <w:t xml:space="preserve">)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ish</w:t>
      </w:r>
      <w:proofErr w:type="spellEnd"/>
      <w:r>
        <w:t>-NSH-</w:t>
      </w:r>
      <w:proofErr w:type="spellStart"/>
      <w:r>
        <w:t>ve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kreditorëve</w:t>
      </w:r>
      <w:proofErr w:type="spellEnd"/>
      <w:r>
        <w:t xml:space="preserve"> </w:t>
      </w:r>
      <w:proofErr w:type="spellStart"/>
      <w:r>
        <w:t>ndjekin</w:t>
      </w:r>
      <w:proofErr w:type="spellEnd"/>
      <w:r>
        <w:t xml:space="preserve"> </w:t>
      </w:r>
      <w:proofErr w:type="spellStart"/>
      <w:r>
        <w:t>procedurën</w:t>
      </w:r>
      <w:proofErr w:type="spellEnd"/>
      <w:r>
        <w:t xml:space="preserve"> e </w:t>
      </w:r>
      <w:proofErr w:type="spellStart"/>
      <w:r>
        <w:t>rregullt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vendosur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AKP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procesit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Dhomën</w:t>
      </w:r>
      <w:proofErr w:type="spellEnd"/>
      <w:r>
        <w:t xml:space="preserve"> e </w:t>
      </w:r>
      <w:proofErr w:type="spellStart"/>
      <w:r>
        <w:t>Posaçme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Gjykatës</w:t>
      </w:r>
      <w:proofErr w:type="spellEnd"/>
      <w:r>
        <w:t xml:space="preserve"> Supreme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fondeve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mirëbesim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AKP-</w:t>
      </w:r>
      <w:proofErr w:type="spellStart"/>
      <w:r>
        <w:t>së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asnjë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detyrimet</w:t>
      </w:r>
      <w:proofErr w:type="spellEnd"/>
      <w:r>
        <w:t xml:space="preserve"> e </w:t>
      </w:r>
      <w:proofErr w:type="spellStart"/>
      <w:r>
        <w:t>ish</w:t>
      </w:r>
      <w:proofErr w:type="spellEnd"/>
      <w:r>
        <w:t xml:space="preserve">-NSH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trashëgojë</w:t>
      </w:r>
      <w:proofErr w:type="spellEnd"/>
      <w:r>
        <w:t xml:space="preserve"> </w:t>
      </w:r>
      <w:proofErr w:type="spellStart"/>
      <w:r>
        <w:t>ndërmarrja</w:t>
      </w:r>
      <w:proofErr w:type="spellEnd"/>
      <w:r>
        <w:t xml:space="preserve"> e re e </w:t>
      </w:r>
      <w:proofErr w:type="spellStart"/>
      <w:r>
        <w:t>krijuar</w:t>
      </w:r>
      <w:proofErr w:type="spellEnd"/>
      <w:r>
        <w:t xml:space="preserve"> me </w:t>
      </w:r>
      <w:proofErr w:type="spellStart"/>
      <w:r>
        <w:t>asetet</w:t>
      </w:r>
      <w:proofErr w:type="spellEnd"/>
      <w:r>
        <w:t xml:space="preserve"> e </w:t>
      </w:r>
      <w:proofErr w:type="spellStart"/>
      <w:r>
        <w:t>ish</w:t>
      </w:r>
      <w:proofErr w:type="spellEnd"/>
      <w:r>
        <w:t>-NSH-</w:t>
      </w:r>
      <w:proofErr w:type="spellStart"/>
      <w:r>
        <w:t>së</w:t>
      </w:r>
      <w:proofErr w:type="spellEnd"/>
      <w:r>
        <w:t>, e as FSRK.</w:t>
      </w:r>
    </w:p>
    <w:p w14:paraId="0DDFB1FA" w14:textId="77777777" w:rsidR="000E7BCB" w:rsidRDefault="000E7BCB"/>
    <w:p w14:paraId="59BB7306" w14:textId="77777777" w:rsidR="000E7BCB" w:rsidRDefault="00A620E4">
      <w:proofErr w:type="spellStart"/>
      <w:r>
        <w:t>Sipas</w:t>
      </w:r>
      <w:proofErr w:type="spellEnd"/>
      <w:r>
        <w:t xml:space="preserve"> </w:t>
      </w:r>
      <w:proofErr w:type="spellStart"/>
      <w:r>
        <w:t>vlerësimëve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AKP-</w:t>
      </w:r>
      <w:proofErr w:type="spellStart"/>
      <w:r>
        <w:t>së</w:t>
      </w:r>
      <w:proofErr w:type="spellEnd"/>
      <w:r>
        <w:t xml:space="preserve">,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efektive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marrjen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posedim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AKP-</w:t>
      </w:r>
      <w:proofErr w:type="spellStart"/>
      <w:r>
        <w:t>së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ajo e </w:t>
      </w:r>
      <w:proofErr w:type="spellStart"/>
      <w:r>
        <w:t>shpronësimit</w:t>
      </w:r>
      <w:proofErr w:type="spellEnd"/>
      <w:r>
        <w:t xml:space="preserve">. </w:t>
      </w:r>
      <w:proofErr w:type="spellStart"/>
      <w:r>
        <w:t>Kjo</w:t>
      </w:r>
      <w:proofErr w:type="spellEnd"/>
      <w:r>
        <w:t xml:space="preserve"> </w:t>
      </w:r>
      <w:proofErr w:type="spellStart"/>
      <w:r>
        <w:t>siguron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kompenzon</w:t>
      </w:r>
      <w:proofErr w:type="spellEnd"/>
      <w:r>
        <w:t xml:space="preserve"> </w:t>
      </w:r>
      <w:proofErr w:type="spellStart"/>
      <w:r>
        <w:t>pjesën</w:t>
      </w:r>
      <w:proofErr w:type="spellEnd"/>
      <w:r>
        <w:t xml:space="preserve"> e </w:t>
      </w:r>
      <w:proofErr w:type="spellStart"/>
      <w:r>
        <w:t>garantuar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punëtorët</w:t>
      </w:r>
      <w:proofErr w:type="spellEnd"/>
      <w:r>
        <w:t xml:space="preserve"> e </w:t>
      </w:r>
      <w:proofErr w:type="spellStart"/>
      <w:r>
        <w:t>ish</w:t>
      </w:r>
      <w:proofErr w:type="spellEnd"/>
      <w:r>
        <w:t>-NSH-</w:t>
      </w:r>
      <w:proofErr w:type="spellStart"/>
      <w:r>
        <w:t>ve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jep</w:t>
      </w:r>
      <w:proofErr w:type="spellEnd"/>
      <w:r>
        <w:t xml:space="preserve"> </w:t>
      </w:r>
      <w:proofErr w:type="spellStart"/>
      <w:r>
        <w:t>kompenzimin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kreditorët</w:t>
      </w:r>
      <w:proofErr w:type="spellEnd"/>
      <w:r>
        <w:t xml:space="preserve"> e </w:t>
      </w:r>
      <w:proofErr w:type="spellStart"/>
      <w:r>
        <w:t>tjerë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mundshëm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ruhen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mirëbesim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AKP-</w:t>
      </w:r>
      <w:proofErr w:type="spellStart"/>
      <w:r>
        <w:t>së</w:t>
      </w:r>
      <w:proofErr w:type="spellEnd"/>
      <w:r>
        <w:t xml:space="preserve">. </w:t>
      </w:r>
      <w:proofErr w:type="spellStart"/>
      <w:r>
        <w:t>Ligji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parashikojë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mundësitë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format e </w:t>
      </w:r>
      <w:proofErr w:type="spellStart"/>
      <w:r>
        <w:t>transferit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AKP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pronësinë</w:t>
      </w:r>
      <w:proofErr w:type="spellEnd"/>
      <w:r>
        <w:t xml:space="preserve"> e FSRK.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shkak</w:t>
      </w:r>
      <w:proofErr w:type="spellEnd"/>
      <w:r>
        <w:t xml:space="preserve"> se </w:t>
      </w:r>
      <w:proofErr w:type="spellStart"/>
      <w:r>
        <w:t>bartja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AKP </w:t>
      </w:r>
      <w:proofErr w:type="spellStart"/>
      <w:r>
        <w:t>nënkupton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kosto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Qeverinë</w:t>
      </w:r>
      <w:proofErr w:type="spellEnd"/>
      <w:r>
        <w:t xml:space="preserve">, </w:t>
      </w:r>
      <w:proofErr w:type="spellStart"/>
      <w:r>
        <w:t>rekomandohet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kapitalit</w:t>
      </w:r>
      <w:proofErr w:type="spellEnd"/>
      <w:r>
        <w:t xml:space="preserve"> </w:t>
      </w:r>
      <w:proofErr w:type="spellStart"/>
      <w:r>
        <w:t>startues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parashihet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kompenzues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asetet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do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përvetësojë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AKP,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implikime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buxhetore</w:t>
      </w:r>
      <w:proofErr w:type="spellEnd"/>
      <w:r>
        <w:t>.</w:t>
      </w:r>
    </w:p>
    <w:p w14:paraId="073897A8" w14:textId="77777777" w:rsidR="000E7BCB" w:rsidRDefault="000E7BCB"/>
    <w:p w14:paraId="211EBFC8" w14:textId="77777777" w:rsidR="000E7BCB" w:rsidRDefault="00A620E4">
      <w:proofErr w:type="spellStart"/>
      <w:r>
        <w:t>Sipas</w:t>
      </w:r>
      <w:proofErr w:type="spellEnd"/>
      <w:r>
        <w:t xml:space="preserve"> </w:t>
      </w:r>
      <w:proofErr w:type="spellStart"/>
      <w:r>
        <w:t>llojit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gjendjes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AKP,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ka </w:t>
      </w:r>
      <w:proofErr w:type="spellStart"/>
      <w:r>
        <w:t>vlerësuar</w:t>
      </w:r>
      <w:proofErr w:type="spellEnd"/>
      <w:r>
        <w:t xml:space="preserve"> se </w:t>
      </w:r>
      <w:proofErr w:type="spellStart"/>
      <w:r>
        <w:t>strategjia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efektive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planin</w:t>
      </w:r>
      <w:proofErr w:type="spellEnd"/>
      <w:r>
        <w:t xml:space="preserve"> </w:t>
      </w:r>
      <w:proofErr w:type="spellStart"/>
      <w:r>
        <w:t>afatshkurtër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ishte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orientohet</w:t>
      </w:r>
      <w:proofErr w:type="spellEnd"/>
      <w:r>
        <w:t xml:space="preserve"> </w:t>
      </w:r>
      <w:proofErr w:type="spellStart"/>
      <w:r>
        <w:t>fillimisht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asetet</w:t>
      </w:r>
      <w:proofErr w:type="spellEnd"/>
      <w:r>
        <w:t xml:space="preserve"> e AKP-</w:t>
      </w:r>
      <w:proofErr w:type="spellStart"/>
      <w:r>
        <w:t>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kategorisë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patundshme</w:t>
      </w:r>
      <w:proofErr w:type="spellEnd"/>
      <w:r>
        <w:t xml:space="preserve">,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, </w:t>
      </w:r>
      <w:proofErr w:type="spellStart"/>
      <w:r>
        <w:t>toka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toka</w:t>
      </w:r>
      <w:proofErr w:type="spellEnd"/>
      <w:r>
        <w:t xml:space="preserve"> </w:t>
      </w:r>
      <w:proofErr w:type="spellStart"/>
      <w:r>
        <w:t>bujqësore</w:t>
      </w:r>
      <w:proofErr w:type="spellEnd"/>
      <w:r>
        <w:t xml:space="preserve">, me </w:t>
      </w:r>
      <w:proofErr w:type="spellStart"/>
      <w:r>
        <w:t>prioritet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aktualisht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</w:t>
      </w:r>
      <w:proofErr w:type="spellEnd"/>
      <w:r>
        <w:t xml:space="preserve"> me </w:t>
      </w:r>
      <w:proofErr w:type="spellStart"/>
      <w:r>
        <w:t>qera</w:t>
      </w:r>
      <w:proofErr w:type="spellEnd"/>
      <w:r>
        <w:t xml:space="preserve"> </w:t>
      </w:r>
      <w:proofErr w:type="spellStart"/>
      <w:r>
        <w:t>palëve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treta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AKP.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konsolidoheshin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re, </w:t>
      </w:r>
      <w:proofErr w:type="spellStart"/>
      <w:r>
        <w:t>Ndërmarrja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Patundshmërive</w:t>
      </w:r>
      <w:proofErr w:type="spellEnd"/>
      <w:r>
        <w:t xml:space="preserve"> (NMP), e </w:t>
      </w:r>
      <w:proofErr w:type="spellStart"/>
      <w:r>
        <w:t>cila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inkorporohej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pronësinë</w:t>
      </w:r>
      <w:proofErr w:type="spellEnd"/>
      <w:r>
        <w:t xml:space="preserve"> e FSRK.</w:t>
      </w:r>
    </w:p>
    <w:p w14:paraId="33B01487" w14:textId="77777777" w:rsidR="000E7BCB" w:rsidRDefault="000E7BCB"/>
    <w:p w14:paraId="051053B7" w14:textId="77777777" w:rsidR="000E7BCB" w:rsidRDefault="000E7BCB"/>
    <w:p w14:paraId="5E6850B2" w14:textId="77777777" w:rsidR="000E7BCB" w:rsidRDefault="00A620E4" w:rsidP="00C25392">
      <w:pPr>
        <w:pStyle w:val="Heading3"/>
        <w:numPr>
          <w:ilvl w:val="0"/>
          <w:numId w:val="0"/>
        </w:numPr>
      </w:pPr>
      <w:bookmarkStart w:id="36" w:name="_Toc93312399"/>
      <w:r>
        <w:lastRenderedPageBreak/>
        <w:t xml:space="preserve">4.3.7.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</w:t>
      </w:r>
      <w:proofErr w:type="spellStart"/>
      <w:r>
        <w:t>agjensive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jashtme</w:t>
      </w:r>
      <w:proofErr w:type="spellEnd"/>
      <w:r>
        <w:t xml:space="preserve"> </w:t>
      </w:r>
      <w:proofErr w:type="spellStart"/>
      <w:r>
        <w:t>zhvillimore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donatorëve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tjerë</w:t>
      </w:r>
      <w:bookmarkEnd w:id="36"/>
      <w:proofErr w:type="spellEnd"/>
    </w:p>
    <w:p w14:paraId="62ECA5DD" w14:textId="77777777" w:rsidR="000E7BCB" w:rsidRDefault="000E7BCB"/>
    <w:p w14:paraId="2BA3EA06" w14:textId="77777777" w:rsidR="000E7BCB" w:rsidRDefault="00A620E4"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punimeve</w:t>
      </w:r>
      <w:proofErr w:type="spellEnd"/>
      <w:r>
        <w:t xml:space="preserve"> ka </w:t>
      </w:r>
      <w:proofErr w:type="spellStart"/>
      <w:r>
        <w:t>zhvilluar</w:t>
      </w:r>
      <w:proofErr w:type="spellEnd"/>
      <w:r>
        <w:t xml:space="preserve"> </w:t>
      </w:r>
      <w:proofErr w:type="spellStart"/>
      <w:r>
        <w:t>kontakte</w:t>
      </w:r>
      <w:proofErr w:type="spellEnd"/>
      <w:r>
        <w:t xml:space="preserve"> me </w:t>
      </w:r>
      <w:proofErr w:type="spellStart"/>
      <w:r>
        <w:t>institucione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zhvillimore</w:t>
      </w:r>
      <w:proofErr w:type="spellEnd"/>
      <w:r>
        <w:t xml:space="preserve"> </w:t>
      </w:r>
      <w:proofErr w:type="spellStart"/>
      <w:r>
        <w:t>aktive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, </w:t>
      </w:r>
      <w:proofErr w:type="spellStart"/>
      <w:r>
        <w:t>lista</w:t>
      </w:r>
      <w:proofErr w:type="spellEnd"/>
      <w:r>
        <w:t xml:space="preserve"> e </w:t>
      </w:r>
      <w:proofErr w:type="spellStart"/>
      <w:r>
        <w:t>pjesërishme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cilëve</w:t>
      </w:r>
      <w:proofErr w:type="spellEnd"/>
      <w:r>
        <w:t xml:space="preserve"> </w:t>
      </w:r>
      <w:proofErr w:type="spellStart"/>
      <w:r>
        <w:t>jepet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.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institucione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shprehur</w:t>
      </w:r>
      <w:proofErr w:type="spellEnd"/>
      <w:r>
        <w:t xml:space="preserve"> </w:t>
      </w:r>
      <w:proofErr w:type="spellStart"/>
      <w:r>
        <w:t>interesim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përkrahjen</w:t>
      </w:r>
      <w:proofErr w:type="spellEnd"/>
      <w:r>
        <w:t xml:space="preserve"> e </w:t>
      </w:r>
      <w:proofErr w:type="spellStart"/>
      <w:r>
        <w:t>procesit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themelimit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aspekte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reformës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ristrukturimeve</w:t>
      </w:r>
      <w:proofErr w:type="spellEnd"/>
      <w:r>
        <w:t xml:space="preserve"> </w:t>
      </w:r>
      <w:proofErr w:type="spellStart"/>
      <w:r>
        <w:t>sektorale</w:t>
      </w:r>
      <w:proofErr w:type="spellEnd"/>
      <w:r>
        <w:t xml:space="preserve">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krijimit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kushteve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nisje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suksesshme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FSRK. </w:t>
      </w:r>
      <w:proofErr w:type="spellStart"/>
      <w:r>
        <w:t>Mbështetja</w:t>
      </w:r>
      <w:proofErr w:type="spellEnd"/>
      <w:r>
        <w:t xml:space="preserve"> e </w:t>
      </w:r>
      <w:proofErr w:type="spellStart"/>
      <w:r>
        <w:t>ofruar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teknike</w:t>
      </w:r>
      <w:proofErr w:type="spellEnd"/>
      <w:r>
        <w:t xml:space="preserve">, </w:t>
      </w:r>
      <w:proofErr w:type="spellStart"/>
      <w:r>
        <w:t>financiare</w:t>
      </w:r>
      <w:proofErr w:type="spellEnd"/>
      <w:r>
        <w:t xml:space="preserve"> por </w:t>
      </w:r>
      <w:proofErr w:type="spellStart"/>
      <w:r>
        <w:t>edhe</w:t>
      </w:r>
      <w:proofErr w:type="spellEnd"/>
      <w:r>
        <w:t xml:space="preserve"> e </w:t>
      </w:r>
      <w:proofErr w:type="spellStart"/>
      <w:r>
        <w:t>formave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. </w:t>
      </w:r>
      <w:proofErr w:type="spellStart"/>
      <w:r>
        <w:t>Kjo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programeve</w:t>
      </w:r>
      <w:proofErr w:type="spellEnd"/>
      <w:r>
        <w:t xml:space="preserve"> </w:t>
      </w:r>
      <w:proofErr w:type="spellStart"/>
      <w:r>
        <w:t>ekzistuese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institucione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programeve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reja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organizohen</w:t>
      </w:r>
      <w:proofErr w:type="spellEnd"/>
      <w:r>
        <w:t xml:space="preserve"> </w:t>
      </w:r>
      <w:proofErr w:type="spellStart"/>
      <w:r>
        <w:t>enkas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mbështetur</w:t>
      </w:r>
      <w:proofErr w:type="spellEnd"/>
      <w:r>
        <w:t xml:space="preserve">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themelimit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FSRK.</w:t>
      </w:r>
    </w:p>
    <w:p w14:paraId="4A55C0BF" w14:textId="77777777" w:rsidR="000E7BCB" w:rsidRDefault="000E7BCB"/>
    <w:p w14:paraId="56D02DB0" w14:textId="77777777" w:rsidR="000E7BCB" w:rsidRDefault="000E7BCB"/>
    <w:p w14:paraId="0B758BA9" w14:textId="77777777" w:rsidR="000E7BCB" w:rsidRDefault="00A620E4">
      <w:r>
        <w:t xml:space="preserve">International Finance Corporation (IFC) / </w:t>
      </w:r>
      <w:proofErr w:type="spellStart"/>
      <w:r>
        <w:t>Projekti</w:t>
      </w:r>
      <w:proofErr w:type="spellEnd"/>
      <w:r>
        <w:t xml:space="preserve"> Klima e </w:t>
      </w:r>
      <w:proofErr w:type="spellStart"/>
      <w:r>
        <w:t>Investimeve</w:t>
      </w:r>
      <w:proofErr w:type="spellEnd"/>
      <w:r>
        <w:t xml:space="preserve"> II</w:t>
      </w:r>
    </w:p>
    <w:p w14:paraId="377B9A40" w14:textId="77777777" w:rsidR="000E7BCB" w:rsidRDefault="000E7BCB"/>
    <w:p w14:paraId="1BD96A82" w14:textId="77777777" w:rsidR="000E7BCB" w:rsidRDefault="00A620E4">
      <w:r>
        <w:t xml:space="preserve">IFC </w:t>
      </w:r>
      <w:proofErr w:type="spellStart"/>
      <w:r>
        <w:t>mund</w:t>
      </w:r>
      <w:proofErr w:type="spellEnd"/>
      <w:r>
        <w:t xml:space="preserve"> ta </w:t>
      </w:r>
      <w:proofErr w:type="spellStart"/>
      <w:r>
        <w:t>mbështese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FSRK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asistencës</w:t>
      </w:r>
      <w:proofErr w:type="spellEnd"/>
      <w:r>
        <w:t xml:space="preserve"> </w:t>
      </w:r>
      <w:proofErr w:type="spellStart"/>
      <w:r>
        <w:t>teknike</w:t>
      </w:r>
      <w:proofErr w:type="spellEnd"/>
      <w:r>
        <w:t xml:space="preserve"> </w:t>
      </w:r>
      <w:proofErr w:type="spellStart"/>
      <w:r>
        <w:t>direkte</w:t>
      </w:r>
      <w:proofErr w:type="spellEnd"/>
      <w:r>
        <w:t xml:space="preserve"> apo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 xml:space="preserve"> “Klima e </w:t>
      </w:r>
      <w:proofErr w:type="spellStart"/>
      <w:r>
        <w:t>Investimeve</w:t>
      </w:r>
      <w:proofErr w:type="spellEnd"/>
      <w:r>
        <w:t xml:space="preserve"> II”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e </w:t>
      </w:r>
      <w:proofErr w:type="spellStart"/>
      <w:r>
        <w:t>Zvicrës</w:t>
      </w:r>
      <w:proofErr w:type="spellEnd"/>
      <w:r>
        <w:t xml:space="preserve">. </w:t>
      </w:r>
    </w:p>
    <w:p w14:paraId="7ED7CE38" w14:textId="77777777" w:rsidR="000E7BCB" w:rsidRDefault="00A620E4">
      <w:proofErr w:type="spellStart"/>
      <w:r>
        <w:t>Qëllimi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 xml:space="preserve"> “Klima e </w:t>
      </w:r>
      <w:proofErr w:type="spellStart"/>
      <w:r>
        <w:t>Investimeve</w:t>
      </w:r>
      <w:proofErr w:type="spellEnd"/>
      <w:r>
        <w:t xml:space="preserve"> II”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rrisë</w:t>
      </w:r>
      <w:proofErr w:type="spellEnd"/>
      <w:r>
        <w:t xml:space="preserve"> </w:t>
      </w:r>
      <w:proofErr w:type="spellStart"/>
      <w:r>
        <w:t>konkurrueshmërinë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 duke </w:t>
      </w:r>
      <w:proofErr w:type="spellStart"/>
      <w:r>
        <w:t>ndihmuar</w:t>
      </w:r>
      <w:proofErr w:type="spellEnd"/>
      <w:r>
        <w:t xml:space="preserve"> </w:t>
      </w:r>
      <w:proofErr w:type="spellStart"/>
      <w:r>
        <w:t>Qeverinë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zabtoj</w:t>
      </w:r>
      <w:proofErr w:type="spellEnd"/>
      <w:r>
        <w:t xml:space="preserve"> reformat e </w:t>
      </w:r>
      <w:proofErr w:type="spellStart"/>
      <w:r>
        <w:t>klimës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 xml:space="preserve">. </w:t>
      </w:r>
      <w:proofErr w:type="spellStart"/>
      <w:r>
        <w:t>Projekti</w:t>
      </w:r>
      <w:proofErr w:type="spellEnd"/>
      <w:r>
        <w:t xml:space="preserve"> e </w:t>
      </w:r>
      <w:proofErr w:type="spellStart"/>
      <w:r>
        <w:t>ndihmon</w:t>
      </w:r>
      <w:proofErr w:type="spellEnd"/>
      <w:r>
        <w:t xml:space="preserve"> </w:t>
      </w:r>
      <w:proofErr w:type="spellStart"/>
      <w:r>
        <w:t>Ministrinë</w:t>
      </w:r>
      <w:proofErr w:type="spellEnd"/>
      <w:r>
        <w:t xml:space="preserve"> e </w:t>
      </w:r>
      <w:proofErr w:type="spellStart"/>
      <w:r>
        <w:t>Industrisë</w:t>
      </w:r>
      <w:proofErr w:type="spellEnd"/>
      <w:r>
        <w:t xml:space="preserve">, </w:t>
      </w:r>
      <w:proofErr w:type="spellStart"/>
      <w:r>
        <w:t>Ndërmarrësise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Tregtisë</w:t>
      </w:r>
      <w:proofErr w:type="spellEnd"/>
      <w:r>
        <w:t xml:space="preserve"> - MINT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agjencitë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 xml:space="preserve"> me </w:t>
      </w:r>
      <w:proofErr w:type="spellStart"/>
      <w:r>
        <w:t>thjeshtimin</w:t>
      </w:r>
      <w:proofErr w:type="spellEnd"/>
      <w:r>
        <w:t xml:space="preserve"> e </w:t>
      </w:r>
      <w:proofErr w:type="spellStart"/>
      <w:r>
        <w:t>politikave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procedurave</w:t>
      </w:r>
      <w:proofErr w:type="spellEnd"/>
      <w:r>
        <w:t xml:space="preserve"> administrative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tërheqjen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mbajtjen</w:t>
      </w:r>
      <w:proofErr w:type="spellEnd"/>
      <w:r>
        <w:t xml:space="preserve"> e IHD-</w:t>
      </w:r>
      <w:proofErr w:type="spellStart"/>
      <w:r>
        <w:t>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Strategjike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Investimeve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.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takimit</w:t>
      </w:r>
      <w:proofErr w:type="spellEnd"/>
      <w:r>
        <w:t xml:space="preserve"> me </w:t>
      </w:r>
      <w:proofErr w:type="spellStart"/>
      <w:r>
        <w:t>menaxherin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, </w:t>
      </w:r>
      <w:proofErr w:type="spellStart"/>
      <w:r>
        <w:t>Eugeniu</w:t>
      </w:r>
      <w:proofErr w:type="spellEnd"/>
      <w:r>
        <w:t xml:space="preserve"> </w:t>
      </w:r>
      <w:proofErr w:type="spellStart"/>
      <w:r>
        <w:t>Osmochescu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konsulentin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Besim</w:t>
      </w:r>
      <w:proofErr w:type="spellEnd"/>
      <w:r>
        <w:t xml:space="preserve"> </w:t>
      </w:r>
      <w:proofErr w:type="spellStart"/>
      <w:r>
        <w:t>Zeqiri</w:t>
      </w:r>
      <w:proofErr w:type="spellEnd"/>
      <w:r>
        <w:t xml:space="preserve">, u </w:t>
      </w:r>
      <w:proofErr w:type="spellStart"/>
      <w:r>
        <w:t>diskutua</w:t>
      </w:r>
      <w:proofErr w:type="spellEnd"/>
      <w:r>
        <w:t xml:space="preserve"> </w:t>
      </w:r>
      <w:proofErr w:type="spellStart"/>
      <w:r>
        <w:t>mundësia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ofruar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asistencë</w:t>
      </w:r>
      <w:proofErr w:type="spellEnd"/>
      <w:r>
        <w:t xml:space="preserve"> </w:t>
      </w:r>
      <w:proofErr w:type="spellStart"/>
      <w:r>
        <w:t>teknike</w:t>
      </w:r>
      <w:proofErr w:type="spellEnd"/>
      <w:r>
        <w:t xml:space="preserve"> (</w:t>
      </w:r>
      <w:proofErr w:type="spellStart"/>
      <w:r>
        <w:t>ligjore</w:t>
      </w:r>
      <w:proofErr w:type="spellEnd"/>
      <w:r>
        <w:t xml:space="preserve">)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</w:t>
      </w:r>
      <w:proofErr w:type="spellStart"/>
      <w:r>
        <w:t>mirëpo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aprovim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donatori</w:t>
      </w:r>
      <w:proofErr w:type="spellEnd"/>
      <w:r>
        <w:t xml:space="preserve"> (</w:t>
      </w:r>
      <w:proofErr w:type="spellStart"/>
      <w:r>
        <w:t>Qeveria</w:t>
      </w:r>
      <w:proofErr w:type="spellEnd"/>
      <w:r>
        <w:t xml:space="preserve"> e </w:t>
      </w:r>
      <w:proofErr w:type="spellStart"/>
      <w:r>
        <w:t>Zvicrës</w:t>
      </w:r>
      <w:proofErr w:type="spellEnd"/>
      <w:r>
        <w:t xml:space="preserve">).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tepër</w:t>
      </w:r>
      <w:proofErr w:type="spellEnd"/>
      <w:r>
        <w:t xml:space="preserve">, u </w:t>
      </w:r>
      <w:proofErr w:type="spellStart"/>
      <w:r>
        <w:t>përmend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mundësia</w:t>
      </w:r>
      <w:proofErr w:type="spellEnd"/>
      <w:r>
        <w:t xml:space="preserve"> e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Swiss Development Cooperation (SDC)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destinuar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mbështetur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FSRK. </w:t>
      </w:r>
    </w:p>
    <w:p w14:paraId="380F481C" w14:textId="77777777" w:rsidR="000E7BCB" w:rsidRDefault="000E7BCB"/>
    <w:p w14:paraId="3D4E2720" w14:textId="77777777" w:rsidR="000E7BCB" w:rsidRDefault="00A620E4">
      <w:proofErr w:type="spellStart"/>
      <w:r>
        <w:t>Personat</w:t>
      </w:r>
      <w:proofErr w:type="spellEnd"/>
      <w:r>
        <w:t xml:space="preserve"> </w:t>
      </w:r>
      <w:proofErr w:type="spellStart"/>
      <w:r>
        <w:t>kontaktues</w:t>
      </w:r>
      <w:proofErr w:type="spellEnd"/>
      <w:r>
        <w:t>:</w:t>
      </w:r>
    </w:p>
    <w:p w14:paraId="7A3FBF01" w14:textId="77777777" w:rsidR="000E7BCB" w:rsidRDefault="00A620E4">
      <w:proofErr w:type="spellStart"/>
      <w:r>
        <w:t>Eugeniu</w:t>
      </w:r>
      <w:proofErr w:type="spellEnd"/>
      <w:r>
        <w:t xml:space="preserve"> </w:t>
      </w:r>
      <w:proofErr w:type="spellStart"/>
      <w:r>
        <w:t>Osmochescu</w:t>
      </w:r>
      <w:proofErr w:type="spellEnd"/>
    </w:p>
    <w:p w14:paraId="7A8F7508" w14:textId="77777777" w:rsidR="000E7BCB" w:rsidRDefault="00A620E4">
      <w:r>
        <w:t>Project Manager</w:t>
      </w:r>
    </w:p>
    <w:p w14:paraId="6C89B4DB" w14:textId="77777777" w:rsidR="000E7BCB" w:rsidRDefault="00A620E4">
      <w:r>
        <w:t xml:space="preserve">IFC – </w:t>
      </w:r>
      <w:proofErr w:type="spellStart"/>
      <w:r>
        <w:t>Projekti</w:t>
      </w:r>
      <w:proofErr w:type="spellEnd"/>
      <w:r>
        <w:t xml:space="preserve"> Klima e </w:t>
      </w:r>
      <w:proofErr w:type="spellStart"/>
      <w:r>
        <w:t>Investimeve</w:t>
      </w:r>
      <w:proofErr w:type="spellEnd"/>
      <w:r>
        <w:t xml:space="preserve"> II</w:t>
      </w:r>
    </w:p>
    <w:p w14:paraId="79EC269F" w14:textId="77777777" w:rsidR="000E7BCB" w:rsidRDefault="00A620E4">
      <w:r>
        <w:t xml:space="preserve">E-mail: </w:t>
      </w:r>
      <w:hyperlink r:id="rId11">
        <w:r>
          <w:rPr>
            <w:color w:val="0563C1"/>
            <w:u w:val="single"/>
          </w:rPr>
          <w:t>eosomochedcu@ifc.org</w:t>
        </w:r>
      </w:hyperlink>
    </w:p>
    <w:p w14:paraId="7392A5B5" w14:textId="77777777" w:rsidR="000E7BCB" w:rsidRDefault="00A620E4">
      <w:r>
        <w:t>Tel: + 383 38 200 36 596</w:t>
      </w:r>
    </w:p>
    <w:p w14:paraId="5BEC0C02" w14:textId="77777777" w:rsidR="000E7BCB" w:rsidRDefault="000E7BCB"/>
    <w:p w14:paraId="0995A14A" w14:textId="77777777" w:rsidR="000E7BCB" w:rsidRDefault="00A620E4">
      <w:proofErr w:type="spellStart"/>
      <w:r>
        <w:t>Besim</w:t>
      </w:r>
      <w:proofErr w:type="spellEnd"/>
      <w:r>
        <w:t xml:space="preserve"> </w:t>
      </w:r>
      <w:proofErr w:type="spellStart"/>
      <w:r>
        <w:t>Zeqiri</w:t>
      </w:r>
      <w:proofErr w:type="spellEnd"/>
    </w:p>
    <w:p w14:paraId="4C595153" w14:textId="77777777" w:rsidR="000E7BCB" w:rsidRDefault="00A620E4">
      <w:r>
        <w:t>Consultant – Project Coordinator</w:t>
      </w:r>
    </w:p>
    <w:p w14:paraId="1991B4E5" w14:textId="77777777" w:rsidR="000E7BCB" w:rsidRDefault="00A620E4">
      <w:r>
        <w:t>IFC</w:t>
      </w:r>
    </w:p>
    <w:p w14:paraId="05D58392" w14:textId="77777777" w:rsidR="000E7BCB" w:rsidRDefault="00A620E4">
      <w:r>
        <w:t xml:space="preserve">E-mail: </w:t>
      </w:r>
      <w:hyperlink r:id="rId12">
        <w:r>
          <w:rPr>
            <w:color w:val="0563C1"/>
            <w:u w:val="single"/>
          </w:rPr>
          <w:t>bzeqiri@ifc.org</w:t>
        </w:r>
      </w:hyperlink>
    </w:p>
    <w:p w14:paraId="6B252B5D" w14:textId="77777777" w:rsidR="000E7BCB" w:rsidRDefault="00A620E4">
      <w:r>
        <w:t>Tel: +383 44 161 222</w:t>
      </w:r>
    </w:p>
    <w:p w14:paraId="0BFD78E3" w14:textId="77777777" w:rsidR="000E7BCB" w:rsidRDefault="000E7BCB"/>
    <w:p w14:paraId="161357BC" w14:textId="77777777" w:rsidR="000E7BCB" w:rsidRDefault="00A620E4">
      <w:proofErr w:type="spellStart"/>
      <w:r>
        <w:lastRenderedPageBreak/>
        <w:t>Visar</w:t>
      </w:r>
      <w:proofErr w:type="spellEnd"/>
      <w:r>
        <w:t xml:space="preserve"> </w:t>
      </w:r>
      <w:proofErr w:type="spellStart"/>
      <w:r>
        <w:t>Perani</w:t>
      </w:r>
      <w:proofErr w:type="spellEnd"/>
    </w:p>
    <w:p w14:paraId="7F1994C5" w14:textId="77777777" w:rsidR="000E7BCB" w:rsidRDefault="00A620E4">
      <w:r>
        <w:t>Country Officer</w:t>
      </w:r>
    </w:p>
    <w:p w14:paraId="136D42BA" w14:textId="77777777" w:rsidR="000E7BCB" w:rsidRDefault="00A620E4">
      <w:r>
        <w:t>IFC</w:t>
      </w:r>
    </w:p>
    <w:p w14:paraId="61A5A878" w14:textId="77777777" w:rsidR="000E7BCB" w:rsidRDefault="00A620E4">
      <w:r>
        <w:t>Tel: +383 44 930 900</w:t>
      </w:r>
    </w:p>
    <w:p w14:paraId="2B3CE7B3" w14:textId="77777777" w:rsidR="000E7BCB" w:rsidRDefault="00A620E4">
      <w:proofErr w:type="spellStart"/>
      <w:r>
        <w:t>E-maiL</w:t>
      </w:r>
      <w:proofErr w:type="spellEnd"/>
      <w:r>
        <w:t xml:space="preserve"> </w:t>
      </w:r>
      <w:hyperlink r:id="rId13">
        <w:r>
          <w:rPr>
            <w:color w:val="0563C1"/>
            <w:u w:val="single"/>
          </w:rPr>
          <w:t>vperani@ifc.org</w:t>
        </w:r>
      </w:hyperlink>
    </w:p>
    <w:p w14:paraId="5A918B47" w14:textId="77777777" w:rsidR="000E7BCB" w:rsidRDefault="000E7BCB"/>
    <w:p w14:paraId="1C99070D" w14:textId="77777777" w:rsidR="000E7BCB" w:rsidRDefault="000E7BCB"/>
    <w:p w14:paraId="35B0328C" w14:textId="77777777" w:rsidR="000E7BCB" w:rsidRDefault="00A620E4">
      <w:r>
        <w:t>European Bank for Reconstruction and Development (EBRD)</w:t>
      </w:r>
    </w:p>
    <w:p w14:paraId="439000DF" w14:textId="77777777" w:rsidR="000E7BCB" w:rsidRDefault="000E7BCB"/>
    <w:p w14:paraId="067E46F4" w14:textId="77777777" w:rsidR="000E7BCB" w:rsidRDefault="00A620E4">
      <w:r>
        <w:t xml:space="preserve">EBRD </w:t>
      </w:r>
      <w:proofErr w:type="spellStart"/>
      <w:r>
        <w:t>është</w:t>
      </w:r>
      <w:proofErr w:type="spellEnd"/>
      <w:r>
        <w:t xml:space="preserve"> duke </w:t>
      </w:r>
      <w:proofErr w:type="spellStart"/>
      <w:r>
        <w:t>i</w:t>
      </w:r>
      <w:proofErr w:type="spellEnd"/>
      <w:r>
        <w:t xml:space="preserve"> </w:t>
      </w:r>
      <w:proofErr w:type="spellStart"/>
      <w:r>
        <w:t>ndihmuar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 (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Ekonomisë</w:t>
      </w:r>
      <w:proofErr w:type="spellEnd"/>
      <w:r>
        <w:t xml:space="preserve">)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draftimin</w:t>
      </w:r>
      <w:proofErr w:type="spellEnd"/>
      <w:r>
        <w:t xml:space="preserve"> e </w:t>
      </w:r>
      <w:proofErr w:type="spellStart"/>
      <w:r>
        <w:t>Politikës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Pronësisë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 (State Ownership Policy). </w:t>
      </w:r>
    </w:p>
    <w:p w14:paraId="3574AD3F" w14:textId="77777777" w:rsidR="000E7BCB" w:rsidRDefault="000E7BCB"/>
    <w:p w14:paraId="582722FA" w14:textId="77777777" w:rsidR="000E7BCB" w:rsidRDefault="00A620E4">
      <w:proofErr w:type="spellStart"/>
      <w:r>
        <w:t>Involvimi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ERBD-</w:t>
      </w:r>
      <w:proofErr w:type="spellStart"/>
      <w:r>
        <w:t>së</w:t>
      </w:r>
      <w:proofErr w:type="spellEnd"/>
      <w:r>
        <w:t xml:space="preserve"> </w:t>
      </w:r>
      <w:proofErr w:type="spellStart"/>
      <w:r>
        <w:t>mundet</w:t>
      </w:r>
      <w:proofErr w:type="spellEnd"/>
      <w:r>
        <w:t xml:space="preserve"> me </w:t>
      </w:r>
      <w:proofErr w:type="spellStart"/>
      <w:r>
        <w:t>qenë</w:t>
      </w:r>
      <w:proofErr w:type="spellEnd"/>
      <w:r>
        <w:t xml:space="preserve"> me </w:t>
      </w:r>
      <w:proofErr w:type="spellStart"/>
      <w:r>
        <w:t>njëren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(</w:t>
      </w:r>
      <w:proofErr w:type="spellStart"/>
      <w:r>
        <w:t>Telekomi</w:t>
      </w:r>
      <w:proofErr w:type="spellEnd"/>
      <w:r>
        <w:t xml:space="preserve"> p.sh.) </w:t>
      </w:r>
      <w:proofErr w:type="spellStart"/>
      <w:r>
        <w:t>ku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ndihmojnë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ristrukturimin</w:t>
      </w:r>
      <w:proofErr w:type="spellEnd"/>
      <w:r>
        <w:t xml:space="preserve"> e </w:t>
      </w:r>
      <w:proofErr w:type="spellStart"/>
      <w:r>
        <w:t>ndërmarrjes</w:t>
      </w:r>
      <w:proofErr w:type="spellEnd"/>
      <w:r>
        <w:t xml:space="preserve">, </w:t>
      </w:r>
      <w:proofErr w:type="spellStart"/>
      <w:r>
        <w:t>strategjisë</w:t>
      </w:r>
      <w:proofErr w:type="spellEnd"/>
      <w:r>
        <w:t xml:space="preserve">, </w:t>
      </w:r>
      <w:proofErr w:type="spellStart"/>
      <w:r>
        <w:t>planit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qeverisje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ofrojnë</w:t>
      </w:r>
      <w:proofErr w:type="spellEnd"/>
      <w:r>
        <w:t xml:space="preserve"> </w:t>
      </w:r>
      <w:proofErr w:type="spellStart"/>
      <w:r>
        <w:t>asistencë</w:t>
      </w:r>
      <w:proofErr w:type="spellEnd"/>
      <w:r>
        <w:t xml:space="preserve"> </w:t>
      </w:r>
      <w:proofErr w:type="spellStart"/>
      <w:r>
        <w:t>teknike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operacionalizimin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, </w:t>
      </w:r>
      <w:proofErr w:type="spellStart"/>
      <w:r>
        <w:t>draftimin</w:t>
      </w:r>
      <w:proofErr w:type="spellEnd"/>
      <w:r>
        <w:t xml:space="preserve"> e </w:t>
      </w:r>
      <w:proofErr w:type="spellStart"/>
      <w:r>
        <w:t>procedurave</w:t>
      </w:r>
      <w:proofErr w:type="spellEnd"/>
      <w:r>
        <w:t xml:space="preserve"> per </w:t>
      </w:r>
      <w:proofErr w:type="spellStart"/>
      <w:r>
        <w:t>monitorim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identifikimin</w:t>
      </w:r>
      <w:proofErr w:type="spellEnd"/>
      <w:r>
        <w:t xml:space="preserve"> e </w:t>
      </w:r>
      <w:proofErr w:type="spellStart"/>
      <w:r>
        <w:t>indikatorëve</w:t>
      </w:r>
      <w:proofErr w:type="spellEnd"/>
      <w:r>
        <w:t xml:space="preserve"> </w:t>
      </w:r>
      <w:proofErr w:type="spellStart"/>
      <w:r>
        <w:t>kyq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performancës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pastaj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percjellen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njoftuar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Ministria</w:t>
      </w:r>
      <w:proofErr w:type="spellEnd"/>
      <w:r>
        <w:t xml:space="preserve"> e </w:t>
      </w:r>
      <w:proofErr w:type="spellStart"/>
      <w:r>
        <w:t>Ekonomisë</w:t>
      </w:r>
      <w:proofErr w:type="spellEnd"/>
      <w:r>
        <w:t>.</w:t>
      </w:r>
    </w:p>
    <w:p w14:paraId="7075A988" w14:textId="77777777" w:rsidR="000E7BCB" w:rsidRDefault="000E7BCB"/>
    <w:p w14:paraId="6CF5C901" w14:textId="77777777" w:rsidR="000E7BCB" w:rsidRDefault="00A620E4">
      <w:r>
        <w:t xml:space="preserve">EBRD e ka </w:t>
      </w:r>
      <w:proofErr w:type="spellStart"/>
      <w:r>
        <w:t>ndihmuar</w:t>
      </w:r>
      <w:proofErr w:type="spellEnd"/>
      <w:r>
        <w:t xml:space="preserve"> me </w:t>
      </w:r>
      <w:proofErr w:type="spellStart"/>
      <w:r>
        <w:t>asistencë</w:t>
      </w:r>
      <w:proofErr w:type="spellEnd"/>
      <w:r>
        <w:t xml:space="preserve"> </w:t>
      </w:r>
      <w:proofErr w:type="spellStart"/>
      <w:r>
        <w:t>teknike</w:t>
      </w:r>
      <w:proofErr w:type="spellEnd"/>
      <w:r>
        <w:t xml:space="preserve"> </w:t>
      </w:r>
      <w:r>
        <w:rPr>
          <w:i/>
        </w:rPr>
        <w:t>Slovenian Sovereign Holding</w:t>
      </w:r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monitorimin</w:t>
      </w:r>
      <w:proofErr w:type="spellEnd"/>
      <w:r>
        <w:t xml:space="preserve"> e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kontroll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udhëzime</w:t>
      </w:r>
      <w:proofErr w:type="spellEnd"/>
      <w:r>
        <w:t xml:space="preserve"> </w:t>
      </w:r>
      <w:proofErr w:type="spellStart"/>
      <w:proofErr w:type="gramStart"/>
      <w:r>
        <w:t>për</w:t>
      </w:r>
      <w:proofErr w:type="spellEnd"/>
      <w:r>
        <w:t xml:space="preserve">  </w:t>
      </w:r>
      <w:proofErr w:type="spellStart"/>
      <w:r>
        <w:t>strategji</w:t>
      </w:r>
      <w:proofErr w:type="spellEnd"/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. EBRD </w:t>
      </w:r>
      <w:proofErr w:type="spellStart"/>
      <w:r>
        <w:t>gjithashtu</w:t>
      </w:r>
      <w:proofErr w:type="spellEnd"/>
      <w:r>
        <w:t xml:space="preserve"> ka </w:t>
      </w:r>
      <w:proofErr w:type="spellStart"/>
      <w:r>
        <w:t>organizuar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Grupin</w:t>
      </w:r>
      <w:proofErr w:type="spellEnd"/>
      <w:r>
        <w:t xml:space="preserve"> </w:t>
      </w:r>
      <w:proofErr w:type="spellStart"/>
      <w:r>
        <w:t>Punes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takim</w:t>
      </w:r>
      <w:proofErr w:type="spellEnd"/>
      <w:r>
        <w:t xml:space="preserve"> me </w:t>
      </w:r>
      <w:proofErr w:type="spellStart"/>
      <w:r>
        <w:t>përfaqësues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Slovenian Sovereign Holding,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konsultë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shkëmbim</w:t>
      </w:r>
      <w:proofErr w:type="spellEnd"/>
      <w:r>
        <w:t xml:space="preserve"> </w:t>
      </w:r>
      <w:proofErr w:type="spellStart"/>
      <w:r>
        <w:t>përvojash</w:t>
      </w:r>
      <w:proofErr w:type="spellEnd"/>
      <w:r>
        <w:t>.</w:t>
      </w:r>
    </w:p>
    <w:p w14:paraId="2C2D1C48" w14:textId="77777777" w:rsidR="000E7BCB" w:rsidRDefault="00A620E4">
      <w:r>
        <w:t xml:space="preserve"> </w:t>
      </w:r>
    </w:p>
    <w:p w14:paraId="59A2C5CE" w14:textId="77777777" w:rsidR="000E7BCB" w:rsidRDefault="00A620E4">
      <w:proofErr w:type="spellStart"/>
      <w:r>
        <w:t>Për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tepër</w:t>
      </w:r>
      <w:proofErr w:type="spellEnd"/>
      <w:r>
        <w:t xml:space="preserve">, </w:t>
      </w:r>
      <w:proofErr w:type="spellStart"/>
      <w:r>
        <w:t>përfaqësuesit</w:t>
      </w:r>
      <w:proofErr w:type="spellEnd"/>
      <w:r>
        <w:t xml:space="preserve"> e EBRD-</w:t>
      </w:r>
      <w:proofErr w:type="spellStart"/>
      <w:r>
        <w:t>së</w:t>
      </w:r>
      <w:proofErr w:type="spellEnd"/>
      <w:r>
        <w:t xml:space="preserve"> u </w:t>
      </w:r>
      <w:proofErr w:type="spellStart"/>
      <w:r>
        <w:t>shprehën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gatshëm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ndihmojnë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Grupin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me </w:t>
      </w:r>
      <w:proofErr w:type="spellStart"/>
      <w:r>
        <w:t>asistencë</w:t>
      </w:r>
      <w:proofErr w:type="spellEnd"/>
      <w:r>
        <w:t xml:space="preserve"> </w:t>
      </w:r>
      <w:proofErr w:type="spellStart"/>
      <w:r>
        <w:t>teknike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qoftë</w:t>
      </w:r>
      <w:proofErr w:type="spellEnd"/>
      <w:r>
        <w:t xml:space="preserve"> se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nevojshme</w:t>
      </w:r>
      <w:proofErr w:type="spellEnd"/>
      <w:r>
        <w:t xml:space="preserve">, </w:t>
      </w:r>
      <w:proofErr w:type="spellStart"/>
      <w:r>
        <w:t>mirëpo</w:t>
      </w:r>
      <w:proofErr w:type="spellEnd"/>
      <w:r>
        <w:t xml:space="preserve"> </w:t>
      </w:r>
      <w:proofErr w:type="spellStart"/>
      <w:r>
        <w:t>procedurat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prokurimit</w:t>
      </w:r>
      <w:proofErr w:type="spellEnd"/>
      <w:r>
        <w:t xml:space="preserve"> </w:t>
      </w:r>
      <w:proofErr w:type="spellStart"/>
      <w:r>
        <w:t>zgjasin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2 </w:t>
      </w:r>
      <w:proofErr w:type="spellStart"/>
      <w:r>
        <w:t>muaj</w:t>
      </w:r>
      <w:proofErr w:type="spellEnd"/>
      <w:r>
        <w:t xml:space="preserve">, </w:t>
      </w:r>
      <w:proofErr w:type="spellStart"/>
      <w:r>
        <w:t>dhë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shkak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limiteve</w:t>
      </w:r>
      <w:proofErr w:type="spellEnd"/>
      <w:r>
        <w:t xml:space="preserve"> </w:t>
      </w:r>
      <w:proofErr w:type="spellStart"/>
      <w:r>
        <w:t>kohore</w:t>
      </w:r>
      <w:proofErr w:type="spellEnd"/>
      <w:r>
        <w:t xml:space="preserve">, u ra </w:t>
      </w:r>
      <w:proofErr w:type="spellStart"/>
      <w:r>
        <w:t>dakord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asistenca</w:t>
      </w:r>
      <w:proofErr w:type="spellEnd"/>
      <w:r>
        <w:t xml:space="preserve"> </w:t>
      </w:r>
      <w:proofErr w:type="spellStart"/>
      <w:r>
        <w:t>teknike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oforhet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fazat</w:t>
      </w:r>
      <w:proofErr w:type="spellEnd"/>
      <w:r>
        <w:t xml:space="preserve"> </w:t>
      </w:r>
      <w:proofErr w:type="spellStart"/>
      <w:r>
        <w:t>pasuese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themelimit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FSRK.</w:t>
      </w:r>
    </w:p>
    <w:p w14:paraId="548B4CE5" w14:textId="77777777" w:rsidR="000E7BCB" w:rsidRDefault="000E7BCB"/>
    <w:p w14:paraId="7F11DDF4" w14:textId="77777777" w:rsidR="000E7BCB" w:rsidRDefault="00A620E4">
      <w:proofErr w:type="spellStart"/>
      <w:r>
        <w:t>Personat</w:t>
      </w:r>
      <w:proofErr w:type="spellEnd"/>
      <w:r>
        <w:t xml:space="preserve"> </w:t>
      </w:r>
      <w:proofErr w:type="spellStart"/>
      <w:r>
        <w:t>kontaktues</w:t>
      </w:r>
      <w:proofErr w:type="spellEnd"/>
      <w:r>
        <w:t>:</w:t>
      </w:r>
    </w:p>
    <w:p w14:paraId="6B7CE801" w14:textId="77777777" w:rsidR="000E7BCB" w:rsidRDefault="00A620E4">
      <w:r>
        <w:br/>
      </w:r>
      <w:proofErr w:type="spellStart"/>
      <w:r>
        <w:t>Milot</w:t>
      </w:r>
      <w:proofErr w:type="spellEnd"/>
      <w:r>
        <w:t xml:space="preserve"> </w:t>
      </w:r>
      <w:proofErr w:type="spellStart"/>
      <w:r>
        <w:t>Ahma</w:t>
      </w:r>
      <w:proofErr w:type="spellEnd"/>
    </w:p>
    <w:p w14:paraId="31DD4CB3" w14:textId="77777777" w:rsidR="000E7BCB" w:rsidRDefault="00A620E4">
      <w:r>
        <w:t>Acting Counsel</w:t>
      </w:r>
    </w:p>
    <w:p w14:paraId="11D43CE2" w14:textId="77777777" w:rsidR="000E7BCB" w:rsidRDefault="00A620E4">
      <w:r>
        <w:t>European Bank for Reconstruction and Development</w:t>
      </w:r>
    </w:p>
    <w:p w14:paraId="16305304" w14:textId="77777777" w:rsidR="000E7BCB" w:rsidRDefault="00A620E4">
      <w:r>
        <w:t>T: +44(0) 20 7338 6590</w:t>
      </w:r>
    </w:p>
    <w:p w14:paraId="56ED7AAC" w14:textId="77777777" w:rsidR="000E7BCB" w:rsidRDefault="00A620E4">
      <w:r>
        <w:t xml:space="preserve">E-mail: </w:t>
      </w:r>
      <w:hyperlink r:id="rId14">
        <w:r>
          <w:rPr>
            <w:color w:val="0563C1"/>
            <w:u w:val="single"/>
          </w:rPr>
          <w:t>AhmaM@ebrd.com</w:t>
        </w:r>
      </w:hyperlink>
    </w:p>
    <w:p w14:paraId="6F87F77E" w14:textId="77777777" w:rsidR="000E7BCB" w:rsidRDefault="00A620E4">
      <w:r>
        <w:t xml:space="preserve"> </w:t>
      </w:r>
    </w:p>
    <w:p w14:paraId="4E2E82E6" w14:textId="77777777" w:rsidR="000E7BCB" w:rsidRDefault="00A620E4">
      <w:r>
        <w:t>Neil Taylor</w:t>
      </w:r>
    </w:p>
    <w:p w14:paraId="6960A192" w14:textId="77777777" w:rsidR="000E7BCB" w:rsidRDefault="00A620E4">
      <w:r>
        <w:t>EBRD, Head of Kosovo</w:t>
      </w:r>
    </w:p>
    <w:p w14:paraId="3B234D15" w14:textId="77777777" w:rsidR="000E7BCB" w:rsidRDefault="00A620E4">
      <w:r>
        <w:t>European Bank for Reconstruction and Development</w:t>
      </w:r>
    </w:p>
    <w:p w14:paraId="5450FFCF" w14:textId="77777777" w:rsidR="000E7BCB" w:rsidRDefault="00A620E4">
      <w:r>
        <w:t xml:space="preserve">Tel: </w:t>
      </w:r>
      <w:hyperlink r:id="rId15">
        <w:r>
          <w:rPr>
            <w:color w:val="0563C1"/>
            <w:u w:val="single"/>
          </w:rPr>
          <w:t>+381 38 24207000</w:t>
        </w:r>
      </w:hyperlink>
    </w:p>
    <w:p w14:paraId="42729898" w14:textId="77777777" w:rsidR="000E7BCB" w:rsidRDefault="00A620E4">
      <w:r>
        <w:t xml:space="preserve">E-mail: </w:t>
      </w:r>
      <w:hyperlink r:id="rId16">
        <w:r>
          <w:rPr>
            <w:color w:val="0563C1"/>
            <w:u w:val="single"/>
          </w:rPr>
          <w:t>TaylorN@ebrd.com</w:t>
        </w:r>
      </w:hyperlink>
    </w:p>
    <w:p w14:paraId="4154C461" w14:textId="77777777" w:rsidR="000E7BCB" w:rsidRDefault="000E7BCB"/>
    <w:p w14:paraId="6BFE89D0" w14:textId="77777777" w:rsidR="000E7BCB" w:rsidRDefault="00A620E4">
      <w:proofErr w:type="spellStart"/>
      <w:r>
        <w:t>Arianit</w:t>
      </w:r>
      <w:proofErr w:type="spellEnd"/>
      <w:r>
        <w:t xml:space="preserve"> Blakaj</w:t>
      </w:r>
    </w:p>
    <w:p w14:paraId="1EF9E2D5" w14:textId="77777777" w:rsidR="000E7BCB" w:rsidRDefault="00A620E4">
      <w:r>
        <w:t>Principal Banker</w:t>
      </w:r>
    </w:p>
    <w:p w14:paraId="737FB900" w14:textId="77777777" w:rsidR="000E7BCB" w:rsidRDefault="00A620E4">
      <w:r>
        <w:t>European Bank for Reconstruction and Development</w:t>
      </w:r>
    </w:p>
    <w:p w14:paraId="05E93AFA" w14:textId="77777777" w:rsidR="000E7BCB" w:rsidRDefault="00A620E4">
      <w:r>
        <w:t xml:space="preserve">Tel: </w:t>
      </w:r>
      <w:hyperlink r:id="rId17">
        <w:r>
          <w:rPr>
            <w:color w:val="0563C1"/>
            <w:u w:val="single"/>
          </w:rPr>
          <w:t>+381 38 24207000</w:t>
        </w:r>
      </w:hyperlink>
    </w:p>
    <w:p w14:paraId="5F88339A" w14:textId="77777777" w:rsidR="000E7BCB" w:rsidRDefault="00A620E4">
      <w:r>
        <w:t xml:space="preserve">E-mail: </w:t>
      </w:r>
      <w:hyperlink r:id="rId18">
        <w:r>
          <w:rPr>
            <w:color w:val="0563C1"/>
            <w:u w:val="single"/>
          </w:rPr>
          <w:t>BlakajA@ebrd.com</w:t>
        </w:r>
      </w:hyperlink>
    </w:p>
    <w:p w14:paraId="07309049" w14:textId="77777777" w:rsidR="000E7BCB" w:rsidRDefault="000E7BCB"/>
    <w:p w14:paraId="6D1C053A" w14:textId="77777777" w:rsidR="000E7BCB" w:rsidRDefault="000E7BCB"/>
    <w:p w14:paraId="67017190" w14:textId="77777777" w:rsidR="000E7BCB" w:rsidRDefault="00A620E4">
      <w:proofErr w:type="spellStart"/>
      <w:r>
        <w:t>KfW</w:t>
      </w:r>
      <w:proofErr w:type="spellEnd"/>
      <w:r>
        <w:t xml:space="preserve"> Development Bank</w:t>
      </w:r>
    </w:p>
    <w:p w14:paraId="3D6E85F1" w14:textId="77777777" w:rsidR="000E7BCB" w:rsidRDefault="000E7BCB"/>
    <w:p w14:paraId="54154637" w14:textId="77777777" w:rsidR="000E7BCB" w:rsidRDefault="00A620E4">
      <w:r>
        <w:t xml:space="preserve">Banka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Zhvillim</w:t>
      </w:r>
      <w:proofErr w:type="spellEnd"/>
      <w:r>
        <w:t xml:space="preserve"> </w:t>
      </w:r>
      <w:proofErr w:type="spellStart"/>
      <w:r>
        <w:t>KfW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duke </w:t>
      </w:r>
      <w:proofErr w:type="spellStart"/>
      <w:r>
        <w:t>ndihmuar</w:t>
      </w:r>
      <w:proofErr w:type="spellEnd"/>
      <w:r>
        <w:t xml:space="preserve"> </w:t>
      </w:r>
      <w:proofErr w:type="spellStart"/>
      <w:r>
        <w:t>Kosovën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zhvillojë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furnizim</w:t>
      </w:r>
      <w:proofErr w:type="spellEnd"/>
      <w:r>
        <w:t xml:space="preserve"> </w:t>
      </w:r>
      <w:proofErr w:type="spellStart"/>
      <w:r>
        <w:t>efikas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qëndrueshëm</w:t>
      </w:r>
      <w:proofErr w:type="spellEnd"/>
      <w:r>
        <w:t xml:space="preserve"> me </w:t>
      </w:r>
      <w:proofErr w:type="spellStart"/>
      <w:r>
        <w:t>energji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mbështesë</w:t>
      </w:r>
      <w:proofErr w:type="spellEnd"/>
      <w:r>
        <w:t xml:space="preserve"> </w:t>
      </w:r>
      <w:proofErr w:type="spellStart"/>
      <w:r>
        <w:t>zhvillimin</w:t>
      </w:r>
      <w:proofErr w:type="spellEnd"/>
      <w:r>
        <w:t xml:space="preserve"> e </w:t>
      </w:r>
      <w:proofErr w:type="spellStart"/>
      <w:r>
        <w:t>qëndrueshëm</w:t>
      </w:r>
      <w:proofErr w:type="spellEnd"/>
      <w:r>
        <w:t xml:space="preserve"> urban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promovojë</w:t>
      </w:r>
      <w:proofErr w:type="spellEnd"/>
      <w:r>
        <w:t xml:space="preserve"> </w:t>
      </w:r>
      <w:proofErr w:type="spellStart"/>
      <w:r>
        <w:t>ndërmarrjet</w:t>
      </w:r>
      <w:proofErr w:type="spellEnd"/>
      <w:r>
        <w:t xml:space="preserve"> e </w:t>
      </w:r>
      <w:proofErr w:type="spellStart"/>
      <w:r>
        <w:t>vogla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motor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ekonominë</w:t>
      </w:r>
      <w:proofErr w:type="spellEnd"/>
      <w:r>
        <w:t xml:space="preserve"> </w:t>
      </w:r>
      <w:proofErr w:type="spellStart"/>
      <w:r>
        <w:t>kosovare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ndihmojnë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krijimin</w:t>
      </w:r>
      <w:proofErr w:type="spellEnd"/>
      <w:r>
        <w:t xml:space="preserve"> e </w:t>
      </w:r>
      <w:proofErr w:type="spellStart"/>
      <w:r>
        <w:t>vendeve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>.</w:t>
      </w:r>
    </w:p>
    <w:p w14:paraId="4F3399C0" w14:textId="77777777" w:rsidR="000E7BCB" w:rsidRDefault="000E7BCB"/>
    <w:p w14:paraId="099E3890" w14:textId="77777777" w:rsidR="000E7BCB" w:rsidRDefault="00A620E4">
      <w:proofErr w:type="spellStart"/>
      <w:r>
        <w:t>KfW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shoqëron</w:t>
      </w:r>
      <w:proofErr w:type="spellEnd"/>
      <w:r>
        <w:t xml:space="preserve"> </w:t>
      </w:r>
      <w:proofErr w:type="spellStart"/>
      <w:r>
        <w:t>financimet</w:t>
      </w:r>
      <w:proofErr w:type="spellEnd"/>
      <w:r>
        <w:t>/</w:t>
      </w:r>
      <w:proofErr w:type="spellStart"/>
      <w:r>
        <w:t>grantet</w:t>
      </w:r>
      <w:proofErr w:type="spellEnd"/>
      <w:r>
        <w:t xml:space="preserve"> me </w:t>
      </w:r>
      <w:proofErr w:type="spellStart"/>
      <w:r>
        <w:t>asistencë</w:t>
      </w:r>
      <w:proofErr w:type="spellEnd"/>
      <w:r>
        <w:t xml:space="preserve"> </w:t>
      </w:r>
      <w:proofErr w:type="spellStart"/>
      <w:r>
        <w:t>teknike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nevojave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përfituesve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zakonisht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ofron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asistencë</w:t>
      </w:r>
      <w:proofErr w:type="spellEnd"/>
      <w:r>
        <w:t xml:space="preserve"> </w:t>
      </w:r>
      <w:proofErr w:type="spellStart"/>
      <w:r>
        <w:t>teknkike</w:t>
      </w:r>
      <w:proofErr w:type="spellEnd"/>
      <w:r>
        <w:t xml:space="preserve">.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takimit</w:t>
      </w:r>
      <w:proofErr w:type="spellEnd"/>
      <w:r>
        <w:t xml:space="preserve">, </w:t>
      </w:r>
      <w:proofErr w:type="spellStart"/>
      <w:r>
        <w:t>ata</w:t>
      </w:r>
      <w:proofErr w:type="spellEnd"/>
      <w:r>
        <w:t xml:space="preserve"> </w:t>
      </w:r>
      <w:proofErr w:type="spellStart"/>
      <w:r>
        <w:t>ishin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hapur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financim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 xml:space="preserve">, </w:t>
      </w:r>
      <w:proofErr w:type="spellStart"/>
      <w:r>
        <w:t>mirëpo</w:t>
      </w:r>
      <w:proofErr w:type="spellEnd"/>
      <w:r>
        <w:t xml:space="preserve"> </w:t>
      </w:r>
      <w:proofErr w:type="spellStart"/>
      <w:r>
        <w:t>fillimisht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ta </w:t>
      </w:r>
      <w:proofErr w:type="spellStart"/>
      <w:r>
        <w:t>shohin</w:t>
      </w:r>
      <w:proofErr w:type="spellEnd"/>
      <w:r>
        <w:t xml:space="preserve"> </w:t>
      </w:r>
      <w:proofErr w:type="spellStart"/>
      <w:r>
        <w:t>koncept</w:t>
      </w:r>
      <w:proofErr w:type="spellEnd"/>
      <w:r>
        <w:t xml:space="preserve"> </w:t>
      </w:r>
      <w:proofErr w:type="spellStart"/>
      <w:r>
        <w:t>dokumentin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angleze</w:t>
      </w:r>
      <w:proofErr w:type="spellEnd"/>
      <w:r>
        <w:t xml:space="preserve">.  </w:t>
      </w:r>
      <w:proofErr w:type="spellStart"/>
      <w:r>
        <w:t>KfW</w:t>
      </w:r>
      <w:proofErr w:type="spellEnd"/>
      <w:r>
        <w:t xml:space="preserve"> </w:t>
      </w:r>
      <w:proofErr w:type="spellStart"/>
      <w:r>
        <w:t>shprehi</w:t>
      </w:r>
      <w:proofErr w:type="spellEnd"/>
      <w:r>
        <w:t xml:space="preserve"> </w:t>
      </w:r>
      <w:proofErr w:type="spellStart"/>
      <w:r>
        <w:t>gatishmëri</w:t>
      </w:r>
      <w:proofErr w:type="spellEnd"/>
      <w:r>
        <w:t xml:space="preserve"> per ta </w:t>
      </w:r>
      <w:proofErr w:type="spellStart"/>
      <w:r>
        <w:t>rishikuar</w:t>
      </w:r>
      <w:proofErr w:type="spellEnd"/>
      <w:r>
        <w:t xml:space="preserve"> </w:t>
      </w:r>
      <w:proofErr w:type="spellStart"/>
      <w:r>
        <w:t>dokumentin</w:t>
      </w:r>
      <w:proofErr w:type="spellEnd"/>
      <w:r>
        <w:t xml:space="preserve"> (pas </w:t>
      </w:r>
      <w:proofErr w:type="spellStart"/>
      <w:r>
        <w:t>perfundimit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>) </w:t>
      </w:r>
      <w:proofErr w:type="spellStart"/>
      <w:r>
        <w:t>nga</w:t>
      </w:r>
      <w:proofErr w:type="spellEnd"/>
      <w:r>
        <w:t xml:space="preserve"> </w:t>
      </w:r>
      <w:proofErr w:type="spellStart"/>
      <w:r>
        <w:t>ekspertet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brendshëm</w:t>
      </w:r>
      <w:proofErr w:type="spellEnd"/>
      <w:r>
        <w:t> (</w:t>
      </w:r>
      <w:proofErr w:type="spellStart"/>
      <w:r>
        <w:t>qoftë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jo-</w:t>
      </w:r>
      <w:proofErr w:type="spellStart"/>
      <w:r>
        <w:t>zyrtarisht</w:t>
      </w:r>
      <w:proofErr w:type="spellEnd"/>
      <w:r>
        <w:t xml:space="preserve">), </w:t>
      </w:r>
      <w:proofErr w:type="spellStart"/>
      <w:r>
        <w:t>pasi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bankë</w:t>
      </w:r>
      <w:proofErr w:type="spellEnd"/>
      <w:r>
        <w:t xml:space="preserve"> </w:t>
      </w:r>
      <w:proofErr w:type="spellStart"/>
      <w:r>
        <w:t>zhvillimore</w:t>
      </w:r>
      <w:proofErr w:type="spellEnd"/>
      <w:r>
        <w:t xml:space="preserve">,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pervoje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mbajtjen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>. </w:t>
      </w:r>
    </w:p>
    <w:p w14:paraId="15ECAFAD" w14:textId="77777777" w:rsidR="000E7BCB" w:rsidRDefault="000E7BCB"/>
    <w:p w14:paraId="341C3EA3" w14:textId="77777777" w:rsidR="000E7BCB" w:rsidRDefault="00A620E4">
      <w:proofErr w:type="spellStart"/>
      <w:r>
        <w:t>Personi</w:t>
      </w:r>
      <w:proofErr w:type="spellEnd"/>
      <w:r>
        <w:t xml:space="preserve"> </w:t>
      </w:r>
      <w:proofErr w:type="spellStart"/>
      <w:r>
        <w:t>kontaktues</w:t>
      </w:r>
      <w:proofErr w:type="spellEnd"/>
      <w:r>
        <w:t>:</w:t>
      </w:r>
    </w:p>
    <w:p w14:paraId="3A9BD54C" w14:textId="77777777" w:rsidR="000E7BCB" w:rsidRDefault="00A620E4">
      <w:r>
        <w:t>Thomas M. Adams</w:t>
      </w:r>
    </w:p>
    <w:p w14:paraId="07529589" w14:textId="77777777" w:rsidR="000E7BCB" w:rsidRDefault="00A620E4">
      <w:r>
        <w:t>Senior Portfolio Manager for Sustainable Economic Development</w:t>
      </w:r>
    </w:p>
    <w:p w14:paraId="063F62D8" w14:textId="77777777" w:rsidR="000E7BCB" w:rsidRDefault="00A620E4">
      <w:proofErr w:type="spellStart"/>
      <w:r>
        <w:t>KfW</w:t>
      </w:r>
      <w:proofErr w:type="spellEnd"/>
      <w:r>
        <w:t> Development Bank</w:t>
      </w:r>
    </w:p>
    <w:p w14:paraId="48BFA32D" w14:textId="77777777" w:rsidR="000E7BCB" w:rsidRDefault="00A620E4">
      <w:pPr>
        <w:rPr>
          <w:u w:val="single"/>
        </w:rPr>
      </w:pPr>
      <w:r>
        <w:t>Tel.: +49 69 7431 3320</w:t>
      </w:r>
      <w:r>
        <w:br/>
        <w:t xml:space="preserve">E-mail: </w:t>
      </w:r>
      <w:hyperlink r:id="rId19">
        <w:r>
          <w:rPr>
            <w:color w:val="0563C1"/>
            <w:u w:val="single"/>
          </w:rPr>
          <w:t>thomas.adams@kfw.de</w:t>
        </w:r>
      </w:hyperlink>
    </w:p>
    <w:p w14:paraId="7AE3E3B7" w14:textId="77777777" w:rsidR="000E7BCB" w:rsidRDefault="000E7BCB"/>
    <w:p w14:paraId="13A3D2AD" w14:textId="77777777" w:rsidR="000E7BCB" w:rsidRDefault="000E7BCB"/>
    <w:p w14:paraId="0ED5FF9B" w14:textId="77777777" w:rsidR="000E7BCB" w:rsidRDefault="00A620E4">
      <w:r>
        <w:t>World Bank</w:t>
      </w:r>
    </w:p>
    <w:p w14:paraId="42BB9F19" w14:textId="77777777" w:rsidR="000E7BCB" w:rsidRDefault="000E7BCB"/>
    <w:p w14:paraId="32D347FE" w14:textId="77777777" w:rsidR="000E7BCB" w:rsidRDefault="00A620E4">
      <w:r>
        <w:t xml:space="preserve">Banka </w:t>
      </w:r>
      <w:proofErr w:type="spellStart"/>
      <w:r>
        <w:t>Botërore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ta </w:t>
      </w:r>
      <w:proofErr w:type="spellStart"/>
      <w:r>
        <w:t>mbështes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FSRK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asistencës</w:t>
      </w:r>
      <w:proofErr w:type="spellEnd"/>
      <w:r>
        <w:t xml:space="preserve"> </w:t>
      </w:r>
      <w:proofErr w:type="spellStart"/>
      <w:r>
        <w:t>teknike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fokusuar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qeverisje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 xml:space="preserve">. </w:t>
      </w:r>
      <w:proofErr w:type="spellStart"/>
      <w:r>
        <w:t>Gjate</w:t>
      </w:r>
      <w:proofErr w:type="spellEnd"/>
      <w:r>
        <w:t xml:space="preserve"> </w:t>
      </w:r>
      <w:proofErr w:type="spellStart"/>
      <w:r>
        <w:t>diskutimit</w:t>
      </w:r>
      <w:proofErr w:type="spellEnd"/>
      <w:r>
        <w:t xml:space="preserve"> me </w:t>
      </w:r>
      <w:proofErr w:type="spellStart"/>
      <w:r>
        <w:t>përfaqesues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Bankës</w:t>
      </w:r>
      <w:proofErr w:type="spellEnd"/>
      <w:r>
        <w:t xml:space="preserve"> </w:t>
      </w:r>
      <w:proofErr w:type="spellStart"/>
      <w:r>
        <w:t>Botërore</w:t>
      </w:r>
      <w:proofErr w:type="spellEnd"/>
      <w:r>
        <w:t xml:space="preserve">, u </w:t>
      </w:r>
      <w:proofErr w:type="spellStart"/>
      <w:r>
        <w:t>kërkua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definohen</w:t>
      </w:r>
      <w:proofErr w:type="spellEnd"/>
      <w:r>
        <w:t xml:space="preserve"> </w:t>
      </w:r>
      <w:proofErr w:type="spellStart"/>
      <w:r>
        <w:t>nevojat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asistencë</w:t>
      </w:r>
      <w:proofErr w:type="spellEnd"/>
      <w:r>
        <w:t xml:space="preserve"> </w:t>
      </w:r>
      <w:proofErr w:type="spellStart"/>
      <w:r>
        <w:t>teknike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vazhdojnë</w:t>
      </w:r>
      <w:proofErr w:type="spellEnd"/>
      <w:r>
        <w:t xml:space="preserve"> </w:t>
      </w:r>
      <w:proofErr w:type="spellStart"/>
      <w:r>
        <w:t>diskutimet</w:t>
      </w:r>
      <w:proofErr w:type="spellEnd"/>
      <w:r>
        <w:t xml:space="preserve">.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ceket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diskutimit</w:t>
      </w:r>
      <w:proofErr w:type="spellEnd"/>
      <w:r>
        <w:t xml:space="preserve">, u </w:t>
      </w:r>
      <w:proofErr w:type="spellStart"/>
      <w:r>
        <w:t>përmend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mundësia</w:t>
      </w:r>
      <w:proofErr w:type="spellEnd"/>
      <w:r>
        <w:t xml:space="preserve"> e </w:t>
      </w:r>
      <w:proofErr w:type="spellStart"/>
      <w:r>
        <w:t>mbështetjes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</w:t>
      </w:r>
      <w:proofErr w:type="spellStart"/>
      <w:r>
        <w:t>Bankës</w:t>
      </w:r>
      <w:proofErr w:type="spellEnd"/>
      <w:r>
        <w:t xml:space="preserve"> </w:t>
      </w:r>
      <w:proofErr w:type="spellStart"/>
      <w:r>
        <w:t>Zhvillimore</w:t>
      </w:r>
      <w:proofErr w:type="spellEnd"/>
      <w:r>
        <w:t>.</w:t>
      </w:r>
    </w:p>
    <w:p w14:paraId="6E7DA0CE" w14:textId="77777777" w:rsidR="000E7BCB" w:rsidRDefault="000E7BCB"/>
    <w:p w14:paraId="648EEE41" w14:textId="77777777" w:rsidR="000E7BCB" w:rsidRDefault="00A620E4">
      <w:proofErr w:type="spellStart"/>
      <w:r>
        <w:t>Personi</w:t>
      </w:r>
      <w:proofErr w:type="spellEnd"/>
      <w:r>
        <w:t xml:space="preserve"> </w:t>
      </w:r>
      <w:proofErr w:type="spellStart"/>
      <w:r>
        <w:t>kontakutes</w:t>
      </w:r>
      <w:proofErr w:type="spellEnd"/>
      <w:r>
        <w:t>:</w:t>
      </w:r>
    </w:p>
    <w:p w14:paraId="5A571159" w14:textId="77777777" w:rsidR="000E7BCB" w:rsidRDefault="00A620E4">
      <w:proofErr w:type="spellStart"/>
      <w:r>
        <w:t>Rhedon</w:t>
      </w:r>
      <w:proofErr w:type="spellEnd"/>
      <w:r>
        <w:t xml:space="preserve"> </w:t>
      </w:r>
      <w:proofErr w:type="spellStart"/>
      <w:r>
        <w:t>Begolli</w:t>
      </w:r>
      <w:proofErr w:type="spellEnd"/>
    </w:p>
    <w:p w14:paraId="59416616" w14:textId="77777777" w:rsidR="000E7BCB" w:rsidRDefault="00A620E4">
      <w:r>
        <w:t xml:space="preserve">Senior Energy </w:t>
      </w:r>
      <w:proofErr w:type="spellStart"/>
      <w:r>
        <w:t>Specialit</w:t>
      </w:r>
      <w:proofErr w:type="spellEnd"/>
    </w:p>
    <w:p w14:paraId="3CF64344" w14:textId="77777777" w:rsidR="000E7BCB" w:rsidRDefault="00A620E4">
      <w:r>
        <w:t xml:space="preserve">World Bank </w:t>
      </w:r>
    </w:p>
    <w:p w14:paraId="4E7F6969" w14:textId="77777777" w:rsidR="000E7BCB" w:rsidRDefault="00A620E4">
      <w:r>
        <w:lastRenderedPageBreak/>
        <w:t xml:space="preserve">E-mail: </w:t>
      </w:r>
      <w:hyperlink r:id="rId20">
        <w:r>
          <w:rPr>
            <w:color w:val="0563C1"/>
            <w:u w:val="single"/>
          </w:rPr>
          <w:t>rbegolli@worldbank.org</w:t>
        </w:r>
      </w:hyperlink>
    </w:p>
    <w:p w14:paraId="08FBB598" w14:textId="77777777" w:rsidR="000E7BCB" w:rsidRDefault="00A620E4">
      <w:r>
        <w:t>Tel: +383 49 567 600</w:t>
      </w:r>
    </w:p>
    <w:p w14:paraId="3B723088" w14:textId="77777777" w:rsidR="000E7BCB" w:rsidRDefault="000E7BCB"/>
    <w:p w14:paraId="26BCA09B" w14:textId="77777777" w:rsidR="000E7BCB" w:rsidRDefault="000E7BCB"/>
    <w:p w14:paraId="2D6A33ED" w14:textId="77777777" w:rsidR="000E7BCB" w:rsidRDefault="00A620E4">
      <w:proofErr w:type="spellStart"/>
      <w:r>
        <w:t>Ambasada</w:t>
      </w:r>
      <w:proofErr w:type="spellEnd"/>
      <w:r>
        <w:t xml:space="preserve"> </w:t>
      </w:r>
      <w:proofErr w:type="spellStart"/>
      <w:r>
        <w:t>Norvegjeze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</w:p>
    <w:p w14:paraId="5E56C7DD" w14:textId="77777777" w:rsidR="000E7BCB" w:rsidRDefault="000E7BCB"/>
    <w:p w14:paraId="423E4F0A" w14:textId="77777777" w:rsidR="000E7BCB" w:rsidRDefault="00A620E4">
      <w:proofErr w:type="spellStart"/>
      <w:r>
        <w:t>Norvegjia</w:t>
      </w:r>
      <w:proofErr w:type="spellEnd"/>
      <w:r>
        <w:t xml:space="preserve"> </w:t>
      </w:r>
      <w:proofErr w:type="spellStart"/>
      <w:r>
        <w:t>mbështet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sërë</w:t>
      </w:r>
      <w:proofErr w:type="spellEnd"/>
      <w:r>
        <w:t xml:space="preserve"> </w:t>
      </w:r>
      <w:proofErr w:type="spellStart"/>
      <w:r>
        <w:t>nismash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rajon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nxitur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ngushtë</w:t>
      </w:r>
      <w:proofErr w:type="spellEnd"/>
      <w:r>
        <w:t xml:space="preserve"> </w:t>
      </w:r>
      <w:proofErr w:type="spellStart"/>
      <w:r>
        <w:t>rajonal</w:t>
      </w:r>
      <w:proofErr w:type="spellEnd"/>
      <w:r>
        <w:t xml:space="preserve">,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drejtësisë</w:t>
      </w:r>
      <w:proofErr w:type="spellEnd"/>
      <w:r>
        <w:t xml:space="preserve"> </w:t>
      </w:r>
      <w:proofErr w:type="spellStart"/>
      <w:r>
        <w:t>tranzicionale</w:t>
      </w:r>
      <w:proofErr w:type="spellEnd"/>
      <w:r>
        <w:t xml:space="preserve">, </w:t>
      </w:r>
      <w:proofErr w:type="spellStart"/>
      <w:r>
        <w:t>zhvillimin</w:t>
      </w:r>
      <w:proofErr w:type="spellEnd"/>
      <w:r>
        <w:t xml:space="preserve"> socio-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rritjes</w:t>
      </w:r>
      <w:proofErr w:type="spellEnd"/>
      <w:r>
        <w:t xml:space="preserve"> </w:t>
      </w:r>
      <w:proofErr w:type="spellStart"/>
      <w:r>
        <w:t>ekonomike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konkurrueshmërisë</w:t>
      </w:r>
      <w:proofErr w:type="spellEnd"/>
      <w:r>
        <w:t xml:space="preserve">, </w:t>
      </w:r>
      <w:proofErr w:type="spellStart"/>
      <w:r>
        <w:t>rritjes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kapaciteteve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>
        <w:t xml:space="preserve"> e </w:t>
      </w:r>
      <w:proofErr w:type="spellStart"/>
      <w:r>
        <w:t>mjedisit</w:t>
      </w:r>
      <w:proofErr w:type="spellEnd"/>
      <w:r>
        <w:t>/</w:t>
      </w:r>
      <w:proofErr w:type="spellStart"/>
      <w:r>
        <w:t>klimës</w:t>
      </w:r>
      <w:proofErr w:type="spellEnd"/>
      <w:r>
        <w:t>/</w:t>
      </w:r>
      <w:proofErr w:type="spellStart"/>
      <w:r>
        <w:t>energjisë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rritjes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përfshirjes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ekonomike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grupeve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margjinalizuara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qeverisjen</w:t>
      </w:r>
      <w:proofErr w:type="spellEnd"/>
      <w:r>
        <w:t xml:space="preserve"> e </w:t>
      </w:r>
      <w:proofErr w:type="spellStart"/>
      <w:r>
        <w:t>mirë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mbështetjes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zhvillimin</w:t>
      </w:r>
      <w:proofErr w:type="spellEnd"/>
      <w:r>
        <w:t xml:space="preserve"> e </w:t>
      </w:r>
      <w:proofErr w:type="spellStart"/>
      <w:r>
        <w:t>sundim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, </w:t>
      </w:r>
      <w:proofErr w:type="spellStart"/>
      <w:r>
        <w:t>reformës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sektorin</w:t>
      </w:r>
      <w:proofErr w:type="spellEnd"/>
      <w:r>
        <w:t xml:space="preserve"> e </w:t>
      </w:r>
      <w:proofErr w:type="spellStart"/>
      <w:r>
        <w:t>mbrojtjes</w:t>
      </w:r>
      <w:proofErr w:type="spellEnd"/>
      <w:r>
        <w:t xml:space="preserve">, </w:t>
      </w:r>
      <w:proofErr w:type="spellStart"/>
      <w:r>
        <w:t>shoqërisë</w:t>
      </w:r>
      <w:proofErr w:type="spellEnd"/>
      <w:r>
        <w:t xml:space="preserve"> civile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mediave</w:t>
      </w:r>
      <w:proofErr w:type="spellEnd"/>
      <w:r>
        <w:t xml:space="preserve">, </w:t>
      </w:r>
      <w:proofErr w:type="spellStart"/>
      <w:r>
        <w:t>pakicave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luftës</w:t>
      </w:r>
      <w:proofErr w:type="spellEnd"/>
      <w:r>
        <w:t xml:space="preserve"> </w:t>
      </w:r>
      <w:proofErr w:type="spellStart"/>
      <w:r>
        <w:t>kundër</w:t>
      </w:r>
      <w:proofErr w:type="spellEnd"/>
      <w:r>
        <w:t xml:space="preserve"> </w:t>
      </w:r>
      <w:proofErr w:type="spellStart"/>
      <w:r>
        <w:t>krimit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organizuar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korrupsionit</w:t>
      </w:r>
      <w:proofErr w:type="spellEnd"/>
      <w:r>
        <w:t>.</w:t>
      </w:r>
    </w:p>
    <w:p w14:paraId="6B6AFFBB" w14:textId="77777777" w:rsidR="000E7BCB" w:rsidRDefault="000E7BCB"/>
    <w:p w14:paraId="02E1A59E" w14:textId="77777777" w:rsidR="000E7BCB" w:rsidRDefault="00A620E4">
      <w:proofErr w:type="spellStart"/>
      <w:r>
        <w:t>Gjatë</w:t>
      </w:r>
      <w:proofErr w:type="spellEnd"/>
      <w:r>
        <w:t xml:space="preserve"> </w:t>
      </w:r>
      <w:proofErr w:type="spellStart"/>
      <w:r>
        <w:t>diskutimeve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themelimit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FSRK, </w:t>
      </w:r>
      <w:proofErr w:type="spellStart"/>
      <w:r>
        <w:t>përfaqesues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Ambasadës</w:t>
      </w:r>
      <w:proofErr w:type="spellEnd"/>
      <w:r>
        <w:t xml:space="preserve"> </w:t>
      </w:r>
      <w:proofErr w:type="spellStart"/>
      <w:r>
        <w:t>shpehën</w:t>
      </w:r>
      <w:proofErr w:type="spellEnd"/>
      <w:r>
        <w:t xml:space="preserve"> </w:t>
      </w:r>
      <w:proofErr w:type="spellStart"/>
      <w:r>
        <w:t>gatishmëri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mbështetur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nismë</w:t>
      </w:r>
      <w:proofErr w:type="spellEnd"/>
      <w:r>
        <w:t>.</w:t>
      </w:r>
    </w:p>
    <w:p w14:paraId="259B5B78" w14:textId="77777777" w:rsidR="000E7BCB" w:rsidRDefault="000E7BCB"/>
    <w:p w14:paraId="5410BF7F" w14:textId="77777777" w:rsidR="000E7BCB" w:rsidRDefault="00A620E4">
      <w:proofErr w:type="spellStart"/>
      <w:r>
        <w:t>Për</w:t>
      </w:r>
      <w:proofErr w:type="spellEnd"/>
      <w:r>
        <w:t xml:space="preserve"> </w:t>
      </w:r>
      <w:proofErr w:type="spellStart"/>
      <w:r>
        <w:t>momentin</w:t>
      </w:r>
      <w:proofErr w:type="spellEnd"/>
      <w:r>
        <w:t xml:space="preserve">, </w:t>
      </w:r>
      <w:proofErr w:type="spellStart"/>
      <w:r>
        <w:t>asistencë</w:t>
      </w:r>
      <w:proofErr w:type="spellEnd"/>
      <w:r>
        <w:t xml:space="preserve"> </w:t>
      </w:r>
      <w:proofErr w:type="spellStart"/>
      <w:r>
        <w:t>teknike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nevoja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themelimit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fusha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me reformat e EU </w:t>
      </w:r>
      <w:proofErr w:type="spellStart"/>
      <w:r>
        <w:rPr>
          <w:i/>
        </w:rPr>
        <w:t>acqui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administratës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KOS-18/0005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mbështet</w:t>
      </w:r>
      <w:proofErr w:type="spellEnd"/>
      <w:r>
        <w:t xml:space="preserve"> </w:t>
      </w:r>
      <w:proofErr w:type="spellStart"/>
      <w:r>
        <w:t>institucionet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menaxhojnë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MSA -</w:t>
      </w:r>
      <w:proofErr w:type="spellStart"/>
      <w:r>
        <w:t>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nëntë</w:t>
      </w:r>
      <w:proofErr w:type="spellEnd"/>
      <w:r>
        <w:t xml:space="preserve"> </w:t>
      </w:r>
      <w:proofErr w:type="spellStart"/>
      <w:r>
        <w:t>kapituj</w:t>
      </w:r>
      <w:proofErr w:type="spellEnd"/>
      <w:r>
        <w:t xml:space="preserve">: 4, 9, 10, 15, 18, 19, 27, 28 </w:t>
      </w:r>
      <w:proofErr w:type="spellStart"/>
      <w:r>
        <w:t>dhe</w:t>
      </w:r>
      <w:proofErr w:type="spellEnd"/>
      <w:r>
        <w:t xml:space="preserve"> 32. </w:t>
      </w:r>
      <w:proofErr w:type="spellStart"/>
      <w:r>
        <w:t>Qëllimi</w:t>
      </w:r>
      <w:proofErr w:type="spellEnd"/>
      <w:r>
        <w:t xml:space="preserve"> </w:t>
      </w:r>
      <w:proofErr w:type="spellStart"/>
      <w:r>
        <w:t>kryesor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rrisë</w:t>
      </w:r>
      <w:proofErr w:type="spellEnd"/>
      <w:r>
        <w:t xml:space="preserve"> </w:t>
      </w:r>
      <w:proofErr w:type="spellStart"/>
      <w:r>
        <w:t>kapacitetet</w:t>
      </w:r>
      <w:proofErr w:type="spellEnd"/>
      <w:r>
        <w:t xml:space="preserve"> </w:t>
      </w:r>
      <w:proofErr w:type="spellStart"/>
      <w:r>
        <w:t>njerëzore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ekspertizën</w:t>
      </w:r>
      <w:proofErr w:type="spellEnd"/>
      <w:r>
        <w:t xml:space="preserve"> e </w:t>
      </w:r>
      <w:proofErr w:type="spellStart"/>
      <w:r>
        <w:t>administratës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legjislacionit</w:t>
      </w:r>
      <w:proofErr w:type="spellEnd"/>
      <w:r>
        <w:t xml:space="preserve"> </w:t>
      </w:r>
      <w:proofErr w:type="spellStart"/>
      <w:r>
        <w:t>kombëtar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harmonizuar</w:t>
      </w:r>
      <w:proofErr w:type="spellEnd"/>
      <w:r>
        <w:t xml:space="preserve"> me </w:t>
      </w:r>
      <w:r>
        <w:rPr>
          <w:i/>
        </w:rPr>
        <w:t>acquis</w:t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zonat</w:t>
      </w:r>
      <w:proofErr w:type="spellEnd"/>
      <w:r>
        <w:t xml:space="preserve"> e </w:t>
      </w:r>
      <w:proofErr w:type="spellStart"/>
      <w:r>
        <w:t>synuara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mbështetjen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përafrimin</w:t>
      </w:r>
      <w:proofErr w:type="spellEnd"/>
      <w:r>
        <w:t xml:space="preserve"> e </w:t>
      </w:r>
      <w:proofErr w:type="spellStart"/>
      <w:r>
        <w:t>legjislacionit</w:t>
      </w:r>
      <w:proofErr w:type="spellEnd"/>
      <w:r>
        <w:t xml:space="preserve"> </w:t>
      </w:r>
      <w:proofErr w:type="spellStart"/>
      <w:r>
        <w:t>kombëtar</w:t>
      </w:r>
      <w:proofErr w:type="spellEnd"/>
      <w:r>
        <w:t xml:space="preserve"> me acquis </w:t>
      </w:r>
      <w:proofErr w:type="spellStart"/>
      <w:r>
        <w:t>të</w:t>
      </w:r>
      <w:proofErr w:type="spellEnd"/>
      <w:r>
        <w:t xml:space="preserve"> BE -</w:t>
      </w:r>
      <w:proofErr w:type="spellStart"/>
      <w:r>
        <w:t>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fushat</w:t>
      </w:r>
      <w:proofErr w:type="spellEnd"/>
      <w:r>
        <w:t xml:space="preserve"> e </w:t>
      </w:r>
      <w:proofErr w:type="spellStart"/>
      <w:r>
        <w:t>synuara</w:t>
      </w:r>
      <w:proofErr w:type="spellEnd"/>
      <w:r>
        <w:t xml:space="preserve">. </w:t>
      </w:r>
      <w:proofErr w:type="spellStart"/>
      <w:r>
        <w:t>Njëkohësisht</w:t>
      </w:r>
      <w:proofErr w:type="spellEnd"/>
      <w:r>
        <w:t xml:space="preserve">,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KSV/019 – </w:t>
      </w:r>
      <w:proofErr w:type="spellStart"/>
      <w:r>
        <w:t>Asistencë</w:t>
      </w:r>
      <w:proofErr w:type="spellEnd"/>
      <w:r>
        <w:t xml:space="preserve"> </w:t>
      </w:r>
      <w:proofErr w:type="spellStart"/>
      <w:r>
        <w:t>Teknike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integrim</w:t>
      </w:r>
      <w:proofErr w:type="spellEnd"/>
      <w:r>
        <w:t xml:space="preserve"> </w:t>
      </w:r>
      <w:proofErr w:type="spellStart"/>
      <w:r>
        <w:t>Evropian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mbështetut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e </w:t>
      </w:r>
      <w:proofErr w:type="spellStart"/>
      <w:r>
        <w:t>Luksemburgut</w:t>
      </w:r>
      <w:proofErr w:type="spellEnd"/>
      <w:r>
        <w:t xml:space="preserve">,  ka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kontribuojë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përpjekjet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përmbushur</w:t>
      </w:r>
      <w:proofErr w:type="spellEnd"/>
      <w:r>
        <w:t xml:space="preserve"> </w:t>
      </w:r>
      <w:proofErr w:type="spellStart"/>
      <w:r>
        <w:t>kërkesat</w:t>
      </w:r>
      <w:proofErr w:type="spellEnd"/>
      <w:r>
        <w:t xml:space="preserve"> e MSA -</w:t>
      </w:r>
      <w:proofErr w:type="spellStart"/>
      <w:r>
        <w:t>së</w:t>
      </w:r>
      <w:proofErr w:type="spellEnd"/>
      <w:r>
        <w:t xml:space="preserve"> me BE -</w:t>
      </w:r>
      <w:proofErr w:type="spellStart"/>
      <w:r>
        <w:t>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detyrimet</w:t>
      </w:r>
      <w:proofErr w:type="spellEnd"/>
      <w:r>
        <w:t xml:space="preserve"> e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dalin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nevoja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me acquis </w:t>
      </w:r>
      <w:proofErr w:type="spellStart"/>
      <w:r>
        <w:t>të</w:t>
      </w:r>
      <w:proofErr w:type="spellEnd"/>
      <w:r>
        <w:t xml:space="preserve"> BE -</w:t>
      </w:r>
      <w:proofErr w:type="spellStart"/>
      <w:r>
        <w:t>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kapitujt</w:t>
      </w:r>
      <w:proofErr w:type="spellEnd"/>
      <w:r>
        <w:t xml:space="preserve"> 1, 3, 5, 6 ,7, 8 12, 23, 24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reforma</w:t>
      </w:r>
      <w:proofErr w:type="spellEnd"/>
      <w:r>
        <w:t xml:space="preserve"> e </w:t>
      </w:r>
      <w:proofErr w:type="spellStart"/>
      <w:r>
        <w:t>Adminstratës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shfytëzohet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nevoja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themelimit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fusha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me reformat e EU </w:t>
      </w:r>
      <w:proofErr w:type="spellStart"/>
      <w:r>
        <w:rPr>
          <w:i/>
        </w:rPr>
        <w:t>acqui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administrates </w:t>
      </w:r>
      <w:proofErr w:type="spellStart"/>
      <w:r>
        <w:t>publike</w:t>
      </w:r>
      <w:proofErr w:type="spellEnd"/>
      <w:r>
        <w:t>.</w:t>
      </w:r>
    </w:p>
    <w:p w14:paraId="218F3EC2" w14:textId="77777777" w:rsidR="000E7BCB" w:rsidRDefault="000E7BCB"/>
    <w:p w14:paraId="0F67673B" w14:textId="77777777" w:rsidR="000E7BCB" w:rsidRDefault="00A620E4">
      <w:proofErr w:type="spellStart"/>
      <w:r>
        <w:t>Personat</w:t>
      </w:r>
      <w:proofErr w:type="spellEnd"/>
      <w:r>
        <w:t xml:space="preserve"> </w:t>
      </w:r>
      <w:proofErr w:type="spellStart"/>
      <w:r>
        <w:t>kontaktues</w:t>
      </w:r>
      <w:proofErr w:type="spellEnd"/>
      <w:r>
        <w:t>:</w:t>
      </w:r>
    </w:p>
    <w:p w14:paraId="0CEFF23E" w14:textId="77777777" w:rsidR="000E7BCB" w:rsidRDefault="00A620E4">
      <w:proofErr w:type="spellStart"/>
      <w:r>
        <w:t>Mimoza</w:t>
      </w:r>
      <w:proofErr w:type="spellEnd"/>
      <w:r>
        <w:t xml:space="preserve"> </w:t>
      </w:r>
      <w:proofErr w:type="spellStart"/>
      <w:r>
        <w:t>Janova</w:t>
      </w:r>
      <w:proofErr w:type="spellEnd"/>
    </w:p>
    <w:p w14:paraId="6C2CE3A7" w14:textId="77777777" w:rsidR="000E7BCB" w:rsidRDefault="00A620E4">
      <w:r>
        <w:t>Project Manager</w:t>
      </w:r>
    </w:p>
    <w:p w14:paraId="1126612D" w14:textId="77777777" w:rsidR="000E7BCB" w:rsidRDefault="00A620E4">
      <w:r>
        <w:t xml:space="preserve">Royal Norwegian Embassy in </w:t>
      </w:r>
      <w:proofErr w:type="spellStart"/>
      <w:r>
        <w:t>Prishtina</w:t>
      </w:r>
      <w:proofErr w:type="spellEnd"/>
    </w:p>
    <w:p w14:paraId="086AB738" w14:textId="77777777" w:rsidR="000E7BCB" w:rsidRDefault="00A620E4">
      <w:r>
        <w:t xml:space="preserve">E-mail: </w:t>
      </w:r>
      <w:hyperlink r:id="rId21">
        <w:r>
          <w:rPr>
            <w:color w:val="0563C1"/>
            <w:u w:val="single"/>
          </w:rPr>
          <w:t>Mimoza.Janova@mfa.no</w:t>
        </w:r>
      </w:hyperlink>
    </w:p>
    <w:p w14:paraId="010397D8" w14:textId="77777777" w:rsidR="000E7BCB" w:rsidRDefault="00A620E4">
      <w:r>
        <w:t>Tel: + 381 38 232 111 03</w:t>
      </w:r>
    </w:p>
    <w:p w14:paraId="01E4EB4D" w14:textId="77777777" w:rsidR="000E7BCB" w:rsidRDefault="000E7BCB"/>
    <w:p w14:paraId="4623946F" w14:textId="77777777" w:rsidR="000E7BCB" w:rsidRDefault="00A620E4">
      <w:proofErr w:type="spellStart"/>
      <w:r>
        <w:t>Gülten</w:t>
      </w:r>
      <w:proofErr w:type="spellEnd"/>
      <w:r>
        <w:t xml:space="preserve"> Aka</w:t>
      </w:r>
      <w:r>
        <w:br/>
        <w:t>Resident representative</w:t>
      </w:r>
    </w:p>
    <w:p w14:paraId="5E0232C9" w14:textId="77777777" w:rsidR="000E7BCB" w:rsidRDefault="00A620E4">
      <w:proofErr w:type="spellStart"/>
      <w:r>
        <w:t>LuxDev</w:t>
      </w:r>
      <w:proofErr w:type="spellEnd"/>
    </w:p>
    <w:p w14:paraId="15632D0D" w14:textId="77777777" w:rsidR="000E7BCB" w:rsidRDefault="00A620E4">
      <w:r>
        <w:lastRenderedPageBreak/>
        <w:t xml:space="preserve">E-mail: </w:t>
      </w:r>
      <w:hyperlink r:id="rId22">
        <w:r>
          <w:rPr>
            <w:color w:val="0563C1"/>
            <w:u w:val="single"/>
          </w:rPr>
          <w:t>gulten.aka@luxdev.lu</w:t>
        </w:r>
      </w:hyperlink>
    </w:p>
    <w:p w14:paraId="18C41202" w14:textId="77777777" w:rsidR="000E7BCB" w:rsidRDefault="00A620E4">
      <w:r>
        <w:t xml:space="preserve">Tel: </w:t>
      </w:r>
      <w:hyperlink r:id="rId23">
        <w:r>
          <w:rPr>
            <w:color w:val="0563C1"/>
            <w:u w:val="single"/>
          </w:rPr>
          <w:t>+381 38 226 780</w:t>
        </w:r>
      </w:hyperlink>
    </w:p>
    <w:p w14:paraId="34F398BD" w14:textId="77777777" w:rsidR="000E7BCB" w:rsidRDefault="00A620E4">
      <w:r>
        <w:t> </w:t>
      </w:r>
    </w:p>
    <w:p w14:paraId="0037657A" w14:textId="77777777" w:rsidR="000E7BCB" w:rsidRDefault="000E7BCB"/>
    <w:p w14:paraId="683CB27D" w14:textId="77777777" w:rsidR="000E7BCB" w:rsidRDefault="00A620E4">
      <w:proofErr w:type="spellStart"/>
      <w:r>
        <w:t>Ambasada</w:t>
      </w:r>
      <w:proofErr w:type="spellEnd"/>
      <w:r>
        <w:t xml:space="preserve"> </w:t>
      </w:r>
      <w:proofErr w:type="spellStart"/>
      <w:r>
        <w:t>Suedeze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</w:p>
    <w:p w14:paraId="7B9855F3" w14:textId="77777777" w:rsidR="000E7BCB" w:rsidRDefault="000E7BCB"/>
    <w:p w14:paraId="1E265320" w14:textId="77777777" w:rsidR="000E7BCB" w:rsidRDefault="00A620E4">
      <w:proofErr w:type="spellStart"/>
      <w:r>
        <w:t>Qeveria</w:t>
      </w:r>
      <w:proofErr w:type="spellEnd"/>
      <w:r>
        <w:t xml:space="preserve"> </w:t>
      </w:r>
      <w:proofErr w:type="spellStart"/>
      <w:r>
        <w:t>Suedeze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duke e </w:t>
      </w:r>
      <w:proofErr w:type="spellStart"/>
      <w:r>
        <w:t>mbështetur</w:t>
      </w:r>
      <w:proofErr w:type="spellEnd"/>
      <w:r>
        <w:t xml:space="preserve"> </w:t>
      </w:r>
      <w:proofErr w:type="spellStart"/>
      <w:r>
        <w:t>Republikën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e </w:t>
      </w:r>
      <w:proofErr w:type="spellStart"/>
      <w:r>
        <w:t>njeriut</w:t>
      </w:r>
      <w:proofErr w:type="spellEnd"/>
      <w:r>
        <w:t xml:space="preserve">, </w:t>
      </w:r>
      <w:proofErr w:type="spellStart"/>
      <w:r>
        <w:t>demokratizimin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zhvillimin</w:t>
      </w:r>
      <w:proofErr w:type="spellEnd"/>
      <w:r>
        <w:t xml:space="preserve"> e </w:t>
      </w:r>
      <w:proofErr w:type="spellStart"/>
      <w:r>
        <w:t>qëndrueshëm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krijohen</w:t>
      </w:r>
      <w:proofErr w:type="spellEnd"/>
      <w:r>
        <w:t xml:space="preserve"> </w:t>
      </w:r>
      <w:proofErr w:type="spellStart"/>
      <w:r>
        <w:t>kushte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forcimin</w:t>
      </w:r>
      <w:proofErr w:type="spellEnd"/>
      <w:r>
        <w:t xml:space="preserve"> e </w:t>
      </w:r>
      <w:proofErr w:type="spellStart"/>
      <w:r>
        <w:t>lidhjeve</w:t>
      </w:r>
      <w:proofErr w:type="spellEnd"/>
      <w:r>
        <w:t xml:space="preserve"> me </w:t>
      </w:r>
      <w:proofErr w:type="spellStart"/>
      <w:r>
        <w:t>Bashkimin</w:t>
      </w:r>
      <w:proofErr w:type="spellEnd"/>
      <w:r>
        <w:t xml:space="preserve"> </w:t>
      </w:r>
      <w:proofErr w:type="spellStart"/>
      <w:r>
        <w:t>Evropian</w:t>
      </w:r>
      <w:proofErr w:type="spellEnd"/>
      <w:r>
        <w:t xml:space="preserve">. </w:t>
      </w:r>
      <w:proofErr w:type="spellStart"/>
      <w:r>
        <w:t>Ambasada</w:t>
      </w:r>
      <w:proofErr w:type="spellEnd"/>
      <w:r>
        <w:t xml:space="preserve"> </w:t>
      </w:r>
      <w:proofErr w:type="spellStart"/>
      <w:r>
        <w:t>Suedeze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ne process </w:t>
      </w:r>
      <w:proofErr w:type="spellStart"/>
      <w:r>
        <w:t>te</w:t>
      </w:r>
      <w:proofErr w:type="spellEnd"/>
      <w:r>
        <w:t xml:space="preserve"> </w:t>
      </w:r>
      <w:proofErr w:type="spellStart"/>
      <w:r>
        <w:t>përgatitjes</w:t>
      </w:r>
      <w:proofErr w:type="spellEnd"/>
      <w:r>
        <w:t xml:space="preserve"> per </w:t>
      </w:r>
      <w:proofErr w:type="spellStart"/>
      <w:r>
        <w:t>planifikim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reja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. </w:t>
      </w:r>
      <w:proofErr w:type="spellStart"/>
      <w:r>
        <w:t>Diskutimet</w:t>
      </w:r>
      <w:proofErr w:type="spellEnd"/>
      <w:r>
        <w:t xml:space="preserve"> me </w:t>
      </w:r>
      <w:proofErr w:type="spellStart"/>
      <w:r>
        <w:t>perfituesit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fillojnë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Janar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2022.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diskutimeve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themelimit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Sovran, </w:t>
      </w:r>
      <w:proofErr w:type="spellStart"/>
      <w:r>
        <w:t>përfaqesues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Ambasadës</w:t>
      </w:r>
      <w:proofErr w:type="spellEnd"/>
      <w:r>
        <w:t xml:space="preserve"> </w:t>
      </w:r>
      <w:proofErr w:type="spellStart"/>
      <w:r>
        <w:t>shpehën</w:t>
      </w:r>
      <w:proofErr w:type="spellEnd"/>
      <w:r>
        <w:t xml:space="preserve"> </w:t>
      </w:r>
      <w:proofErr w:type="spellStart"/>
      <w:r>
        <w:t>gatishmëri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mbështetur</w:t>
      </w:r>
      <w:proofErr w:type="spellEnd"/>
      <w:r>
        <w:t xml:space="preserve"> </w:t>
      </w:r>
      <w:proofErr w:type="spellStart"/>
      <w:r>
        <w:t>nsimën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Sovran, </w:t>
      </w:r>
      <w:proofErr w:type="spellStart"/>
      <w:r>
        <w:t>qoftë</w:t>
      </w:r>
      <w:proofErr w:type="spellEnd"/>
      <w:r>
        <w:t xml:space="preserve"> </w:t>
      </w:r>
      <w:proofErr w:type="spellStart"/>
      <w:r>
        <w:t>financiarisht</w:t>
      </w:r>
      <w:proofErr w:type="spellEnd"/>
      <w:r>
        <w:t xml:space="preserve"> apo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krijimit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posaqëm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FSRK.</w:t>
      </w:r>
    </w:p>
    <w:p w14:paraId="3F4FB23D" w14:textId="77777777" w:rsidR="000E7BCB" w:rsidRDefault="000E7BCB"/>
    <w:p w14:paraId="6F75B02A" w14:textId="77777777" w:rsidR="000E7BCB" w:rsidRDefault="00A620E4">
      <w:proofErr w:type="spellStart"/>
      <w:r>
        <w:t>Personi</w:t>
      </w:r>
      <w:proofErr w:type="spellEnd"/>
      <w:r>
        <w:t xml:space="preserve"> </w:t>
      </w:r>
      <w:proofErr w:type="spellStart"/>
      <w:r>
        <w:t>kontaktues</w:t>
      </w:r>
      <w:proofErr w:type="spellEnd"/>
      <w:r>
        <w:t>:</w:t>
      </w:r>
    </w:p>
    <w:p w14:paraId="10F42B94" w14:textId="77777777" w:rsidR="000E7BCB" w:rsidRDefault="00A620E4">
      <w:proofErr w:type="spellStart"/>
      <w:r>
        <w:t>Fatos</w:t>
      </w:r>
      <w:proofErr w:type="spellEnd"/>
      <w:r>
        <w:t xml:space="preserve"> Mulla</w:t>
      </w:r>
    </w:p>
    <w:p w14:paraId="02388B09" w14:textId="77777777" w:rsidR="000E7BCB" w:rsidRDefault="00A620E4">
      <w:proofErr w:type="spellStart"/>
      <w:r>
        <w:t>Programme</w:t>
      </w:r>
      <w:proofErr w:type="spellEnd"/>
      <w:r>
        <w:t xml:space="preserve"> Manager</w:t>
      </w:r>
    </w:p>
    <w:p w14:paraId="4E3A8992" w14:textId="77777777" w:rsidR="000E7BCB" w:rsidRDefault="00A620E4">
      <w:r>
        <w:t>Embassy of Sweden Pristina</w:t>
      </w:r>
    </w:p>
    <w:p w14:paraId="36BC93D0" w14:textId="77777777" w:rsidR="000E7BCB" w:rsidRDefault="00A620E4">
      <w:r>
        <w:t>E-mail: </w:t>
      </w:r>
      <w:hyperlink r:id="rId24">
        <w:r>
          <w:rPr>
            <w:color w:val="0563C1"/>
            <w:u w:val="single"/>
          </w:rPr>
          <w:t>fatos.mulla@gov.se</w:t>
        </w:r>
      </w:hyperlink>
    </w:p>
    <w:p w14:paraId="7B7F6102" w14:textId="77777777" w:rsidR="000E7BCB" w:rsidRDefault="00A620E4">
      <w:r>
        <w:t>Tel: +383 38 24 57 95 ext. 8221</w:t>
      </w:r>
    </w:p>
    <w:p w14:paraId="60B990BF" w14:textId="77777777" w:rsidR="000E7BCB" w:rsidRDefault="000E7BCB"/>
    <w:p w14:paraId="49F2D584" w14:textId="77777777" w:rsidR="000E7BCB" w:rsidRDefault="000E7BCB"/>
    <w:p w14:paraId="03F5F289" w14:textId="77777777" w:rsidR="000E7BCB" w:rsidRDefault="00A620E4">
      <w:r>
        <w:t>Friedrich Ebert Stiftung (FES)</w:t>
      </w:r>
    </w:p>
    <w:p w14:paraId="0D66337C" w14:textId="77777777" w:rsidR="000E7BCB" w:rsidRDefault="000E7BCB"/>
    <w:p w14:paraId="24D1DAFD" w14:textId="77777777" w:rsidR="000E7BCB" w:rsidRDefault="00A620E4">
      <w:r>
        <w:t xml:space="preserve">FES ka </w:t>
      </w:r>
      <w:proofErr w:type="spellStart"/>
      <w:r>
        <w:t>veprimtari</w:t>
      </w:r>
      <w:proofErr w:type="spellEnd"/>
      <w:r>
        <w:t xml:space="preserve"> </w:t>
      </w:r>
      <w:proofErr w:type="spellStart"/>
      <w:r>
        <w:t>disavjeçare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ka </w:t>
      </w:r>
      <w:proofErr w:type="spellStart"/>
      <w:r>
        <w:t>ofruar</w:t>
      </w:r>
      <w:proofErr w:type="spellEnd"/>
      <w:r>
        <w:t xml:space="preserve"> </w:t>
      </w:r>
      <w:proofErr w:type="spellStart"/>
      <w:r>
        <w:t>mbështetjen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</w:t>
      </w:r>
      <w:proofErr w:type="spellStart"/>
      <w:r>
        <w:t>teknike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punën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. FES </w:t>
      </w:r>
      <w:proofErr w:type="spellStart"/>
      <w:r>
        <w:t>gjithashtu</w:t>
      </w:r>
      <w:proofErr w:type="spellEnd"/>
      <w:r>
        <w:t xml:space="preserve"> ka </w:t>
      </w:r>
      <w:proofErr w:type="spellStart"/>
      <w:r>
        <w:t>ofruar</w:t>
      </w:r>
      <w:proofErr w:type="spellEnd"/>
      <w:r>
        <w:t xml:space="preserve"> </w:t>
      </w:r>
      <w:proofErr w:type="spellStart"/>
      <w:r>
        <w:t>organizimin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konsulte</w:t>
      </w:r>
      <w:proofErr w:type="spellEnd"/>
      <w:r>
        <w:t xml:space="preserve"> me </w:t>
      </w:r>
      <w:proofErr w:type="spellStart"/>
      <w:r>
        <w:t>ekspertë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rekrutuar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rrjetit</w:t>
      </w:r>
      <w:proofErr w:type="spellEnd"/>
      <w:r>
        <w:t xml:space="preserve"> </w:t>
      </w:r>
      <w:proofErr w:type="spellStart"/>
      <w:r>
        <w:t>ndërkombëtar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FES, </w:t>
      </w:r>
      <w:proofErr w:type="spellStart"/>
      <w:r>
        <w:t>lidhur</w:t>
      </w:r>
      <w:proofErr w:type="spellEnd"/>
      <w:r>
        <w:t xml:space="preserve"> me </w:t>
      </w:r>
      <w:proofErr w:type="spellStart"/>
      <w:r>
        <w:t>konceptin</w:t>
      </w:r>
      <w:proofErr w:type="spellEnd"/>
      <w:r>
        <w:t xml:space="preserve"> e FSRK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politikat</w:t>
      </w:r>
      <w:proofErr w:type="spellEnd"/>
      <w:r>
        <w:t xml:space="preserve"> e </w:t>
      </w:r>
      <w:proofErr w:type="spellStart"/>
      <w:r>
        <w:t>zbatimit</w:t>
      </w:r>
      <w:proofErr w:type="spellEnd"/>
      <w:r>
        <w:t xml:space="preserve">. FES ka </w:t>
      </w:r>
      <w:proofErr w:type="spellStart"/>
      <w:r>
        <w:t>ofruar</w:t>
      </w:r>
      <w:proofErr w:type="spellEnd"/>
      <w:r>
        <w:t xml:space="preserve"> </w:t>
      </w:r>
      <w:proofErr w:type="spellStart"/>
      <w:r>
        <w:t>mbështetje</w:t>
      </w:r>
      <w:proofErr w:type="spellEnd"/>
      <w:r>
        <w:t xml:space="preserve"> </w:t>
      </w:r>
      <w:proofErr w:type="spellStart"/>
      <w:r>
        <w:t>teknike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aspekte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politikave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sektorit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qeverisjes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FSRK.</w:t>
      </w:r>
    </w:p>
    <w:p w14:paraId="21CAE591" w14:textId="77777777" w:rsidR="000E7BCB" w:rsidRDefault="000E7BCB"/>
    <w:p w14:paraId="7FD5B45A" w14:textId="77777777" w:rsidR="000E7BCB" w:rsidRDefault="00A620E4">
      <w:proofErr w:type="spellStart"/>
      <w:r>
        <w:t>Personi</w:t>
      </w:r>
      <w:proofErr w:type="spellEnd"/>
      <w:r>
        <w:t xml:space="preserve"> </w:t>
      </w:r>
      <w:proofErr w:type="spellStart"/>
      <w:r>
        <w:t>kontaktues</w:t>
      </w:r>
      <w:proofErr w:type="spellEnd"/>
      <w:r>
        <w:t>:</w:t>
      </w:r>
    </w:p>
    <w:p w14:paraId="4474E83E" w14:textId="77777777" w:rsidR="000E7BCB" w:rsidRDefault="00A620E4">
      <w:r>
        <w:t xml:space="preserve">René </w:t>
      </w:r>
      <w:proofErr w:type="spellStart"/>
      <w:r>
        <w:t>Schlee</w:t>
      </w:r>
      <w:proofErr w:type="spellEnd"/>
    </w:p>
    <w:p w14:paraId="53FE5CA0" w14:textId="77777777" w:rsidR="000E7BCB" w:rsidRDefault="00A620E4">
      <w:r>
        <w:t>Friedrich-Ebert-Stiftung (FES)</w:t>
      </w:r>
    </w:p>
    <w:p w14:paraId="6034589D" w14:textId="77777777" w:rsidR="000E7BCB" w:rsidRDefault="00A620E4">
      <w:r>
        <w:t>Resident Representative for Kosovo and North Macedonia</w:t>
      </w:r>
    </w:p>
    <w:p w14:paraId="53386DDA" w14:textId="77777777" w:rsidR="000E7BCB" w:rsidRDefault="00A620E4">
      <w:r>
        <w:t xml:space="preserve">Str. </w:t>
      </w:r>
      <w:proofErr w:type="spellStart"/>
      <w:r>
        <w:t>Pashko</w:t>
      </w:r>
      <w:proofErr w:type="spellEnd"/>
      <w:r>
        <w:t xml:space="preserve"> Vasa, No. 23</w:t>
      </w:r>
    </w:p>
    <w:p w14:paraId="36DB36D6" w14:textId="77777777" w:rsidR="000E7BCB" w:rsidRDefault="00A620E4">
      <w:proofErr w:type="spellStart"/>
      <w:r>
        <w:t>Pejton</w:t>
      </w:r>
      <w:proofErr w:type="spellEnd"/>
      <w:r>
        <w:t xml:space="preserve"> Place</w:t>
      </w:r>
    </w:p>
    <w:p w14:paraId="12D38623" w14:textId="77777777" w:rsidR="000E7BCB" w:rsidRDefault="00A620E4">
      <w:r>
        <w:t xml:space="preserve">10000 </w:t>
      </w:r>
      <w:proofErr w:type="spellStart"/>
      <w:r>
        <w:t>Prishtina</w:t>
      </w:r>
      <w:proofErr w:type="spellEnd"/>
    </w:p>
    <w:p w14:paraId="57CDB0C0" w14:textId="77777777" w:rsidR="000E7BCB" w:rsidRDefault="00A620E4">
      <w:r>
        <w:t xml:space="preserve">E-mail: </w:t>
      </w:r>
      <w:hyperlink r:id="rId25">
        <w:r>
          <w:rPr>
            <w:color w:val="0563C1"/>
            <w:u w:val="single"/>
          </w:rPr>
          <w:t>rene.schlee@fes-kosovo.org</w:t>
        </w:r>
      </w:hyperlink>
    </w:p>
    <w:p w14:paraId="09028CE5" w14:textId="77777777" w:rsidR="000E7BCB" w:rsidRDefault="000E7BCB"/>
    <w:p w14:paraId="41E3EA2F" w14:textId="77777777" w:rsidR="000E7BCB" w:rsidRDefault="000E7BCB"/>
    <w:p w14:paraId="5F9BE15E" w14:textId="77777777" w:rsidR="000E7BCB" w:rsidRDefault="00A620E4">
      <w:pPr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proofErr w:type="spellStart"/>
      <w:r>
        <w:rPr>
          <w:i/>
          <w:color w:val="000000"/>
        </w:rPr>
        <w:t>Rekomandimet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për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hapat</w:t>
      </w:r>
      <w:proofErr w:type="spellEnd"/>
      <w:r>
        <w:rPr>
          <w:i/>
          <w:color w:val="000000"/>
        </w:rPr>
        <w:t xml:space="preserve"> e </w:t>
      </w:r>
      <w:proofErr w:type="spellStart"/>
      <w:r>
        <w:rPr>
          <w:i/>
          <w:color w:val="000000"/>
        </w:rPr>
        <w:t>mëtutjeshëm</w:t>
      </w:r>
      <w:proofErr w:type="spellEnd"/>
      <w:r>
        <w:rPr>
          <w:i/>
          <w:color w:val="000000"/>
        </w:rPr>
        <w:t>:</w:t>
      </w:r>
    </w:p>
    <w:p w14:paraId="7A21BA3F" w14:textId="77777777" w:rsidR="000E7BCB" w:rsidRDefault="000E7BCB"/>
    <w:p w14:paraId="7AF300B0" w14:textId="77777777" w:rsidR="000E7BCB" w:rsidRDefault="00A620E4">
      <w:proofErr w:type="spellStart"/>
      <w:r>
        <w:t>Lidhur</w:t>
      </w:r>
      <w:proofErr w:type="spellEnd"/>
      <w:r>
        <w:t xml:space="preserve"> me </w:t>
      </w:r>
      <w:proofErr w:type="spellStart"/>
      <w:r>
        <w:t>rolin</w:t>
      </w:r>
      <w:proofErr w:type="spellEnd"/>
      <w:r>
        <w:t xml:space="preserve"> e </w:t>
      </w:r>
      <w:proofErr w:type="spellStart"/>
      <w:r>
        <w:t>donatorëve</w:t>
      </w:r>
      <w:proofErr w:type="spellEnd"/>
      <w:r>
        <w:t xml:space="preserve">,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rekomandon</w:t>
      </w:r>
      <w:proofErr w:type="spellEnd"/>
      <w:r>
        <w:t xml:space="preserve"> </w:t>
      </w:r>
      <w:proofErr w:type="spellStart"/>
      <w:r>
        <w:t>sikur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:</w:t>
      </w:r>
    </w:p>
    <w:p w14:paraId="576E5F3D" w14:textId="77777777" w:rsidR="000E7BCB" w:rsidRDefault="000E7BCB"/>
    <w:p w14:paraId="40489861" w14:textId="77777777" w:rsidR="000E7BCB" w:rsidRDefault="00A620E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Vazhdimi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komunikimit</w:t>
      </w:r>
      <w:proofErr w:type="spellEnd"/>
      <w:r>
        <w:rPr>
          <w:color w:val="000000"/>
        </w:rPr>
        <w:t xml:space="preserve"> me EBRD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mundësinë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përkrahjes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ristrukutrimit</w:t>
      </w:r>
      <w:proofErr w:type="spellEnd"/>
      <w:r>
        <w:rPr>
          <w:color w:val="000000"/>
        </w:rPr>
        <w:t xml:space="preserve"> e NP-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veçanti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Telekomit</w:t>
      </w:r>
      <w:proofErr w:type="spellEnd"/>
      <w:r>
        <w:rPr>
          <w:color w:val="000000"/>
        </w:rPr>
        <w:t>.</w:t>
      </w:r>
    </w:p>
    <w:p w14:paraId="3C0A8653" w14:textId="77777777" w:rsidR="000E7BCB" w:rsidRDefault="00A620E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Vazhdimi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komunikimit</w:t>
      </w:r>
      <w:proofErr w:type="spellEnd"/>
      <w:r>
        <w:rPr>
          <w:color w:val="000000"/>
        </w:rPr>
        <w:t xml:space="preserve"> me IFC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mundësinë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shfytëzimit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projektit</w:t>
      </w:r>
      <w:proofErr w:type="spellEnd"/>
      <w:r>
        <w:rPr>
          <w:color w:val="000000"/>
        </w:rPr>
        <w:t xml:space="preserve"> “Klima e </w:t>
      </w:r>
      <w:proofErr w:type="spellStart"/>
      <w:r>
        <w:rPr>
          <w:color w:val="000000"/>
        </w:rPr>
        <w:t>Investimeve</w:t>
      </w:r>
      <w:proofErr w:type="spellEnd"/>
      <w:r>
        <w:rPr>
          <w:color w:val="000000"/>
        </w:rPr>
        <w:t xml:space="preserve"> II”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asistencë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mundësinë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financimit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SDC apo </w:t>
      </w:r>
      <w:proofErr w:type="spellStart"/>
      <w:r>
        <w:rPr>
          <w:color w:val="000000"/>
        </w:rPr>
        <w:t>ofrimin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asistencës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ndonjë</w:t>
      </w:r>
      <w:proofErr w:type="spellEnd"/>
      <w:r>
        <w:rPr>
          <w:color w:val="000000"/>
        </w:rPr>
        <w:t xml:space="preserve"> donator </w:t>
      </w:r>
      <w:proofErr w:type="spellStart"/>
      <w:r>
        <w:rPr>
          <w:color w:val="000000"/>
        </w:rPr>
        <w:t>tjetër</w:t>
      </w:r>
      <w:proofErr w:type="spellEnd"/>
      <w:r>
        <w:rPr>
          <w:color w:val="000000"/>
        </w:rPr>
        <w:t>.</w:t>
      </w:r>
    </w:p>
    <w:p w14:paraId="7ACFE3C2" w14:textId="77777777" w:rsidR="000E7BCB" w:rsidRDefault="00A620E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Identifikimi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nevojave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Komisionit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asistencë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draftimi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referencës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kontaktimi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donatorëve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aspekt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kyç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mbështetja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ekipin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cili</w:t>
      </w:r>
      <w:proofErr w:type="spellEnd"/>
      <w:r>
        <w:rPr>
          <w:color w:val="000000"/>
        </w:rPr>
        <w:t xml:space="preserve"> do ta </w:t>
      </w:r>
      <w:proofErr w:type="spellStart"/>
      <w:r>
        <w:rPr>
          <w:color w:val="000000"/>
        </w:rPr>
        <w:t>bëjë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hartimin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Ligjit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instrumenteve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tjera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ligjore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themelimin</w:t>
      </w:r>
      <w:proofErr w:type="spellEnd"/>
      <w:r>
        <w:rPr>
          <w:color w:val="000000"/>
        </w:rPr>
        <w:t xml:space="preserve"> e FSRK.</w:t>
      </w:r>
    </w:p>
    <w:p w14:paraId="14617FDE" w14:textId="77777777" w:rsidR="000E7BCB" w:rsidRDefault="00A620E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Identifikimi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nevojave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asistencë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financiare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implementimin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hapave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pare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themelimin</w:t>
      </w:r>
      <w:proofErr w:type="spellEnd"/>
      <w:r>
        <w:rPr>
          <w:color w:val="000000"/>
        </w:rPr>
        <w:t xml:space="preserve"> e FSRK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kontaktimi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donatorëve</w:t>
      </w:r>
      <w:proofErr w:type="spellEnd"/>
      <w:r>
        <w:rPr>
          <w:color w:val="000000"/>
        </w:rPr>
        <w:t xml:space="preserve">. </w:t>
      </w:r>
    </w:p>
    <w:p w14:paraId="7B731AD2" w14:textId="77777777" w:rsidR="000E7BCB" w:rsidRDefault="000E7BCB"/>
    <w:p w14:paraId="09D8ECD1" w14:textId="77777777" w:rsidR="000E7BCB" w:rsidRDefault="000E7BCB"/>
    <w:p w14:paraId="6201D196" w14:textId="77777777" w:rsidR="000E7BCB" w:rsidRDefault="00A620E4" w:rsidP="00C25392">
      <w:pPr>
        <w:pStyle w:val="Heading3"/>
        <w:numPr>
          <w:ilvl w:val="0"/>
          <w:numId w:val="0"/>
        </w:numPr>
      </w:pPr>
      <w:bookmarkStart w:id="37" w:name="_Toc93312400"/>
      <w:r>
        <w:t xml:space="preserve">4.3.8. 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konsulentëve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kompanive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specializuara</w:t>
      </w:r>
      <w:bookmarkEnd w:id="37"/>
      <w:proofErr w:type="spellEnd"/>
    </w:p>
    <w:p w14:paraId="7AD24227" w14:textId="77777777" w:rsidR="000E7BCB" w:rsidRDefault="000E7BCB"/>
    <w:p w14:paraId="6F40CA20" w14:textId="77777777" w:rsidR="000E7BCB" w:rsidRDefault="00A620E4">
      <w:proofErr w:type="spellStart"/>
      <w:r>
        <w:t>Gjatë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ka </w:t>
      </w:r>
      <w:proofErr w:type="spellStart"/>
      <w:r>
        <w:t>vendosur</w:t>
      </w:r>
      <w:proofErr w:type="spellEnd"/>
      <w:r>
        <w:t xml:space="preserve"> </w:t>
      </w:r>
      <w:proofErr w:type="spellStart"/>
      <w:r>
        <w:t>kontakte</w:t>
      </w:r>
      <w:proofErr w:type="spellEnd"/>
      <w:r>
        <w:t xml:space="preserve"> me </w:t>
      </w:r>
      <w:proofErr w:type="spellStart"/>
      <w:r>
        <w:t>kompani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auditimit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konsulencës</w:t>
      </w:r>
      <w:proofErr w:type="spellEnd"/>
      <w:r>
        <w:t xml:space="preserve"> </w:t>
      </w:r>
      <w:proofErr w:type="spellStart"/>
      <w:r>
        <w:t>biznesore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shqyrtuar</w:t>
      </w:r>
      <w:proofErr w:type="spellEnd"/>
      <w:r>
        <w:t xml:space="preserve"> </w:t>
      </w:r>
      <w:proofErr w:type="spellStart"/>
      <w:r>
        <w:t>mundësitë</w:t>
      </w:r>
      <w:proofErr w:type="spellEnd"/>
      <w:r>
        <w:t xml:space="preserve"> e </w:t>
      </w:r>
      <w:proofErr w:type="spellStart"/>
      <w:r>
        <w:t>mbështetjes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kompani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japin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konsulencës</w:t>
      </w:r>
      <w:proofErr w:type="spellEnd"/>
      <w:r>
        <w:t xml:space="preserve">, </w:t>
      </w:r>
      <w:proofErr w:type="spellStart"/>
      <w:r>
        <w:t>auditimit</w:t>
      </w:r>
      <w:proofErr w:type="spellEnd"/>
      <w:r>
        <w:t xml:space="preserve">, </w:t>
      </w:r>
      <w:proofErr w:type="spellStart"/>
      <w:r>
        <w:t>ndërtimit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planeve</w:t>
      </w:r>
      <w:proofErr w:type="spellEnd"/>
      <w:r>
        <w:t xml:space="preserve"> </w:t>
      </w:r>
      <w:proofErr w:type="spellStart"/>
      <w:r>
        <w:t>strategjike</w:t>
      </w:r>
      <w:proofErr w:type="spellEnd"/>
      <w:r>
        <w:t xml:space="preserve"> </w:t>
      </w:r>
      <w:proofErr w:type="spellStart"/>
      <w:r>
        <w:t>etj</w:t>
      </w:r>
      <w:proofErr w:type="spellEnd"/>
      <w:r>
        <w:t xml:space="preserve">. </w:t>
      </w:r>
      <w:proofErr w:type="spellStart"/>
      <w:r>
        <w:t>përgjatë</w:t>
      </w:r>
      <w:proofErr w:type="spellEnd"/>
      <w:r>
        <w:t xml:space="preserve"> </w:t>
      </w:r>
      <w:proofErr w:type="spellStart"/>
      <w:r>
        <w:t>procesit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themelimit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organizimit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FSRK, </w:t>
      </w:r>
      <w:proofErr w:type="spellStart"/>
      <w:r>
        <w:t>proceseve</w:t>
      </w:r>
      <w:proofErr w:type="spellEnd"/>
      <w:r>
        <w:t xml:space="preserve"> </w:t>
      </w:r>
      <w:proofErr w:type="spellStart"/>
      <w:r>
        <w:t>paralele</w:t>
      </w:r>
      <w:proofErr w:type="spellEnd"/>
      <w:r>
        <w:t xml:space="preserve">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ristrukturimi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NP-</w:t>
      </w:r>
      <w:proofErr w:type="spellStart"/>
      <w:r>
        <w:t>ve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ndërtimi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planeve</w:t>
      </w:r>
      <w:proofErr w:type="spellEnd"/>
      <w:r>
        <w:t xml:space="preserve"> </w:t>
      </w:r>
      <w:proofErr w:type="spellStart"/>
      <w:r>
        <w:t>afatshkurtëra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afatgjate</w:t>
      </w:r>
      <w:proofErr w:type="spellEnd"/>
      <w:r>
        <w:t xml:space="preserve"> </w:t>
      </w:r>
      <w:proofErr w:type="spellStart"/>
      <w:r>
        <w:t>strategjike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FSRK.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ka </w:t>
      </w:r>
      <w:proofErr w:type="spellStart"/>
      <w:r>
        <w:t>identifikuar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ka </w:t>
      </w:r>
      <w:proofErr w:type="spellStart"/>
      <w:r>
        <w:t>zhvilluar</w:t>
      </w:r>
      <w:proofErr w:type="spellEnd"/>
      <w:r>
        <w:t xml:space="preserve"> </w:t>
      </w:r>
      <w:proofErr w:type="spellStart"/>
      <w:r>
        <w:t>kontakte</w:t>
      </w:r>
      <w:proofErr w:type="spellEnd"/>
      <w:r>
        <w:t xml:space="preserve"> me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kompani</w:t>
      </w:r>
      <w:proofErr w:type="spellEnd"/>
      <w:r>
        <w:t xml:space="preserve"> me </w:t>
      </w:r>
      <w:proofErr w:type="spellStart"/>
      <w:r>
        <w:t>renome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,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tashmë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prani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. </w:t>
      </w:r>
      <w:proofErr w:type="spellStart"/>
      <w:r>
        <w:t>Ndër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kompani</w:t>
      </w:r>
      <w:proofErr w:type="spellEnd"/>
      <w:r>
        <w:t xml:space="preserve"> </w:t>
      </w:r>
      <w:proofErr w:type="spellStart"/>
      <w:r>
        <w:t>përfshihen</w:t>
      </w:r>
      <w:proofErr w:type="spellEnd"/>
      <w:r>
        <w:t xml:space="preserve"> Berlin Economics, Deloitte, </w:t>
      </w:r>
      <w:proofErr w:type="spellStart"/>
      <w:r>
        <w:t>dhe</w:t>
      </w:r>
      <w:proofErr w:type="spellEnd"/>
      <w:r>
        <w:t xml:space="preserve"> McKinsey.  </w:t>
      </w:r>
    </w:p>
    <w:p w14:paraId="2397267D" w14:textId="77777777" w:rsidR="000E7BCB" w:rsidRDefault="000E7BCB"/>
    <w:p w14:paraId="78AC3C6F" w14:textId="77777777" w:rsidR="000E7BCB" w:rsidRDefault="00A620E4"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rekomandon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konsulentëve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nevojshëm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fusha</w:t>
      </w:r>
      <w:proofErr w:type="spellEnd"/>
      <w:r>
        <w:t>:</w:t>
      </w:r>
    </w:p>
    <w:p w14:paraId="029762EB" w14:textId="77777777" w:rsidR="000E7BCB" w:rsidRDefault="000E7BCB"/>
    <w:p w14:paraId="04BA76C4" w14:textId="77777777" w:rsidR="000E7BCB" w:rsidRDefault="00A620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Ristrukturimi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NP-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biznes-planeve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reja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këtë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Qeveria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bëjë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marrëveshje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kompanitë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sipas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specializimit</w:t>
      </w:r>
      <w:proofErr w:type="spellEnd"/>
      <w:r>
        <w:rPr>
          <w:color w:val="000000"/>
        </w:rPr>
        <w:t xml:space="preserve"> apo </w:t>
      </w:r>
      <w:proofErr w:type="spellStart"/>
      <w:r>
        <w:rPr>
          <w:color w:val="000000"/>
        </w:rPr>
        <w:t>edhe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bllok</w:t>
      </w:r>
      <w:proofErr w:type="spellEnd"/>
      <w:r>
        <w:rPr>
          <w:color w:val="000000"/>
        </w:rPr>
        <w:t>.</w:t>
      </w:r>
    </w:p>
    <w:p w14:paraId="006AE2D3" w14:textId="77777777" w:rsidR="000E7BCB" w:rsidRDefault="00A620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Auditimi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vlerësimi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NP-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përmes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cilave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bëhet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caktimi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vlerës</w:t>
      </w:r>
      <w:proofErr w:type="spellEnd"/>
      <w:r>
        <w:rPr>
          <w:color w:val="000000"/>
        </w:rPr>
        <w:t xml:space="preserve"> “fair value”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ndërmarrjeve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transferit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FSRK,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bëhet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njohur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gjendja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financiare</w:t>
      </w:r>
      <w:proofErr w:type="spellEnd"/>
      <w:r>
        <w:rPr>
          <w:color w:val="000000"/>
        </w:rPr>
        <w:t xml:space="preserve"> e NP-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>.</w:t>
      </w:r>
    </w:p>
    <w:p w14:paraId="1F8C63CE" w14:textId="77777777" w:rsidR="000E7BCB" w:rsidRDefault="00A620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Hartimi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FSRK, </w:t>
      </w:r>
      <w:proofErr w:type="spellStart"/>
      <w:r>
        <w:rPr>
          <w:color w:val="000000"/>
        </w:rPr>
        <w:t>ndërtimi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strukturës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elaborimi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aspekteve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punës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kuptimin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njerëzor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teknologjik</w:t>
      </w:r>
      <w:proofErr w:type="spellEnd"/>
      <w:r>
        <w:rPr>
          <w:color w:val="000000"/>
        </w:rPr>
        <w:t>.</w:t>
      </w:r>
    </w:p>
    <w:p w14:paraId="67DD9208" w14:textId="77777777" w:rsidR="000E7BCB" w:rsidRDefault="00A620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Rekrutimi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stafit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lartë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ekzekutiv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FSRK.</w:t>
      </w:r>
    </w:p>
    <w:p w14:paraId="3A382432" w14:textId="77777777" w:rsidR="000E7BCB" w:rsidRDefault="00A620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Hartimi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strategjisë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investuese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FSRK </w:t>
      </w:r>
      <w:proofErr w:type="spellStart"/>
      <w:r>
        <w:rPr>
          <w:color w:val="000000"/>
        </w:rPr>
        <w:t>për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periudhën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parë</w:t>
      </w:r>
      <w:proofErr w:type="spellEnd"/>
      <w:r>
        <w:rPr>
          <w:color w:val="000000"/>
        </w:rPr>
        <w:t>.</w:t>
      </w:r>
    </w:p>
    <w:p w14:paraId="16D167E3" w14:textId="77777777" w:rsidR="000E7BCB" w:rsidRDefault="000E7BCB"/>
    <w:p w14:paraId="7A8B1B25" w14:textId="77777777" w:rsidR="000E7BCB" w:rsidRDefault="00A620E4">
      <w:proofErr w:type="spellStart"/>
      <w:r>
        <w:lastRenderedPageBreak/>
        <w:t>Duhet</w:t>
      </w:r>
      <w:proofErr w:type="spellEnd"/>
      <w:r>
        <w:t xml:space="preserve"> </w:t>
      </w:r>
      <w:proofErr w:type="spellStart"/>
      <w:r>
        <w:t>theksuar</w:t>
      </w:r>
      <w:proofErr w:type="spellEnd"/>
      <w:r>
        <w:t xml:space="preserve"> se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aktivitete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paralele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bëhen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konsulent</w:t>
      </w:r>
      <w:proofErr w:type="spellEnd"/>
      <w:r>
        <w:t xml:space="preserve">,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termave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referencës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hartohen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>.</w:t>
      </w:r>
    </w:p>
    <w:p w14:paraId="459D56AC" w14:textId="77777777" w:rsidR="000E7BCB" w:rsidRDefault="000E7BCB"/>
    <w:p w14:paraId="4012E49E" w14:textId="77777777" w:rsidR="000E7BCB" w:rsidRDefault="00A620E4"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vlerëson</w:t>
      </w:r>
      <w:proofErr w:type="spellEnd"/>
      <w:r>
        <w:t xml:space="preserve"> se </w:t>
      </w:r>
      <w:proofErr w:type="spellStart"/>
      <w:r>
        <w:t>prania</w:t>
      </w:r>
      <w:proofErr w:type="spellEnd"/>
      <w:r>
        <w:t xml:space="preserve"> e </w:t>
      </w:r>
      <w:proofErr w:type="spellStart"/>
      <w:r>
        <w:t>konsulentëve</w:t>
      </w:r>
      <w:proofErr w:type="spellEnd"/>
      <w:r>
        <w:t xml:space="preserve"> </w:t>
      </w:r>
      <w:proofErr w:type="spellStart"/>
      <w:r>
        <w:t>ndërkombëtarë</w:t>
      </w:r>
      <w:proofErr w:type="spellEnd"/>
      <w:r>
        <w:t xml:space="preserve"> </w:t>
      </w:r>
      <w:proofErr w:type="spellStart"/>
      <w:r>
        <w:t>ndihmon</w:t>
      </w:r>
      <w:proofErr w:type="spellEnd"/>
      <w:r>
        <w:t xml:space="preserve"> jo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strukturimin</w:t>
      </w:r>
      <w:proofErr w:type="spellEnd"/>
      <w:r>
        <w:t xml:space="preserve"> </w:t>
      </w:r>
      <w:proofErr w:type="spellStart"/>
      <w:r>
        <w:t>efektiv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menaxhim</w:t>
      </w:r>
      <w:proofErr w:type="spellEnd"/>
      <w:r>
        <w:t xml:space="preserve">, por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etablimin</w:t>
      </w:r>
      <w:proofErr w:type="spellEnd"/>
      <w:r>
        <w:t xml:space="preserve"> e FSRK-</w:t>
      </w:r>
      <w:proofErr w:type="spellStart"/>
      <w:r>
        <w:t>së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aktor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plan </w:t>
      </w:r>
      <w:proofErr w:type="spellStart"/>
      <w:r>
        <w:t>ndërkombëtar</w:t>
      </w:r>
      <w:proofErr w:type="spellEnd"/>
      <w:r>
        <w:t xml:space="preserve">, duke </w:t>
      </w:r>
      <w:proofErr w:type="spellStart"/>
      <w:r>
        <w:t>bërë</w:t>
      </w:r>
      <w:proofErr w:type="spellEnd"/>
      <w:r>
        <w:t xml:space="preserve"> FSRK-</w:t>
      </w:r>
      <w:proofErr w:type="spellStart"/>
      <w:r>
        <w:t>në</w:t>
      </w:r>
      <w:proofErr w:type="spellEnd"/>
      <w:r>
        <w:t xml:space="preserve">, </w:t>
      </w:r>
      <w:proofErr w:type="spellStart"/>
      <w:r>
        <w:t>asetet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Kosovën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përgjithësi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fillojë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shihet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vend </w:t>
      </w:r>
      <w:proofErr w:type="spellStart"/>
      <w:r>
        <w:t>atraktiv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investime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jashtme</w:t>
      </w:r>
      <w:proofErr w:type="spellEnd"/>
      <w:r>
        <w:t>.</w:t>
      </w:r>
    </w:p>
    <w:p w14:paraId="2FD95CF6" w14:textId="77777777" w:rsidR="000E7BCB" w:rsidRDefault="000E7BCB"/>
    <w:p w14:paraId="40D021DC" w14:textId="77777777" w:rsidR="000E7BCB" w:rsidRDefault="000E7BCB"/>
    <w:p w14:paraId="0BAFBC42" w14:textId="77777777" w:rsidR="000E7BCB" w:rsidRDefault="00A620E4" w:rsidP="00C25392">
      <w:pPr>
        <w:pStyle w:val="Heading3"/>
        <w:numPr>
          <w:ilvl w:val="0"/>
          <w:numId w:val="0"/>
        </w:numPr>
      </w:pPr>
      <w:bookmarkStart w:id="38" w:name="_Toc93312401"/>
      <w:r>
        <w:t xml:space="preserve">4.3.9.  </w:t>
      </w:r>
      <w:proofErr w:type="spellStart"/>
      <w:r>
        <w:t>Ndërmarrjet</w:t>
      </w:r>
      <w:proofErr w:type="spellEnd"/>
      <w:r>
        <w:t xml:space="preserve"> e </w:t>
      </w:r>
      <w:proofErr w:type="spellStart"/>
      <w:r>
        <w:t>mbetura</w:t>
      </w:r>
      <w:proofErr w:type="spellEnd"/>
      <w:r>
        <w:t xml:space="preserve"> </w:t>
      </w:r>
      <w:proofErr w:type="spellStart"/>
      <w:r>
        <w:t>publike</w:t>
      </w:r>
      <w:bookmarkEnd w:id="38"/>
      <w:proofErr w:type="spellEnd"/>
    </w:p>
    <w:p w14:paraId="6FD5E074" w14:textId="77777777" w:rsidR="000E7BCB" w:rsidRDefault="000E7BCB"/>
    <w:p w14:paraId="7B10AFFB" w14:textId="77777777" w:rsidR="000E7BCB" w:rsidRDefault="00A620E4">
      <w:proofErr w:type="spellStart"/>
      <w:r>
        <w:t>Duhet</w:t>
      </w:r>
      <w:proofErr w:type="spellEnd"/>
      <w:r>
        <w:t xml:space="preserve"> </w:t>
      </w:r>
      <w:proofErr w:type="spellStart"/>
      <w:r>
        <w:t>theksuar</w:t>
      </w:r>
      <w:proofErr w:type="spellEnd"/>
      <w:r>
        <w:t xml:space="preserve"> se </w:t>
      </w:r>
      <w:proofErr w:type="spellStart"/>
      <w:r>
        <w:t>themelimi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FSRK </w:t>
      </w:r>
      <w:proofErr w:type="spellStart"/>
      <w:r>
        <w:t>nuk</w:t>
      </w:r>
      <w:proofErr w:type="spellEnd"/>
      <w:r>
        <w:t xml:space="preserve"> </w:t>
      </w:r>
      <w:proofErr w:type="spellStart"/>
      <w:r>
        <w:t>eliminon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sektorin</w:t>
      </w:r>
      <w:proofErr w:type="spellEnd"/>
      <w:r>
        <w:t xml:space="preserve"> e NP-</w:t>
      </w:r>
      <w:proofErr w:type="spellStart"/>
      <w:r>
        <w:t>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. Pas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periudhe</w:t>
      </w:r>
      <w:proofErr w:type="spellEnd"/>
      <w:r>
        <w:t xml:space="preserve"> </w:t>
      </w:r>
      <w:proofErr w:type="spellStart"/>
      <w:r>
        <w:t>tranzicioni</w:t>
      </w:r>
      <w:proofErr w:type="spellEnd"/>
      <w:r>
        <w:t xml:space="preserve">, </w:t>
      </w:r>
      <w:proofErr w:type="spellStart"/>
      <w:r>
        <w:t>parashihet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ndërmarrjet</w:t>
      </w:r>
      <w:proofErr w:type="spellEnd"/>
      <w:r>
        <w:t xml:space="preserve"> me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komercial</w:t>
      </w:r>
      <w:proofErr w:type="spellEnd"/>
      <w:r>
        <w:t xml:space="preserve"> (</w:t>
      </w:r>
      <w:proofErr w:type="spellStart"/>
      <w:r>
        <w:t>siç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përshkruar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)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barten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FSRK. </w:t>
      </w:r>
      <w:proofErr w:type="spellStart"/>
      <w:r>
        <w:t>Mirëpo</w:t>
      </w:r>
      <w:proofErr w:type="spellEnd"/>
      <w:r>
        <w:t xml:space="preserve">, </w:t>
      </w:r>
      <w:proofErr w:type="spellStart"/>
      <w:r>
        <w:t>kjo</w:t>
      </w:r>
      <w:proofErr w:type="spellEnd"/>
      <w:r>
        <w:t xml:space="preserve"> </w:t>
      </w:r>
      <w:proofErr w:type="spellStart"/>
      <w:r>
        <w:t>lë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segment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NP-</w:t>
      </w:r>
      <w:proofErr w:type="spellStart"/>
      <w:r>
        <w:t>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nivelit</w:t>
      </w:r>
      <w:proofErr w:type="spellEnd"/>
      <w:r>
        <w:t xml:space="preserve"> </w:t>
      </w:r>
      <w:proofErr w:type="spellStart"/>
      <w:r>
        <w:t>qendror</w:t>
      </w:r>
      <w:proofErr w:type="spellEnd"/>
      <w:r>
        <w:t xml:space="preserve">, </w:t>
      </w:r>
      <w:proofErr w:type="spellStart"/>
      <w:r>
        <w:t>rajonal</w:t>
      </w:r>
      <w:proofErr w:type="spellEnd"/>
      <w:r>
        <w:t xml:space="preserve"> e </w:t>
      </w:r>
      <w:proofErr w:type="spellStart"/>
      <w:r>
        <w:t>komunal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angazhuar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shërbime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vazhdojë</w:t>
      </w:r>
      <w:proofErr w:type="spellEnd"/>
      <w:r>
        <w:t xml:space="preserve"> me </w:t>
      </w:r>
      <w:proofErr w:type="spellStart"/>
      <w:r>
        <w:t>veprimtarinë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formatin</w:t>
      </w:r>
      <w:proofErr w:type="spellEnd"/>
      <w:r>
        <w:t xml:space="preserve"> </w:t>
      </w:r>
      <w:proofErr w:type="spellStart"/>
      <w:r>
        <w:t>qeverisës</w:t>
      </w:r>
      <w:proofErr w:type="spellEnd"/>
      <w:r>
        <w:t xml:space="preserve"> </w:t>
      </w:r>
      <w:proofErr w:type="spellStart"/>
      <w:r>
        <w:t>aktual</w:t>
      </w:r>
      <w:proofErr w:type="spellEnd"/>
      <w:r>
        <w:t xml:space="preserve">. </w:t>
      </w:r>
      <w:proofErr w:type="spellStart"/>
      <w:r>
        <w:t>Ndonëse</w:t>
      </w:r>
      <w:proofErr w:type="spellEnd"/>
      <w:r>
        <w:t xml:space="preserve"> </w:t>
      </w:r>
      <w:proofErr w:type="spellStart"/>
      <w:r>
        <w:t>shqyrtimi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segmenti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ka </w:t>
      </w:r>
      <w:proofErr w:type="spellStart"/>
      <w:r>
        <w:t>qenë</w:t>
      </w:r>
      <w:proofErr w:type="spellEnd"/>
      <w:r>
        <w:t xml:space="preserve"> </w:t>
      </w:r>
      <w:proofErr w:type="spellStart"/>
      <w:r>
        <w:t>jashtë</w:t>
      </w:r>
      <w:proofErr w:type="spellEnd"/>
      <w:r>
        <w:t xml:space="preserve"> </w:t>
      </w:r>
      <w:proofErr w:type="spellStart"/>
      <w:r>
        <w:t>fushëveprimit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mandatit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,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rekomandon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vazhdojë</w:t>
      </w:r>
      <w:proofErr w:type="spellEnd"/>
      <w:r>
        <w:t xml:space="preserve"> me reformat e </w:t>
      </w:r>
      <w:proofErr w:type="spellStart"/>
      <w:r>
        <w:t>qeverisjes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NP,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hartimin</w:t>
      </w:r>
      <w:proofErr w:type="spellEnd"/>
      <w:r>
        <w:t xml:space="preserve"> e </w:t>
      </w:r>
      <w:proofErr w:type="spellStart"/>
      <w:r>
        <w:t>Politikës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Pronësisë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 (State Ownership Policy)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me BERZH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ndryshimeve</w:t>
      </w:r>
      <w:proofErr w:type="spellEnd"/>
      <w:r>
        <w:t xml:space="preserve"> </w:t>
      </w:r>
      <w:proofErr w:type="spellStart"/>
      <w:r>
        <w:t>eventuale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Ndërmarrjet</w:t>
      </w:r>
      <w:proofErr w:type="spellEnd"/>
      <w:r>
        <w:t xml:space="preserve"> </w:t>
      </w:r>
      <w:proofErr w:type="spellStart"/>
      <w:r>
        <w:t>Publike</w:t>
      </w:r>
      <w:proofErr w:type="spellEnd"/>
      <w:r>
        <w:t>.</w:t>
      </w:r>
    </w:p>
    <w:p w14:paraId="4A3C3B7A" w14:textId="77777777" w:rsidR="000E7BCB" w:rsidRDefault="000E7BCB"/>
    <w:p w14:paraId="03C28493" w14:textId="77777777" w:rsidR="000E7BCB" w:rsidRDefault="00A620E4">
      <w:proofErr w:type="spellStart"/>
      <w:r>
        <w:t>Kjo</w:t>
      </w:r>
      <w:proofErr w:type="spellEnd"/>
      <w:r>
        <w:t xml:space="preserve"> </w:t>
      </w:r>
      <w:proofErr w:type="spellStart"/>
      <w:r>
        <w:t>nënkupton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Ligji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zëvendësojë</w:t>
      </w:r>
      <w:proofErr w:type="spellEnd"/>
      <w:r>
        <w:t xml:space="preserve">, as </w:t>
      </w:r>
      <w:proofErr w:type="spellStart"/>
      <w:r>
        <w:t>pjesërisht</w:t>
      </w:r>
      <w:proofErr w:type="spellEnd"/>
      <w:r>
        <w:t xml:space="preserve"> e as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tërësi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03/L-087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Ndërmarrjet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mbetet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(</w:t>
      </w:r>
      <w:proofErr w:type="spellStart"/>
      <w:r>
        <w:t>siç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apo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>).</w:t>
      </w:r>
    </w:p>
    <w:p w14:paraId="5864B94B" w14:textId="77777777" w:rsidR="000E7BCB" w:rsidRDefault="000E7BCB"/>
    <w:p w14:paraId="2B254D6F" w14:textId="77777777" w:rsidR="000E7BCB" w:rsidRDefault="000E7BCB"/>
    <w:p w14:paraId="51187756" w14:textId="77777777" w:rsidR="000E7BCB" w:rsidRDefault="00A620E4" w:rsidP="00C25392">
      <w:pPr>
        <w:pStyle w:val="Heading3"/>
        <w:numPr>
          <w:ilvl w:val="0"/>
          <w:numId w:val="0"/>
        </w:numPr>
      </w:pPr>
      <w:bookmarkStart w:id="39" w:name="_Toc93312402"/>
      <w:r>
        <w:t xml:space="preserve">4.4.0. E </w:t>
      </w:r>
      <w:proofErr w:type="spellStart"/>
      <w:r>
        <w:t>ardhmja</w:t>
      </w:r>
      <w:proofErr w:type="spellEnd"/>
      <w:r>
        <w:t xml:space="preserve"> e AKP-</w:t>
      </w:r>
      <w:proofErr w:type="spellStart"/>
      <w:r>
        <w:t>së</w:t>
      </w:r>
      <w:bookmarkEnd w:id="39"/>
      <w:proofErr w:type="spellEnd"/>
    </w:p>
    <w:p w14:paraId="32A6FA2E" w14:textId="77777777" w:rsidR="000E7BCB" w:rsidRDefault="000E7BCB"/>
    <w:p w14:paraId="4AD88BAE" w14:textId="77777777" w:rsidR="000E7BCB" w:rsidRDefault="00A620E4"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e ka </w:t>
      </w:r>
      <w:proofErr w:type="spellStart"/>
      <w:r>
        <w:t>pasë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vetin</w:t>
      </w:r>
      <w:proofErr w:type="spellEnd"/>
      <w:r>
        <w:t xml:space="preserve"> </w:t>
      </w:r>
      <w:proofErr w:type="spellStart"/>
      <w:r>
        <w:t>shqyrtimin</w:t>
      </w:r>
      <w:proofErr w:type="spellEnd"/>
      <w:r>
        <w:t xml:space="preserve"> e </w:t>
      </w:r>
      <w:proofErr w:type="spellStart"/>
      <w:r>
        <w:t>çështjeve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me AKP-</w:t>
      </w:r>
      <w:proofErr w:type="spellStart"/>
      <w:r>
        <w:t>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ardhmen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.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theksuar</w:t>
      </w:r>
      <w:proofErr w:type="spellEnd"/>
      <w:r>
        <w:t xml:space="preserve"> se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vlerësimeve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, FSRK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asnjë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përsipër</w:t>
      </w:r>
      <w:proofErr w:type="spellEnd"/>
      <w:r>
        <w:t xml:space="preserve">, as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direkte</w:t>
      </w:r>
      <w:proofErr w:type="spellEnd"/>
      <w:r>
        <w:t xml:space="preserve"> e as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modifikuar</w:t>
      </w:r>
      <w:proofErr w:type="spellEnd"/>
      <w:r>
        <w:t xml:space="preserve">, </w:t>
      </w:r>
      <w:proofErr w:type="spellStart"/>
      <w:r>
        <w:t>rolin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funksionet</w:t>
      </w:r>
      <w:proofErr w:type="spellEnd"/>
      <w:r>
        <w:t xml:space="preserve"> e AKP,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krejtësisht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atyre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FSRK. </w:t>
      </w:r>
      <w:proofErr w:type="spellStart"/>
      <w:r>
        <w:t>Prandaj</w:t>
      </w:r>
      <w:proofErr w:type="spellEnd"/>
      <w:r>
        <w:t xml:space="preserve">, </w:t>
      </w:r>
      <w:proofErr w:type="spellStart"/>
      <w:r>
        <w:t>Ligji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zëvendësim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Nr. 04/L-034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Agjencinë</w:t>
      </w:r>
      <w:proofErr w:type="spellEnd"/>
      <w:r>
        <w:t xml:space="preserve"> </w:t>
      </w:r>
      <w:proofErr w:type="spellStart"/>
      <w:r>
        <w:t>Kosovare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Privatizimit</w:t>
      </w:r>
      <w:proofErr w:type="spellEnd"/>
      <w:r>
        <w:t xml:space="preserve">. </w:t>
      </w:r>
      <w:proofErr w:type="spellStart"/>
      <w:r>
        <w:t>Meqë</w:t>
      </w:r>
      <w:proofErr w:type="spellEnd"/>
      <w:r>
        <w:t xml:space="preserve"> </w:t>
      </w:r>
      <w:proofErr w:type="spellStart"/>
      <w:r>
        <w:t>procesi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privatizimit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ndjekur</w:t>
      </w:r>
      <w:proofErr w:type="spellEnd"/>
      <w:r>
        <w:t xml:space="preserve"> me </w:t>
      </w:r>
      <w:proofErr w:type="spellStart"/>
      <w:r>
        <w:t>kompleksitete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mëdha</w:t>
      </w:r>
      <w:proofErr w:type="spellEnd"/>
      <w:r>
        <w:t xml:space="preserve"> </w:t>
      </w:r>
      <w:proofErr w:type="spellStart"/>
      <w:r>
        <w:t>juridike</w:t>
      </w:r>
      <w:proofErr w:type="spellEnd"/>
      <w:r>
        <w:t xml:space="preserve">,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rekomandohet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studiojë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hollësi</w:t>
      </w:r>
      <w:proofErr w:type="spellEnd"/>
      <w:r>
        <w:t xml:space="preserve"> </w:t>
      </w:r>
      <w:proofErr w:type="spellStart"/>
      <w:r>
        <w:t>hapat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ndjekur</w:t>
      </w:r>
      <w:proofErr w:type="spellEnd"/>
      <w:r>
        <w:t xml:space="preserve"> </w:t>
      </w:r>
      <w:proofErr w:type="spellStart"/>
      <w:r>
        <w:t>lidhur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ardhmen</w:t>
      </w:r>
      <w:proofErr w:type="spellEnd"/>
      <w:r>
        <w:t xml:space="preserve"> e AKP-</w:t>
      </w:r>
      <w:proofErr w:type="spellStart"/>
      <w:r>
        <w:t>së</w:t>
      </w:r>
      <w:proofErr w:type="spellEnd"/>
      <w:r>
        <w:t xml:space="preserve">, </w:t>
      </w:r>
      <w:proofErr w:type="spellStart"/>
      <w:r>
        <w:t>transformimit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mandatit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ai </w:t>
      </w:r>
      <w:proofErr w:type="spellStart"/>
      <w:r>
        <w:t>privatizues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menaxhues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procesit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shlyerjes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detyrimeve</w:t>
      </w:r>
      <w:proofErr w:type="spellEnd"/>
      <w:r>
        <w:t xml:space="preserve"> </w:t>
      </w:r>
      <w:proofErr w:type="spellStart"/>
      <w:r>
        <w:t>potenciale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akumuluara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apo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transferit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kompetencave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 </w:t>
      </w:r>
      <w:proofErr w:type="spellStart"/>
      <w:r>
        <w:t>aktuale</w:t>
      </w:r>
      <w:proofErr w:type="spellEnd"/>
      <w:r>
        <w:t xml:space="preserve"> (</w:t>
      </w:r>
      <w:proofErr w:type="spellStart"/>
      <w:r>
        <w:t>sidomos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me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fondeve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mirëbesim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kompenzimit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kreditorëve</w:t>
      </w:r>
      <w:proofErr w:type="spellEnd"/>
      <w:r>
        <w:t xml:space="preserve">)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agjension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, pas </w:t>
      </w:r>
      <w:proofErr w:type="spellStart"/>
      <w:r>
        <w:t>transferit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lastRenderedPageBreak/>
        <w:t>saj</w:t>
      </w:r>
      <w:proofErr w:type="spellEnd"/>
      <w:r>
        <w:t xml:space="preserve"> FSRK-</w:t>
      </w:r>
      <w:proofErr w:type="spellStart"/>
      <w:r>
        <w:t>së</w:t>
      </w:r>
      <w:proofErr w:type="spellEnd"/>
      <w:r>
        <w:t xml:space="preserve"> </w:t>
      </w:r>
      <w:proofErr w:type="spellStart"/>
      <w:r>
        <w:t>dhe</w:t>
      </w:r>
      <w:proofErr w:type="spellEnd"/>
      <w:r>
        <w:t>/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nënkompanive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procedurave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propozuara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>.</w:t>
      </w:r>
    </w:p>
    <w:p w14:paraId="70736B4C" w14:textId="77777777" w:rsidR="000E7BCB" w:rsidRDefault="000E7BCB"/>
    <w:p w14:paraId="16E841B1" w14:textId="77777777" w:rsidR="000E7BCB" w:rsidRDefault="00A620E4">
      <w:r>
        <w:br w:type="page"/>
      </w:r>
    </w:p>
    <w:p w14:paraId="672CD92C" w14:textId="77777777" w:rsidR="000E7BCB" w:rsidRDefault="00A620E4">
      <w:pPr>
        <w:pStyle w:val="Heading1"/>
      </w:pPr>
      <w:bookmarkStart w:id="40" w:name="_Toc93312403"/>
      <w:r>
        <w:lastRenderedPageBreak/>
        <w:t>KAPITULLI 5. KONKLUZIONET DHE HAPAT E ARDHSHËM</w:t>
      </w:r>
      <w:bookmarkEnd w:id="40"/>
    </w:p>
    <w:p w14:paraId="3E945DD4" w14:textId="77777777" w:rsidR="000E7BCB" w:rsidRDefault="000E7BCB"/>
    <w:p w14:paraId="5CE0569F" w14:textId="77777777" w:rsidR="000E7BCB" w:rsidRDefault="00A620E4">
      <w:r>
        <w:t xml:space="preserve">Ky </w:t>
      </w:r>
      <w:proofErr w:type="spellStart"/>
      <w:r>
        <w:t>Koncept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ka </w:t>
      </w:r>
      <w:proofErr w:type="spellStart"/>
      <w:r>
        <w:t>përshkruar</w:t>
      </w:r>
      <w:proofErr w:type="spellEnd"/>
      <w:r>
        <w:t xml:space="preserve"> </w:t>
      </w:r>
      <w:proofErr w:type="spellStart"/>
      <w:r>
        <w:t>punën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rekomandimet</w:t>
      </w:r>
      <w:proofErr w:type="spellEnd"/>
      <w:r>
        <w:t xml:space="preserve"> e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Sovran. </w:t>
      </w:r>
      <w:proofErr w:type="spellStart"/>
      <w:r>
        <w:t>Dokumenti</w:t>
      </w:r>
      <w:proofErr w:type="spellEnd"/>
      <w:r>
        <w:t xml:space="preserve"> ka </w:t>
      </w:r>
      <w:proofErr w:type="spellStart"/>
      <w:r>
        <w:t>përshkruar</w:t>
      </w:r>
      <w:proofErr w:type="spellEnd"/>
      <w:r>
        <w:t xml:space="preserve"> </w:t>
      </w:r>
      <w:proofErr w:type="spellStart"/>
      <w:r>
        <w:t>natyrën</w:t>
      </w:r>
      <w:proofErr w:type="spellEnd"/>
      <w:r>
        <w:t xml:space="preserve"> e </w:t>
      </w:r>
      <w:proofErr w:type="spellStart"/>
      <w:r>
        <w:t>problemit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motivon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FSRK, </w:t>
      </w:r>
      <w:proofErr w:type="spellStart"/>
      <w:r>
        <w:t>zgjidhjen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ndikimet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ofron</w:t>
      </w:r>
      <w:proofErr w:type="spellEnd"/>
      <w:r>
        <w:t xml:space="preserve"> </w:t>
      </w:r>
      <w:proofErr w:type="spellStart"/>
      <w:r>
        <w:t>themelimi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FSRK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metodologjinë</w:t>
      </w:r>
      <w:proofErr w:type="spellEnd"/>
      <w:r>
        <w:t xml:space="preserve"> e </w:t>
      </w:r>
      <w:proofErr w:type="spellStart"/>
      <w:r>
        <w:t>zbatimit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strategjisë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FSRK.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vlerësimëve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, </w:t>
      </w:r>
      <w:proofErr w:type="spellStart"/>
      <w:r>
        <w:t>Komisioni</w:t>
      </w:r>
      <w:proofErr w:type="spellEnd"/>
      <w:r>
        <w:t xml:space="preserve"> </w:t>
      </w:r>
      <w:proofErr w:type="spellStart"/>
      <w:r>
        <w:t>përballet</w:t>
      </w:r>
      <w:proofErr w:type="spellEnd"/>
      <w:r>
        <w:t xml:space="preserve"> me </w:t>
      </w:r>
      <w:proofErr w:type="spellStart"/>
      <w:r>
        <w:t>këto</w:t>
      </w:r>
      <w:proofErr w:type="spellEnd"/>
      <w:r>
        <w:t xml:space="preserve"> tri </w:t>
      </w:r>
      <w:proofErr w:type="spellStart"/>
      <w:r>
        <w:t>opsione</w:t>
      </w:r>
      <w:proofErr w:type="spellEnd"/>
      <w:r>
        <w:t>:</w:t>
      </w:r>
    </w:p>
    <w:p w14:paraId="2567EBFA" w14:textId="77777777" w:rsidR="000E7BCB" w:rsidRDefault="000E7BCB"/>
    <w:p w14:paraId="1ED4A3F9" w14:textId="77777777" w:rsidR="000E7BCB" w:rsidRDefault="00A620E4">
      <w:proofErr w:type="spellStart"/>
      <w:r>
        <w:t>Opsioni</w:t>
      </w:r>
      <w:proofErr w:type="spellEnd"/>
      <w:r>
        <w:t xml:space="preserve"> 1: </w:t>
      </w:r>
      <w:proofErr w:type="spellStart"/>
      <w:r>
        <w:t>Mbajtja</w:t>
      </w:r>
      <w:proofErr w:type="spellEnd"/>
      <w:r>
        <w:t xml:space="preserve"> e </w:t>
      </w:r>
      <w:proofErr w:type="spellStart"/>
      <w:r>
        <w:t>gjendjes</w:t>
      </w:r>
      <w:proofErr w:type="spellEnd"/>
      <w:r>
        <w:t xml:space="preserve"> </w:t>
      </w:r>
      <w:proofErr w:type="spellStart"/>
      <w:r>
        <w:t>ekzistuese</w:t>
      </w:r>
      <w:proofErr w:type="spellEnd"/>
    </w:p>
    <w:p w14:paraId="5EA34C3D" w14:textId="77777777" w:rsidR="000E7BCB" w:rsidRDefault="000E7BCB"/>
    <w:p w14:paraId="39B0B69F" w14:textId="77777777" w:rsidR="000E7BCB" w:rsidRDefault="00A620E4">
      <w:proofErr w:type="spellStart"/>
      <w:r>
        <w:t>Sipas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, </w:t>
      </w:r>
      <w:proofErr w:type="spellStart"/>
      <w:r>
        <w:t>mbajtja</w:t>
      </w:r>
      <w:proofErr w:type="spellEnd"/>
      <w:r>
        <w:t xml:space="preserve"> e </w:t>
      </w:r>
      <w:proofErr w:type="spellStart"/>
      <w:r>
        <w:t>gjendjes</w:t>
      </w:r>
      <w:proofErr w:type="spellEnd"/>
      <w:r>
        <w:t xml:space="preserve"> </w:t>
      </w:r>
      <w:proofErr w:type="spellStart"/>
      <w:r>
        <w:t>ekzistuese</w:t>
      </w:r>
      <w:proofErr w:type="spellEnd"/>
      <w:r>
        <w:t xml:space="preserve"> </w:t>
      </w:r>
      <w:proofErr w:type="spellStart"/>
      <w:r>
        <w:t>ndikon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moszgjidhjen</w:t>
      </w:r>
      <w:proofErr w:type="spellEnd"/>
      <w:r>
        <w:t xml:space="preserve"> e </w:t>
      </w:r>
      <w:proofErr w:type="spellStart"/>
      <w:r>
        <w:t>problemeve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theksuara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sipër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sektorin</w:t>
      </w:r>
      <w:proofErr w:type="spellEnd"/>
      <w:r>
        <w:t xml:space="preserve"> e NP-</w:t>
      </w:r>
      <w:proofErr w:type="spellStart"/>
      <w:r>
        <w:t>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AKP-</w:t>
      </w:r>
      <w:proofErr w:type="spellStart"/>
      <w:r>
        <w:t>së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rastin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,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intervenimeve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vogla</w:t>
      </w:r>
      <w:proofErr w:type="spellEnd"/>
      <w:r>
        <w:t xml:space="preserve"> </w:t>
      </w:r>
      <w:proofErr w:type="spellStart"/>
      <w:r>
        <w:t>gjendja</w:t>
      </w:r>
      <w:proofErr w:type="spellEnd"/>
      <w:r>
        <w:t xml:space="preserve"> </w:t>
      </w:r>
      <w:proofErr w:type="spellStart"/>
      <w:r>
        <w:t>ekzistuese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NP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aspekte</w:t>
      </w:r>
      <w:proofErr w:type="spellEnd"/>
      <w:r>
        <w:t xml:space="preserve"> </w:t>
      </w:r>
      <w:proofErr w:type="spellStart"/>
      <w:r>
        <w:t>margjinale</w:t>
      </w:r>
      <w:proofErr w:type="spellEnd"/>
      <w:r>
        <w:t xml:space="preserve">, por </w:t>
      </w:r>
      <w:proofErr w:type="spellStart"/>
      <w:r>
        <w:t>nuk</w:t>
      </w:r>
      <w:proofErr w:type="spellEnd"/>
      <w:r>
        <w:t xml:space="preserve"> do ta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efektin</w:t>
      </w:r>
      <w:proofErr w:type="spellEnd"/>
      <w:r>
        <w:t xml:space="preserve"> e </w:t>
      </w:r>
      <w:proofErr w:type="spellStart"/>
      <w:r>
        <w:t>nevojshëm</w:t>
      </w:r>
      <w:proofErr w:type="spellEnd"/>
      <w:r>
        <w:t xml:space="preserve"> </w:t>
      </w:r>
      <w:proofErr w:type="spellStart"/>
      <w:r>
        <w:t>strukturor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ndryshim</w:t>
      </w:r>
      <w:proofErr w:type="spellEnd"/>
      <w:r>
        <w:t xml:space="preserve"> </w:t>
      </w:r>
      <w:proofErr w:type="spellStart"/>
      <w:r>
        <w:t>thelbësor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qeverisjes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NP-</w:t>
      </w:r>
      <w:proofErr w:type="spellStart"/>
      <w:r>
        <w:t>ve</w:t>
      </w:r>
      <w:proofErr w:type="spellEnd"/>
      <w:r>
        <w:t xml:space="preserve">. </w:t>
      </w:r>
      <w:proofErr w:type="spellStart"/>
      <w:r>
        <w:t>Ndërkaq</w:t>
      </w:r>
      <w:proofErr w:type="spellEnd"/>
      <w:r>
        <w:t xml:space="preserve">, </w:t>
      </w:r>
      <w:proofErr w:type="spellStart"/>
      <w:r>
        <w:t>asetet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menaxhimin</w:t>
      </w:r>
      <w:proofErr w:type="spellEnd"/>
      <w:r>
        <w:t xml:space="preserve"> e AKP-</w:t>
      </w:r>
      <w:proofErr w:type="spellStart"/>
      <w:r>
        <w:t>së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vazhdojnë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zhvleftësimit</w:t>
      </w:r>
      <w:proofErr w:type="spellEnd"/>
      <w:r>
        <w:t xml:space="preserve">. </w:t>
      </w:r>
      <w:proofErr w:type="spellStart"/>
      <w:r>
        <w:t>Gjithashtu</w:t>
      </w:r>
      <w:proofErr w:type="spellEnd"/>
      <w:r>
        <w:t xml:space="preserve">, </w:t>
      </w:r>
      <w:proofErr w:type="spellStart"/>
      <w:r>
        <w:t>marrja</w:t>
      </w:r>
      <w:proofErr w:type="spellEnd"/>
      <w:r>
        <w:t xml:space="preserve"> e AKP-</w:t>
      </w:r>
      <w:proofErr w:type="spellStart"/>
      <w:r>
        <w:t>së</w:t>
      </w:r>
      <w:proofErr w:type="spellEnd"/>
      <w:r>
        <w:t xml:space="preserve"> me </w:t>
      </w:r>
      <w:proofErr w:type="spellStart"/>
      <w:r>
        <w:t>aktivitete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komercializimi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qiradhënia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aktivitete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AKP-</w:t>
      </w:r>
      <w:proofErr w:type="spellStart"/>
      <w:r>
        <w:t>së</w:t>
      </w:r>
      <w:proofErr w:type="spellEnd"/>
      <w:r>
        <w:t xml:space="preserve">, </w:t>
      </w:r>
      <w:proofErr w:type="spellStart"/>
      <w:r>
        <w:t>gjë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domethënë</w:t>
      </w:r>
      <w:proofErr w:type="spellEnd"/>
      <w:r>
        <w:t xml:space="preserve"> se </w:t>
      </w:r>
      <w:proofErr w:type="spellStart"/>
      <w:r>
        <w:t>ato</w:t>
      </w:r>
      <w:proofErr w:type="spellEnd"/>
      <w:r>
        <w:t xml:space="preserve"> </w:t>
      </w:r>
      <w:proofErr w:type="spellStart"/>
      <w:r>
        <w:t>bëhen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</w:t>
      </w:r>
      <w:proofErr w:type="spellEnd"/>
      <w:r>
        <w:t xml:space="preserve"> jo-</w:t>
      </w:r>
      <w:proofErr w:type="spellStart"/>
      <w:r>
        <w:t>efiçiente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jo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përfaqësim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interesit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.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, </w:t>
      </w:r>
      <w:proofErr w:type="spellStart"/>
      <w:r>
        <w:t>problemet</w:t>
      </w:r>
      <w:proofErr w:type="spellEnd"/>
      <w:r>
        <w:t xml:space="preserve"> e </w:t>
      </w:r>
      <w:proofErr w:type="spellStart"/>
      <w:r>
        <w:t>ravijëzuara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sipër</w:t>
      </w:r>
      <w:proofErr w:type="spellEnd"/>
      <w:r>
        <w:t xml:space="preserve"> </w:t>
      </w:r>
      <w:proofErr w:type="spellStart"/>
      <w:r>
        <w:t>lindin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modelit</w:t>
      </w:r>
      <w:proofErr w:type="spellEnd"/>
      <w:r>
        <w:t xml:space="preserve"> jo-</w:t>
      </w:r>
      <w:proofErr w:type="spellStart"/>
      <w:r>
        <w:t>efiçient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qeverisjes</w:t>
      </w:r>
      <w:proofErr w:type="spellEnd"/>
      <w:r>
        <w:t xml:space="preserve"> </w:t>
      </w:r>
      <w:proofErr w:type="spellStart"/>
      <w:r>
        <w:t>ekonomike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jo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defekteve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caktuara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institucionale</w:t>
      </w:r>
      <w:proofErr w:type="spellEnd"/>
      <w:r>
        <w:t xml:space="preserve">. </w:t>
      </w:r>
      <w:proofErr w:type="spellStart"/>
      <w:r>
        <w:t>Mbajtja</w:t>
      </w:r>
      <w:proofErr w:type="spellEnd"/>
      <w:r>
        <w:t xml:space="preserve"> e </w:t>
      </w:r>
      <w:proofErr w:type="spellStart"/>
      <w:r>
        <w:t>gjendjes</w:t>
      </w:r>
      <w:proofErr w:type="spellEnd"/>
      <w:r>
        <w:t xml:space="preserve"> </w:t>
      </w:r>
      <w:proofErr w:type="spellStart"/>
      <w:r>
        <w:t>ekzistuese</w:t>
      </w:r>
      <w:proofErr w:type="spellEnd"/>
      <w:r>
        <w:t xml:space="preserve"> </w:t>
      </w:r>
      <w:proofErr w:type="spellStart"/>
      <w:r>
        <w:t>ndikon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ruajtjen</w:t>
      </w:r>
      <w:proofErr w:type="spellEnd"/>
      <w:r>
        <w:t xml:space="preserve"> e </w:t>
      </w:r>
      <w:proofErr w:type="spellStart"/>
      <w:r>
        <w:t>modelit</w:t>
      </w:r>
      <w:proofErr w:type="spellEnd"/>
      <w:r>
        <w:t xml:space="preserve"> </w:t>
      </w:r>
      <w:proofErr w:type="spellStart"/>
      <w:r>
        <w:t>aktual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vazhdimin</w:t>
      </w:r>
      <w:proofErr w:type="spellEnd"/>
      <w:r>
        <w:t xml:space="preserve"> e </w:t>
      </w:r>
      <w:proofErr w:type="spellStart"/>
      <w:r>
        <w:t>problemeve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trashëguara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sektorin</w:t>
      </w:r>
      <w:proofErr w:type="spellEnd"/>
      <w:r>
        <w:t xml:space="preserve"> e NP-</w:t>
      </w:r>
      <w:proofErr w:type="spellStart"/>
      <w:r>
        <w:t>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vendit</w:t>
      </w:r>
      <w:proofErr w:type="spellEnd"/>
      <w:r>
        <w:t xml:space="preserve">. Ky </w:t>
      </w:r>
      <w:proofErr w:type="spellStart"/>
      <w:r>
        <w:t>opsion</w:t>
      </w:r>
      <w:proofErr w:type="spellEnd"/>
      <w:r>
        <w:t xml:space="preserve"> ka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implikime</w:t>
      </w:r>
      <w:proofErr w:type="spellEnd"/>
      <w:r>
        <w:t xml:space="preserve"> </w:t>
      </w:r>
      <w:proofErr w:type="spellStart"/>
      <w:r>
        <w:t>buxhetore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planin</w:t>
      </w:r>
      <w:proofErr w:type="spellEnd"/>
      <w:r>
        <w:t xml:space="preserve"> </w:t>
      </w:r>
      <w:proofErr w:type="spellStart"/>
      <w:r>
        <w:t>afatshkurtër</w:t>
      </w:r>
      <w:proofErr w:type="spellEnd"/>
      <w:r>
        <w:t xml:space="preserve">, por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pikëpamje</w:t>
      </w:r>
      <w:proofErr w:type="spellEnd"/>
      <w:r>
        <w:t xml:space="preserve"> </w:t>
      </w:r>
      <w:proofErr w:type="spellStart"/>
      <w:r>
        <w:t>afatgjatë</w:t>
      </w:r>
      <w:proofErr w:type="spellEnd"/>
      <w:r>
        <w:t xml:space="preserve"> </w:t>
      </w:r>
      <w:proofErr w:type="spellStart"/>
      <w:r>
        <w:t>vazhdon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ngarkojë</w:t>
      </w:r>
      <w:proofErr w:type="spellEnd"/>
      <w:r>
        <w:t xml:space="preserve"> </w:t>
      </w:r>
      <w:proofErr w:type="spellStart"/>
      <w:r>
        <w:t>buxhetin</w:t>
      </w:r>
      <w:proofErr w:type="spellEnd"/>
      <w:r>
        <w:t xml:space="preserve"> me </w:t>
      </w:r>
      <w:proofErr w:type="spellStart"/>
      <w:r>
        <w:t>problemet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NP-</w:t>
      </w:r>
      <w:proofErr w:type="spellStart"/>
      <w:r>
        <w:t>ve</w:t>
      </w:r>
      <w:proofErr w:type="spellEnd"/>
      <w:r>
        <w:t>.</w:t>
      </w:r>
    </w:p>
    <w:p w14:paraId="4B5AD245" w14:textId="77777777" w:rsidR="000E7BCB" w:rsidRDefault="000E7BCB"/>
    <w:p w14:paraId="7641791B" w14:textId="77777777" w:rsidR="000E7BCB" w:rsidRDefault="000E7BCB"/>
    <w:p w14:paraId="48CFEB0F" w14:textId="77777777" w:rsidR="000E7BCB" w:rsidRDefault="00A620E4">
      <w:proofErr w:type="spellStart"/>
      <w:r>
        <w:t>Opsioni</w:t>
      </w:r>
      <w:proofErr w:type="spellEnd"/>
      <w:r>
        <w:t xml:space="preserve"> 2: </w:t>
      </w:r>
      <w:proofErr w:type="spellStart"/>
      <w:r>
        <w:t>Implementimi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modeli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jashtëm</w:t>
      </w:r>
      <w:proofErr w:type="spellEnd"/>
    </w:p>
    <w:p w14:paraId="6B7967CD" w14:textId="77777777" w:rsidR="000E7BCB" w:rsidRDefault="000E7BCB"/>
    <w:p w14:paraId="2B901D02" w14:textId="77777777" w:rsidR="000E7BCB" w:rsidRDefault="00A620E4">
      <w:proofErr w:type="spellStart"/>
      <w:r>
        <w:t>Ndonëse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konceptin</w:t>
      </w:r>
      <w:proofErr w:type="spellEnd"/>
      <w:r>
        <w:t xml:space="preserve"> e FSRK-</w:t>
      </w:r>
      <w:proofErr w:type="spellStart"/>
      <w:r>
        <w:t>së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mbështetur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modele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fondeve</w:t>
      </w:r>
      <w:proofErr w:type="spellEnd"/>
      <w:r>
        <w:t xml:space="preserve"> </w:t>
      </w:r>
      <w:proofErr w:type="spellStart"/>
      <w:r>
        <w:t>investive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 e </w:t>
      </w:r>
      <w:proofErr w:type="spellStart"/>
      <w:r>
        <w:t>sovrane</w:t>
      </w:r>
      <w:proofErr w:type="spellEnd"/>
      <w:r>
        <w:t xml:space="preserve">, </w:t>
      </w:r>
      <w:proofErr w:type="spellStart"/>
      <w:r>
        <w:t>ekziston</w:t>
      </w:r>
      <w:proofErr w:type="spellEnd"/>
      <w:r>
        <w:t xml:space="preserve"> </w:t>
      </w:r>
      <w:proofErr w:type="spellStart"/>
      <w:r>
        <w:t>mundësia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tentojë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implementojë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fund e </w:t>
      </w:r>
      <w:proofErr w:type="spellStart"/>
      <w:r>
        <w:t>krye</w:t>
      </w:r>
      <w:proofErr w:type="spellEnd"/>
      <w:r>
        <w:t xml:space="preserve"> </w:t>
      </w:r>
      <w:proofErr w:type="spellStart"/>
      <w:r>
        <w:t>modelin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vendi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. </w:t>
      </w:r>
      <w:proofErr w:type="spellStart"/>
      <w:r>
        <w:t>Kjo</w:t>
      </w:r>
      <w:proofErr w:type="spellEnd"/>
      <w:r>
        <w:t xml:space="preserve"> do ta </w:t>
      </w:r>
      <w:proofErr w:type="spellStart"/>
      <w:r>
        <w:t>lehtësonte</w:t>
      </w:r>
      <w:proofErr w:type="spellEnd"/>
      <w:r>
        <w:t xml:space="preserve">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dezajnimit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implementimit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meqë</w:t>
      </w:r>
      <w:proofErr w:type="spellEnd"/>
      <w:r>
        <w:t xml:space="preserve"> </w:t>
      </w:r>
      <w:proofErr w:type="spellStart"/>
      <w:r>
        <w:t>modeli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merrej</w:t>
      </w:r>
      <w:proofErr w:type="spellEnd"/>
      <w:r>
        <w:t xml:space="preserve"> “</w:t>
      </w:r>
      <w:proofErr w:type="spellStart"/>
      <w:r>
        <w:t>i</w:t>
      </w:r>
      <w:proofErr w:type="spellEnd"/>
      <w:r>
        <w:t xml:space="preserve"> </w:t>
      </w:r>
      <w:proofErr w:type="spellStart"/>
      <w:r>
        <w:t>gatshëm</w:t>
      </w:r>
      <w:proofErr w:type="spellEnd"/>
      <w:r>
        <w:t xml:space="preserve">”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vend </w:t>
      </w:r>
      <w:proofErr w:type="spellStart"/>
      <w:r>
        <w:t>tjetër</w:t>
      </w:r>
      <w:proofErr w:type="spellEnd"/>
      <w:r>
        <w:t xml:space="preserve">. </w:t>
      </w:r>
      <w:proofErr w:type="spellStart"/>
      <w:r>
        <w:t>Problemet</w:t>
      </w:r>
      <w:proofErr w:type="spellEnd"/>
      <w:r>
        <w:t xml:space="preserve"> me </w:t>
      </w:r>
      <w:proofErr w:type="spellStart"/>
      <w:r>
        <w:t>implementimin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modeli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adaptimet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modifikimet</w:t>
      </w:r>
      <w:proofErr w:type="spellEnd"/>
      <w:r>
        <w:t xml:space="preserve"> e </w:t>
      </w:r>
      <w:proofErr w:type="spellStart"/>
      <w:r>
        <w:t>duhura</w:t>
      </w:r>
      <w:proofErr w:type="spellEnd"/>
      <w:r>
        <w:t xml:space="preserve"> </w:t>
      </w:r>
      <w:proofErr w:type="spellStart"/>
      <w:r>
        <w:t>përmbajtësore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propozuar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rezultojnë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model jo-</w:t>
      </w:r>
      <w:proofErr w:type="spellStart"/>
      <w:r>
        <w:t>efikas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nevojat</w:t>
      </w:r>
      <w:proofErr w:type="spellEnd"/>
      <w:r>
        <w:t xml:space="preserve"> e </w:t>
      </w:r>
      <w:proofErr w:type="spellStart"/>
      <w:r>
        <w:t>vendit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model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ndërtohet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bazat</w:t>
      </w:r>
      <w:proofErr w:type="spellEnd"/>
      <w:r>
        <w:t xml:space="preserve"> e </w:t>
      </w:r>
      <w:proofErr w:type="spellStart"/>
      <w:r>
        <w:t>qeverisjes</w:t>
      </w:r>
      <w:proofErr w:type="spellEnd"/>
      <w:r>
        <w:t xml:space="preserve"> </w:t>
      </w:r>
      <w:proofErr w:type="spellStart"/>
      <w:r>
        <w:t>demokratike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autonomisë</w:t>
      </w:r>
      <w:proofErr w:type="spellEnd"/>
      <w:r>
        <w:t xml:space="preserve"> </w:t>
      </w:r>
      <w:proofErr w:type="spellStart"/>
      <w:r>
        <w:t>biznesore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arsye</w:t>
      </w:r>
      <w:proofErr w:type="spellEnd"/>
      <w:r>
        <w:t xml:space="preserve">,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rekomandohet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mbështetet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adaptimet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konceptit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investues</w:t>
      </w:r>
      <w:proofErr w:type="spellEnd"/>
      <w:r>
        <w:t xml:space="preserve"> </w:t>
      </w:r>
      <w:proofErr w:type="spellStart"/>
      <w:r>
        <w:t>shtetëror</w:t>
      </w:r>
      <w:proofErr w:type="spellEnd"/>
      <w:r>
        <w:t>.</w:t>
      </w:r>
    </w:p>
    <w:p w14:paraId="52B5A12E" w14:textId="77777777" w:rsidR="000E7BCB" w:rsidRDefault="000E7BCB"/>
    <w:p w14:paraId="1CF5382E" w14:textId="77777777" w:rsidR="000E7BCB" w:rsidRDefault="000E7BCB"/>
    <w:p w14:paraId="067907B8" w14:textId="77777777" w:rsidR="000E7BCB" w:rsidRDefault="00A620E4">
      <w:proofErr w:type="spellStart"/>
      <w:r>
        <w:t>Opsioni</w:t>
      </w:r>
      <w:proofErr w:type="spellEnd"/>
      <w:r>
        <w:t xml:space="preserve"> 3: </w:t>
      </w:r>
      <w:proofErr w:type="spellStart"/>
      <w:r>
        <w:t>Implementimi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propozuar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dokument</w:t>
      </w:r>
      <w:proofErr w:type="spellEnd"/>
    </w:p>
    <w:p w14:paraId="6C29CA80" w14:textId="77777777" w:rsidR="000E7BCB" w:rsidRDefault="000E7BCB"/>
    <w:p w14:paraId="1A4A743B" w14:textId="77777777" w:rsidR="000E7BCB" w:rsidRDefault="00A620E4"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ka </w:t>
      </w:r>
      <w:proofErr w:type="spellStart"/>
      <w:r>
        <w:t>vlerësuar</w:t>
      </w:r>
      <w:proofErr w:type="spellEnd"/>
      <w:r>
        <w:t xml:space="preserve"> se </w:t>
      </w:r>
      <w:proofErr w:type="spellStart"/>
      <w:r>
        <w:t>qasja</w:t>
      </w:r>
      <w:proofErr w:type="spellEnd"/>
      <w:r>
        <w:t xml:space="preserve"> e </w:t>
      </w:r>
      <w:proofErr w:type="spellStart"/>
      <w:r>
        <w:t>propozuar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,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optimali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kuptimin</w:t>
      </w:r>
      <w:proofErr w:type="spellEnd"/>
      <w:r>
        <w:t xml:space="preserve"> e </w:t>
      </w:r>
      <w:proofErr w:type="spellStart"/>
      <w:r>
        <w:t>adresimit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problemeve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identifikuara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, por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qasjen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organizimit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strukturimit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investiv</w:t>
      </w:r>
      <w:proofErr w:type="spellEnd"/>
      <w:r>
        <w:t xml:space="preserve"> </w:t>
      </w:r>
      <w:proofErr w:type="spellStart"/>
      <w:r>
        <w:t>shtetëror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përshtatet</w:t>
      </w:r>
      <w:proofErr w:type="spellEnd"/>
      <w:r>
        <w:t xml:space="preserve"> </w:t>
      </w:r>
      <w:proofErr w:type="spellStart"/>
      <w:r>
        <w:t>traditës</w:t>
      </w:r>
      <w:proofErr w:type="spellEnd"/>
      <w:r>
        <w:t xml:space="preserve"> </w:t>
      </w:r>
      <w:proofErr w:type="spellStart"/>
      <w:r>
        <w:t>institucionale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vendit</w:t>
      </w:r>
      <w:proofErr w:type="spellEnd"/>
      <w:r>
        <w:t xml:space="preserve"> por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adreson</w:t>
      </w:r>
      <w:proofErr w:type="spellEnd"/>
      <w:r>
        <w:t xml:space="preserve"> </w:t>
      </w:r>
      <w:proofErr w:type="spellStart"/>
      <w:r>
        <w:t>thelbësisht</w:t>
      </w:r>
      <w:proofErr w:type="spellEnd"/>
      <w:r>
        <w:t xml:space="preserve"> </w:t>
      </w:r>
      <w:proofErr w:type="spellStart"/>
      <w:r>
        <w:t>problemet</w:t>
      </w:r>
      <w:proofErr w:type="spellEnd"/>
      <w:r>
        <w:t xml:space="preserve"> e </w:t>
      </w:r>
      <w:proofErr w:type="spellStart"/>
      <w:r>
        <w:t>modelit</w:t>
      </w:r>
      <w:proofErr w:type="spellEnd"/>
      <w:r>
        <w:t xml:space="preserve"> </w:t>
      </w:r>
      <w:proofErr w:type="spellStart"/>
      <w:r>
        <w:t>aktual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qeverisjes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sektorit</w:t>
      </w:r>
      <w:proofErr w:type="spellEnd"/>
      <w:r>
        <w:t xml:space="preserve"> </w:t>
      </w:r>
      <w:proofErr w:type="spellStart"/>
      <w:r>
        <w:t>komercial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. Me </w:t>
      </w:r>
      <w:proofErr w:type="spellStart"/>
      <w:r>
        <w:t>ofrimin</w:t>
      </w:r>
      <w:proofErr w:type="spellEnd"/>
      <w:r>
        <w:t xml:space="preserve"> e </w:t>
      </w:r>
      <w:proofErr w:type="spellStart"/>
      <w:r>
        <w:t>modeleve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financimit</w:t>
      </w:r>
      <w:proofErr w:type="spellEnd"/>
      <w:r>
        <w:t xml:space="preserve">,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ka </w:t>
      </w:r>
      <w:proofErr w:type="spellStart"/>
      <w:r>
        <w:t>tentuar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FSRK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implikime</w:t>
      </w:r>
      <w:proofErr w:type="spellEnd"/>
      <w:r>
        <w:t xml:space="preserve"> </w:t>
      </w:r>
      <w:proofErr w:type="spellStart"/>
      <w:r>
        <w:t>buxhetore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vendin</w:t>
      </w:r>
      <w:proofErr w:type="spellEnd"/>
      <w:r>
        <w:t xml:space="preserve">, </w:t>
      </w:r>
      <w:proofErr w:type="spellStart"/>
      <w:r>
        <w:t>megjithëse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investim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minimum 20 </w:t>
      </w:r>
      <w:proofErr w:type="spellStart"/>
      <w:r>
        <w:t>milionë</w:t>
      </w:r>
      <w:proofErr w:type="spellEnd"/>
      <w:r>
        <w:t xml:space="preserve"> €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domosdoshëm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arritjen</w:t>
      </w:r>
      <w:proofErr w:type="spellEnd"/>
      <w:r>
        <w:t xml:space="preserve"> e </w:t>
      </w:r>
      <w:proofErr w:type="spellStart"/>
      <w:r>
        <w:t>objektivit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themelimit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FSRK.</w:t>
      </w:r>
    </w:p>
    <w:p w14:paraId="3559CC48" w14:textId="77777777" w:rsidR="000E7BCB" w:rsidRDefault="000E7BCB"/>
    <w:p w14:paraId="50FEBF9F" w14:textId="77777777" w:rsidR="000E7BCB" w:rsidRDefault="00A620E4">
      <w:proofErr w:type="spellStart"/>
      <w:r>
        <w:t>Për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procesit</w:t>
      </w:r>
      <w:proofErr w:type="spellEnd"/>
      <w:r>
        <w:t xml:space="preserve"> </w:t>
      </w:r>
      <w:proofErr w:type="spellStart"/>
      <w:r>
        <w:t>implementues</w:t>
      </w:r>
      <w:proofErr w:type="spellEnd"/>
      <w:r>
        <w:t xml:space="preserve">, </w:t>
      </w:r>
      <w:proofErr w:type="spellStart"/>
      <w:r>
        <w:t>meqë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themelimit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FSRK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kërkon</w:t>
      </w:r>
      <w:proofErr w:type="spellEnd"/>
      <w:r>
        <w:t xml:space="preserve"> </w:t>
      </w:r>
      <w:proofErr w:type="spellStart"/>
      <w:r>
        <w:t>koordinim</w:t>
      </w:r>
      <w:proofErr w:type="spellEnd"/>
      <w:r>
        <w:t xml:space="preserve"> </w:t>
      </w:r>
      <w:proofErr w:type="spellStart"/>
      <w:r>
        <w:t>ndërministror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ndër-agjensional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me </w:t>
      </w:r>
      <w:proofErr w:type="spellStart"/>
      <w:r>
        <w:t>palë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donatorë</w:t>
      </w:r>
      <w:proofErr w:type="spellEnd"/>
      <w:r>
        <w:t xml:space="preserve">, </w:t>
      </w:r>
      <w:proofErr w:type="spellStart"/>
      <w:r>
        <w:t>konsulentë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aktorë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tjerë</w:t>
      </w:r>
      <w:proofErr w:type="spellEnd"/>
      <w:r>
        <w:t xml:space="preserve"> </w:t>
      </w:r>
      <w:proofErr w:type="spellStart"/>
      <w:r>
        <w:t>relevantë</w:t>
      </w:r>
      <w:proofErr w:type="spellEnd"/>
      <w:r>
        <w:t xml:space="preserve">,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rekomandon</w:t>
      </w:r>
      <w:proofErr w:type="spellEnd"/>
      <w:r>
        <w:t xml:space="preserve"> </w:t>
      </w:r>
      <w:proofErr w:type="spellStart"/>
      <w:r>
        <w:t>emërimin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Koordinatori</w:t>
      </w:r>
      <w:proofErr w:type="spellEnd"/>
      <w:r>
        <w:t xml:space="preserve">/e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plotfuqishëm</w:t>
      </w:r>
      <w:proofErr w:type="spellEnd"/>
      <w:r>
        <w:t>/</w:t>
      </w:r>
      <w:proofErr w:type="spellStart"/>
      <w:r>
        <w:t>në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cilit</w:t>
      </w:r>
      <w:proofErr w:type="spellEnd"/>
      <w:r>
        <w:t>/</w:t>
      </w:r>
      <w:proofErr w:type="spellStart"/>
      <w:r>
        <w:t>cilës</w:t>
      </w:r>
      <w:proofErr w:type="spellEnd"/>
      <w:r>
        <w:t xml:space="preserve"> </w:t>
      </w:r>
      <w:proofErr w:type="spellStart"/>
      <w:r>
        <w:t>Komisioni</w:t>
      </w:r>
      <w:proofErr w:type="spellEnd"/>
      <w:r>
        <w:t xml:space="preserve"> do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japë</w:t>
      </w:r>
      <w:proofErr w:type="spellEnd"/>
      <w:r>
        <w:t xml:space="preserve"> </w:t>
      </w:r>
      <w:proofErr w:type="spellStart"/>
      <w:r>
        <w:t>kompetencat</w:t>
      </w:r>
      <w:proofErr w:type="spellEnd"/>
      <w:r>
        <w:t xml:space="preserve"> e </w:t>
      </w:r>
      <w:proofErr w:type="spellStart"/>
      <w:r>
        <w:t>plota</w:t>
      </w:r>
      <w:proofErr w:type="spellEnd"/>
      <w:r>
        <w:t xml:space="preserve">, </w:t>
      </w:r>
      <w:proofErr w:type="spellStart"/>
      <w:r>
        <w:t>përfshi</w:t>
      </w:r>
      <w:proofErr w:type="spellEnd"/>
      <w:r>
        <w:t xml:space="preserve"> </w:t>
      </w:r>
      <w:proofErr w:type="spellStart"/>
      <w:r>
        <w:t>autorizimet</w:t>
      </w:r>
      <w:proofErr w:type="spellEnd"/>
      <w:r>
        <w:t xml:space="preserve"> </w:t>
      </w:r>
      <w:proofErr w:type="spellStart"/>
      <w:r>
        <w:t>buxhetore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mbështetjën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stafi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nevojshëm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implementimin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ekzekutimin</w:t>
      </w:r>
      <w:proofErr w:type="spellEnd"/>
      <w:r>
        <w:t xml:space="preserve"> e </w:t>
      </w:r>
      <w:proofErr w:type="spellStart"/>
      <w:r>
        <w:t>hapave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propozuara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Koncept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, </w:t>
      </w:r>
      <w:proofErr w:type="spellStart"/>
      <w:r>
        <w:t>bashkë</w:t>
      </w:r>
      <w:proofErr w:type="spellEnd"/>
      <w:r>
        <w:t xml:space="preserve"> me </w:t>
      </w:r>
      <w:proofErr w:type="spellStart"/>
      <w:r>
        <w:t>masat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miratohen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Komisioni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procesit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shqyrtimit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propozimeve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Koncept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>.</w:t>
      </w:r>
    </w:p>
    <w:p w14:paraId="580A0BF4" w14:textId="77777777" w:rsidR="000E7BCB" w:rsidRDefault="000E7BCB"/>
    <w:p w14:paraId="14797DA3" w14:textId="77777777" w:rsidR="000E7BCB" w:rsidRDefault="000E7BCB"/>
    <w:p w14:paraId="13D5A292" w14:textId="77777777" w:rsidR="000E7BCB" w:rsidRDefault="00A620E4">
      <w:r>
        <w:br w:type="page"/>
      </w:r>
    </w:p>
    <w:p w14:paraId="05CA720A" w14:textId="77777777" w:rsidR="000E7BCB" w:rsidRDefault="00A620E4">
      <w:pPr>
        <w:pStyle w:val="Heading1"/>
      </w:pPr>
      <w:bookmarkStart w:id="41" w:name="_Toc93312404"/>
      <w:r>
        <w:lastRenderedPageBreak/>
        <w:t>SHTOJCA 1: PARIMET THEMELORE TË FONDIT SOVRAN</w:t>
      </w:r>
      <w:bookmarkEnd w:id="41"/>
    </w:p>
    <w:p w14:paraId="4285A98C" w14:textId="77777777" w:rsidR="000E7BCB" w:rsidRDefault="000E7BCB"/>
    <w:p w14:paraId="1CC63761" w14:textId="77777777" w:rsidR="000E7BCB" w:rsidRDefault="000E7BCB"/>
    <w:p w14:paraId="7B473DB4" w14:textId="77777777" w:rsidR="000E7BCB" w:rsidRDefault="00A620E4">
      <w:proofErr w:type="spellStart"/>
      <w:r>
        <w:t>Fondi</w:t>
      </w:r>
      <w:proofErr w:type="spellEnd"/>
      <w:r>
        <w:t xml:space="preserve"> Sovran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(“</w:t>
      </w:r>
      <w:proofErr w:type="spellStart"/>
      <w:r>
        <w:t>Fondi</w:t>
      </w:r>
      <w:proofErr w:type="spellEnd"/>
      <w:r>
        <w:t xml:space="preserve">”)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shoqëri</w:t>
      </w:r>
      <w:proofErr w:type="spellEnd"/>
      <w:r>
        <w:t xml:space="preserve"> e </w:t>
      </w:r>
      <w:proofErr w:type="spellStart"/>
      <w:r>
        <w:t>pavarur</w:t>
      </w:r>
      <w:proofErr w:type="spellEnd"/>
      <w:r>
        <w:t xml:space="preserve"> </w:t>
      </w:r>
      <w:proofErr w:type="spellStart"/>
      <w:r>
        <w:t>financiare-investuese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aset-menaxhuese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. </w:t>
      </w:r>
    </w:p>
    <w:p w14:paraId="77172ECE" w14:textId="77777777" w:rsidR="000E7BCB" w:rsidRDefault="000E7BCB"/>
    <w:p w14:paraId="4F6B7DF6" w14:textId="77777777" w:rsidR="000E7BCB" w:rsidRDefault="00A620E4">
      <w:r>
        <w:t xml:space="preserve"> </w:t>
      </w:r>
    </w:p>
    <w:p w14:paraId="69CC1A36" w14:textId="77777777" w:rsidR="000E7BCB" w:rsidRDefault="00A620E4">
      <w:pPr>
        <w:numPr>
          <w:ilvl w:val="0"/>
          <w:numId w:val="19"/>
        </w:numPr>
      </w:pPr>
      <w:proofErr w:type="spellStart"/>
      <w:r>
        <w:t>Qëllimet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mandatet</w:t>
      </w:r>
      <w:proofErr w:type="spellEnd"/>
    </w:p>
    <w:p w14:paraId="56166D45" w14:textId="77777777" w:rsidR="000E7BCB" w:rsidRDefault="000E7BCB"/>
    <w:p w14:paraId="356AE03C" w14:textId="77777777" w:rsidR="000E7BCB" w:rsidRDefault="00A620E4">
      <w:pPr>
        <w:numPr>
          <w:ilvl w:val="3"/>
          <w:numId w:val="19"/>
        </w:numPr>
      </w:pPr>
      <w:proofErr w:type="spellStart"/>
      <w:r>
        <w:t>Fondi</w:t>
      </w:r>
      <w:proofErr w:type="spellEnd"/>
      <w:r>
        <w:t xml:space="preserve"> </w:t>
      </w:r>
      <w:proofErr w:type="spellStart"/>
      <w:r>
        <w:t>themelohet</w:t>
      </w:r>
      <w:proofErr w:type="spellEnd"/>
      <w:r>
        <w:t xml:space="preserve">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të</w:t>
      </w:r>
      <w:proofErr w:type="spellEnd"/>
      <w:r>
        <w:t>:</w:t>
      </w:r>
    </w:p>
    <w:p w14:paraId="6029346A" w14:textId="77777777" w:rsidR="000E7BCB" w:rsidRDefault="000E7BCB"/>
    <w:p w14:paraId="27CC9F73" w14:textId="77777777" w:rsidR="000E7BCB" w:rsidRDefault="00A620E4">
      <w:pPr>
        <w:numPr>
          <w:ilvl w:val="4"/>
          <w:numId w:val="19"/>
        </w:numPr>
      </w:pPr>
      <w:proofErr w:type="spellStart"/>
      <w:r>
        <w:t>Përmes</w:t>
      </w:r>
      <w:proofErr w:type="spellEnd"/>
      <w:r>
        <w:t xml:space="preserve"> </w:t>
      </w:r>
      <w:proofErr w:type="spellStart"/>
      <w:r>
        <w:t>ushtrimit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rolit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aksionarit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bëjë</w:t>
      </w:r>
      <w:proofErr w:type="spellEnd"/>
      <w:r>
        <w:t xml:space="preserve"> </w:t>
      </w:r>
      <w:proofErr w:type="spellStart"/>
      <w:r>
        <w:t>menaxhimin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strategjike</w:t>
      </w:r>
      <w:proofErr w:type="spellEnd"/>
      <w:r>
        <w:t xml:space="preserve">,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ish-ndërmarrjeve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,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rritjes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vlerës</w:t>
      </w:r>
      <w:proofErr w:type="spellEnd"/>
      <w:r>
        <w:t xml:space="preserve">, </w:t>
      </w:r>
      <w:proofErr w:type="spellStart"/>
      <w:r>
        <w:t>ngritjes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performancës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sigurimin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shkalle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kthimit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investim</w:t>
      </w:r>
      <w:proofErr w:type="spellEnd"/>
      <w:r>
        <w:t xml:space="preserve"> (</w:t>
      </w:r>
      <w:r>
        <w:rPr>
          <w:i/>
        </w:rPr>
        <w:t>Return on Investment</w:t>
      </w:r>
      <w:r>
        <w:t xml:space="preserve">)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vjetore</w:t>
      </w:r>
      <w:proofErr w:type="spellEnd"/>
      <w:r>
        <w:t>.</w:t>
      </w:r>
    </w:p>
    <w:p w14:paraId="700DC98E" w14:textId="77777777" w:rsidR="000E7BCB" w:rsidRDefault="000E7BCB"/>
    <w:p w14:paraId="5BFA3110" w14:textId="77777777" w:rsidR="000E7BCB" w:rsidRDefault="00A620E4">
      <w:pPr>
        <w:numPr>
          <w:ilvl w:val="4"/>
          <w:numId w:val="19"/>
        </w:numPr>
      </w:pPr>
      <w:proofErr w:type="spellStart"/>
      <w:r>
        <w:t>Përkujdesjes</w:t>
      </w:r>
      <w:proofErr w:type="spellEnd"/>
      <w:r>
        <w:t xml:space="preserve"> (</w:t>
      </w:r>
      <w:r>
        <w:rPr>
          <w:i/>
        </w:rPr>
        <w:t>stewardship</w:t>
      </w:r>
      <w:r>
        <w:t xml:space="preserve">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strategjike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mirëqeverisjes</w:t>
      </w:r>
      <w:proofErr w:type="spellEnd"/>
      <w:r>
        <w:t xml:space="preserve">, </w:t>
      </w:r>
      <w:proofErr w:type="spellStart"/>
      <w:r>
        <w:t>mbikëqyrjes</w:t>
      </w:r>
      <w:proofErr w:type="spellEnd"/>
      <w:r>
        <w:t xml:space="preserve"> </w:t>
      </w:r>
      <w:proofErr w:type="spellStart"/>
      <w:r>
        <w:t>efektive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aprovimit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planeve</w:t>
      </w:r>
      <w:proofErr w:type="spellEnd"/>
      <w:r>
        <w:t xml:space="preserve"> </w:t>
      </w:r>
      <w:proofErr w:type="spellStart"/>
      <w:r>
        <w:t>afatgjata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>.</w:t>
      </w:r>
    </w:p>
    <w:p w14:paraId="283922FB" w14:textId="77777777" w:rsidR="000E7BCB" w:rsidRDefault="000E7BCB"/>
    <w:p w14:paraId="32FFCDCD" w14:textId="77777777" w:rsidR="000E7BCB" w:rsidRDefault="00A620E4">
      <w:pPr>
        <w:numPr>
          <w:ilvl w:val="4"/>
          <w:numId w:val="19"/>
        </w:numPr>
      </w:pPr>
      <w:proofErr w:type="spellStart"/>
      <w:r>
        <w:t>Sigurimin</w:t>
      </w:r>
      <w:proofErr w:type="spellEnd"/>
      <w:r>
        <w:t xml:space="preserve"> e </w:t>
      </w:r>
      <w:proofErr w:type="spellStart"/>
      <w:r>
        <w:t>kapitalit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partneriteteve</w:t>
      </w:r>
      <w:proofErr w:type="spellEnd"/>
      <w:r>
        <w:t xml:space="preserve"> </w:t>
      </w:r>
      <w:proofErr w:type="spellStart"/>
      <w:r>
        <w:t>strategjike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brendshme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jashtme</w:t>
      </w:r>
      <w:proofErr w:type="spellEnd"/>
      <w:r>
        <w:t xml:space="preserve">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diversifikimit</w:t>
      </w:r>
      <w:proofErr w:type="spellEnd"/>
      <w:r>
        <w:t xml:space="preserve">, </w:t>
      </w:r>
      <w:proofErr w:type="spellStart"/>
      <w:r>
        <w:t>rritjes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konkurrueshmërisë</w:t>
      </w:r>
      <w:proofErr w:type="spellEnd"/>
      <w:r>
        <w:t xml:space="preserve"> </w:t>
      </w:r>
      <w:proofErr w:type="spellStart"/>
      <w:r>
        <w:t>regjionale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avancimit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shkathtësive</w:t>
      </w:r>
      <w:proofErr w:type="spellEnd"/>
      <w:r>
        <w:t xml:space="preserve"> </w:t>
      </w:r>
      <w:proofErr w:type="spellStart"/>
      <w:r>
        <w:t>punuese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teknologjike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ekonomisë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>.</w:t>
      </w:r>
    </w:p>
    <w:p w14:paraId="1A870A6A" w14:textId="77777777" w:rsidR="000E7BCB" w:rsidRDefault="000E7BCB"/>
    <w:p w14:paraId="49A74F49" w14:textId="77777777" w:rsidR="000E7BCB" w:rsidRDefault="00A620E4">
      <w:pPr>
        <w:numPr>
          <w:ilvl w:val="4"/>
          <w:numId w:val="19"/>
        </w:numPr>
      </w:pPr>
      <w:proofErr w:type="spellStart"/>
      <w:r>
        <w:t>Ndërtimin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ekonomie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qëndrueshme</w:t>
      </w:r>
      <w:proofErr w:type="spellEnd"/>
      <w:r>
        <w:t xml:space="preserve">, </w:t>
      </w:r>
      <w:proofErr w:type="spellStart"/>
      <w:r>
        <w:t>mbi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ekuitetit</w:t>
      </w:r>
      <w:proofErr w:type="spellEnd"/>
      <w:r>
        <w:t xml:space="preserve"> </w:t>
      </w:r>
      <w:proofErr w:type="spellStart"/>
      <w:r>
        <w:t>shoqëror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gjinor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pajtim</w:t>
      </w:r>
      <w:proofErr w:type="spellEnd"/>
      <w:r>
        <w:t xml:space="preserve"> me </w:t>
      </w:r>
      <w:proofErr w:type="spellStart"/>
      <w:r>
        <w:t>orientimet</w:t>
      </w:r>
      <w:proofErr w:type="spellEnd"/>
      <w:r>
        <w:t xml:space="preserve"> </w:t>
      </w:r>
      <w:proofErr w:type="spellStart"/>
      <w:r>
        <w:t>kombëtare</w:t>
      </w:r>
      <w:proofErr w:type="spellEnd"/>
      <w:r>
        <w:t xml:space="preserve">, </w:t>
      </w:r>
      <w:proofErr w:type="spellStart"/>
      <w:r>
        <w:t>evropiane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dekarbonizimit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qëndrueshmërisë</w:t>
      </w:r>
      <w:proofErr w:type="spellEnd"/>
      <w:r>
        <w:t xml:space="preserve"> </w:t>
      </w:r>
      <w:proofErr w:type="spellStart"/>
      <w:r>
        <w:t>ambientale</w:t>
      </w:r>
      <w:proofErr w:type="spellEnd"/>
      <w:r>
        <w:t>.</w:t>
      </w:r>
    </w:p>
    <w:p w14:paraId="32998800" w14:textId="77777777" w:rsidR="000E7BCB" w:rsidRDefault="000E7BCB"/>
    <w:p w14:paraId="470331BB" w14:textId="77777777" w:rsidR="000E7BCB" w:rsidRDefault="00A620E4">
      <w:pPr>
        <w:numPr>
          <w:ilvl w:val="4"/>
          <w:numId w:val="19"/>
        </w:numPr>
      </w:pPr>
      <w:proofErr w:type="spellStart"/>
      <w:r>
        <w:t>Shërbimit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krah</w:t>
      </w:r>
      <w:proofErr w:type="spellEnd"/>
      <w:r>
        <w:t xml:space="preserve"> </w:t>
      </w:r>
      <w:proofErr w:type="spellStart"/>
      <w:r>
        <w:t>financiar-investues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përfaqëson</w:t>
      </w:r>
      <w:proofErr w:type="spellEnd"/>
      <w:r>
        <w:t xml:space="preserve"> </w:t>
      </w:r>
      <w:proofErr w:type="spellStart"/>
      <w:r>
        <w:t>interesin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vepron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orientimeve</w:t>
      </w:r>
      <w:proofErr w:type="spellEnd"/>
      <w:r>
        <w:t xml:space="preserve"> </w:t>
      </w:r>
      <w:proofErr w:type="spellStart"/>
      <w:r>
        <w:t>afatgjata</w:t>
      </w:r>
      <w:proofErr w:type="spellEnd"/>
      <w:r>
        <w:t xml:space="preserve"> </w:t>
      </w:r>
      <w:proofErr w:type="spellStart"/>
      <w:r>
        <w:t>zhvillimore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e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>.</w:t>
      </w:r>
    </w:p>
    <w:p w14:paraId="6097A295" w14:textId="77777777" w:rsidR="000E7BCB" w:rsidRDefault="000E7BCB"/>
    <w:p w14:paraId="34450B31" w14:textId="77777777" w:rsidR="000E7BCB" w:rsidRDefault="00A620E4">
      <w:pPr>
        <w:numPr>
          <w:ilvl w:val="0"/>
          <w:numId w:val="19"/>
        </w:numPr>
      </w:pPr>
      <w:proofErr w:type="spellStart"/>
      <w:r>
        <w:t>Funksioni</w:t>
      </w:r>
      <w:proofErr w:type="spellEnd"/>
    </w:p>
    <w:p w14:paraId="57CB2134" w14:textId="77777777" w:rsidR="000E7BCB" w:rsidRDefault="000E7BCB"/>
    <w:p w14:paraId="26C5AFE5" w14:textId="77777777" w:rsidR="000E7BCB" w:rsidRDefault="00A620E4">
      <w:pPr>
        <w:numPr>
          <w:ilvl w:val="3"/>
          <w:numId w:val="19"/>
        </w:numPr>
      </w:pPr>
      <w:proofErr w:type="spellStart"/>
      <w:r>
        <w:lastRenderedPageBreak/>
        <w:t>Fondi</w:t>
      </w:r>
      <w:proofErr w:type="spellEnd"/>
      <w:r>
        <w:t xml:space="preserve"> </w:t>
      </w:r>
      <w:proofErr w:type="spellStart"/>
      <w:r>
        <w:t>vepron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investitor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parimet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strategjive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pajtim</w:t>
      </w:r>
      <w:proofErr w:type="spellEnd"/>
      <w:r>
        <w:t xml:space="preserve"> me </w:t>
      </w:r>
      <w:proofErr w:type="spellStart"/>
      <w:r>
        <w:t>parimet</w:t>
      </w:r>
      <w:proofErr w:type="spellEnd"/>
      <w:r>
        <w:t xml:space="preserve"> </w:t>
      </w:r>
      <w:proofErr w:type="spellStart"/>
      <w:r>
        <w:t>bazike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formuluara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Statutin</w:t>
      </w:r>
      <w:proofErr w:type="spellEnd"/>
      <w:r>
        <w:t>/</w:t>
      </w:r>
      <w:proofErr w:type="spellStart"/>
      <w:r>
        <w:t>Kartën</w:t>
      </w:r>
      <w:proofErr w:type="spellEnd"/>
      <w:r>
        <w:t xml:space="preserve"> </w:t>
      </w:r>
      <w:proofErr w:type="spellStart"/>
      <w:r>
        <w:t>Afariste</w:t>
      </w:r>
      <w:proofErr w:type="spellEnd"/>
      <w:r>
        <w:t xml:space="preserve"> (</w:t>
      </w:r>
      <w:r>
        <w:rPr>
          <w:i/>
        </w:rPr>
        <w:t>Business Charter</w:t>
      </w:r>
      <w:r>
        <w:t xml:space="preserve">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strategjinë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kornizën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vendosur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>.</w:t>
      </w:r>
    </w:p>
    <w:p w14:paraId="08F99C2B" w14:textId="77777777" w:rsidR="000E7BCB" w:rsidRDefault="000E7BCB"/>
    <w:p w14:paraId="6AE8C508" w14:textId="77777777" w:rsidR="000E7BCB" w:rsidRDefault="00A620E4">
      <w:pPr>
        <w:numPr>
          <w:ilvl w:val="3"/>
          <w:numId w:val="19"/>
        </w:numPr>
      </w:pPr>
      <w:proofErr w:type="spellStart"/>
      <w:r>
        <w:t>Fondi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pronar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menaxher</w:t>
      </w:r>
      <w:proofErr w:type="spellEnd"/>
      <w:r>
        <w:t xml:space="preserve"> </w:t>
      </w:r>
      <w:proofErr w:type="spellStart"/>
      <w:r>
        <w:t>asetesh</w:t>
      </w:r>
      <w:proofErr w:type="spellEnd"/>
      <w:r>
        <w:t xml:space="preserve"> (</w:t>
      </w:r>
      <w:r>
        <w:rPr>
          <w:i/>
        </w:rPr>
        <w:t>asset owner and manager</w:t>
      </w:r>
      <w:r>
        <w:t xml:space="preserve">). Si person </w:t>
      </w:r>
      <w:proofErr w:type="spellStart"/>
      <w:r>
        <w:t>juridik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përfaqësuar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trupat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oficerët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</w:t>
      </w:r>
      <w:proofErr w:type="spellStart"/>
      <w:r>
        <w:t>ekzekutivë</w:t>
      </w:r>
      <w:proofErr w:type="spellEnd"/>
      <w:r>
        <w:t xml:space="preserve">, </w:t>
      </w:r>
      <w:proofErr w:type="spellStart"/>
      <w:r>
        <w:t>Fondi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ushtrojë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</w:t>
      </w:r>
      <w:proofErr w:type="spellStart"/>
      <w:r>
        <w:t>pronësore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njohura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ligjeve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jurisdiksioneve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vepron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konventave</w:t>
      </w:r>
      <w:proofErr w:type="spellEnd"/>
      <w:r>
        <w:t xml:space="preserve"> </w:t>
      </w:r>
      <w:proofErr w:type="spellStart"/>
      <w:r>
        <w:t>ndërkombetare</w:t>
      </w:r>
      <w:proofErr w:type="spellEnd"/>
      <w:r>
        <w:t>.</w:t>
      </w:r>
    </w:p>
    <w:p w14:paraId="7EDBB292" w14:textId="77777777" w:rsidR="000E7BCB" w:rsidRDefault="000E7BCB"/>
    <w:p w14:paraId="4D5E962E" w14:textId="77777777" w:rsidR="000E7BCB" w:rsidRDefault="00A620E4">
      <w:pPr>
        <w:numPr>
          <w:ilvl w:val="3"/>
          <w:numId w:val="19"/>
        </w:numPr>
      </w:pPr>
      <w:proofErr w:type="spellStart"/>
      <w:r>
        <w:t>Fondi</w:t>
      </w:r>
      <w:proofErr w:type="spellEnd"/>
      <w:r>
        <w:t xml:space="preserve"> </w:t>
      </w:r>
      <w:proofErr w:type="spellStart"/>
      <w:r>
        <w:t>harton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ekzekuton</w:t>
      </w:r>
      <w:proofErr w:type="spellEnd"/>
      <w:r>
        <w:t xml:space="preserve"> </w:t>
      </w:r>
      <w:proofErr w:type="spellStart"/>
      <w:r>
        <w:t>strategjitë</w:t>
      </w:r>
      <w:proofErr w:type="spellEnd"/>
      <w:r>
        <w:t xml:space="preserve"> e </w:t>
      </w:r>
      <w:proofErr w:type="spellStart"/>
      <w:r>
        <w:t>pjesëmarrjes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tregjet</w:t>
      </w:r>
      <w:proofErr w:type="spellEnd"/>
      <w:r>
        <w:t xml:space="preserve"> e </w:t>
      </w:r>
      <w:proofErr w:type="spellStart"/>
      <w:r>
        <w:t>brendshme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duke </w:t>
      </w:r>
      <w:proofErr w:type="spellStart"/>
      <w:r>
        <w:t>tregtuar</w:t>
      </w:r>
      <w:proofErr w:type="spellEnd"/>
      <w:r>
        <w:t xml:space="preserve"> (</w:t>
      </w:r>
      <w:proofErr w:type="spellStart"/>
      <w:r>
        <w:t>si</w:t>
      </w:r>
      <w:proofErr w:type="spellEnd"/>
      <w:r>
        <w:t xml:space="preserve"> </w:t>
      </w:r>
      <w:proofErr w:type="spellStart"/>
      <w:r>
        <w:t>palë</w:t>
      </w:r>
      <w:proofErr w:type="spellEnd"/>
      <w:r>
        <w:t xml:space="preserve">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ndërmjetësve</w:t>
      </w:r>
      <w:proofErr w:type="spellEnd"/>
      <w:r>
        <w:t xml:space="preserve">) me: bono, </w:t>
      </w:r>
      <w:proofErr w:type="spellStart"/>
      <w:r>
        <w:t>ekuitete</w:t>
      </w:r>
      <w:proofErr w:type="spellEnd"/>
      <w:r>
        <w:t xml:space="preserve">, </w:t>
      </w:r>
      <w:proofErr w:type="spellStart"/>
      <w:r>
        <w:t>shkëmbime</w:t>
      </w:r>
      <w:proofErr w:type="spellEnd"/>
      <w:r>
        <w:t xml:space="preserve"> </w:t>
      </w:r>
      <w:proofErr w:type="spellStart"/>
      <w:r>
        <w:t>valutore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>.</w:t>
      </w:r>
    </w:p>
    <w:p w14:paraId="40B44864" w14:textId="77777777" w:rsidR="000E7BCB" w:rsidRDefault="000E7BCB"/>
    <w:p w14:paraId="5F49EA76" w14:textId="77777777" w:rsidR="000E7BCB" w:rsidRDefault="00A620E4">
      <w:pPr>
        <w:numPr>
          <w:ilvl w:val="3"/>
          <w:numId w:val="19"/>
        </w:numPr>
      </w:pPr>
      <w:proofErr w:type="spellStart"/>
      <w:r>
        <w:t>Ndonëse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orientimet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</w:t>
      </w:r>
      <w:proofErr w:type="spellStart"/>
      <w:r>
        <w:t>zhvillimore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vendimet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 xml:space="preserve"> e </w:t>
      </w:r>
      <w:proofErr w:type="spellStart"/>
      <w:r>
        <w:t>afariste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funksionimit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përditshëm</w:t>
      </w:r>
      <w:proofErr w:type="spellEnd"/>
      <w:r>
        <w:t xml:space="preserve">, </w:t>
      </w:r>
      <w:proofErr w:type="spellStart"/>
      <w:r>
        <w:t>Fondi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ndikimet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, </w:t>
      </w:r>
      <w:proofErr w:type="spellStart"/>
      <w:r>
        <w:t>Kuvendit</w:t>
      </w:r>
      <w:proofErr w:type="spellEnd"/>
      <w:r>
        <w:t xml:space="preserve"> apo </w:t>
      </w:r>
      <w:proofErr w:type="spellStart"/>
      <w:r>
        <w:t>cilido</w:t>
      </w:r>
      <w:proofErr w:type="spellEnd"/>
      <w:r>
        <w:t xml:space="preserve"> </w:t>
      </w:r>
      <w:proofErr w:type="spellStart"/>
      <w:r>
        <w:t>trup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agjension</w:t>
      </w:r>
      <w:proofErr w:type="spellEnd"/>
      <w:r>
        <w:t xml:space="preserve"> apo </w:t>
      </w:r>
      <w:proofErr w:type="spellStart"/>
      <w:r>
        <w:t>zyrtar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. </w:t>
      </w:r>
    </w:p>
    <w:p w14:paraId="31B48B4F" w14:textId="77777777" w:rsidR="000E7BCB" w:rsidRDefault="000E7BCB"/>
    <w:p w14:paraId="76511263" w14:textId="77777777" w:rsidR="000E7BCB" w:rsidRDefault="00A620E4">
      <w:pPr>
        <w:numPr>
          <w:ilvl w:val="3"/>
          <w:numId w:val="19"/>
        </w:numPr>
      </w:pPr>
      <w:proofErr w:type="spellStart"/>
      <w:r>
        <w:t>Marrëdhëniet</w:t>
      </w:r>
      <w:proofErr w:type="spellEnd"/>
      <w:r>
        <w:t xml:space="preserve">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me </w:t>
      </w:r>
      <w:proofErr w:type="spellStart"/>
      <w:r>
        <w:t>Qeverinë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Kuvendin</w:t>
      </w:r>
      <w:proofErr w:type="spellEnd"/>
      <w:r>
        <w:t xml:space="preserve"> e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do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përcaktojë</w:t>
      </w:r>
      <w:proofErr w:type="spellEnd"/>
      <w:r>
        <w:t xml:space="preserve"> </w:t>
      </w:r>
      <w:proofErr w:type="spellStart"/>
      <w:r>
        <w:t>Ligji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Sovran. </w:t>
      </w:r>
      <w:proofErr w:type="spellStart"/>
      <w:r>
        <w:t>Ndërkaq</w:t>
      </w:r>
      <w:proofErr w:type="spellEnd"/>
      <w:r>
        <w:t xml:space="preserve">, </w:t>
      </w:r>
      <w:proofErr w:type="spellStart"/>
      <w:r>
        <w:t>qeverisja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mandatet</w:t>
      </w:r>
      <w:proofErr w:type="spellEnd"/>
      <w:r>
        <w:t xml:space="preserve"> e </w:t>
      </w:r>
      <w:proofErr w:type="spellStart"/>
      <w:r>
        <w:t>trupave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oficerëve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e </w:t>
      </w:r>
      <w:proofErr w:type="spellStart"/>
      <w:r>
        <w:t>brendshme</w:t>
      </w:r>
      <w:proofErr w:type="spellEnd"/>
      <w:r>
        <w:t xml:space="preserve"> </w:t>
      </w:r>
      <w:proofErr w:type="spellStart"/>
      <w:r>
        <w:t>organizative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Karta </w:t>
      </w:r>
      <w:proofErr w:type="spellStart"/>
      <w:r>
        <w:t>Afariste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. </w:t>
      </w:r>
    </w:p>
    <w:p w14:paraId="1F3B651D" w14:textId="77777777" w:rsidR="000E7BCB" w:rsidRDefault="000E7BCB"/>
    <w:p w14:paraId="44A2DAD5" w14:textId="77777777" w:rsidR="000E7BCB" w:rsidRDefault="00A620E4">
      <w:pPr>
        <w:numPr>
          <w:ilvl w:val="0"/>
          <w:numId w:val="19"/>
        </w:numPr>
      </w:pPr>
      <w:proofErr w:type="spellStart"/>
      <w:r>
        <w:t>Struktura</w:t>
      </w:r>
      <w:proofErr w:type="spellEnd"/>
      <w:r>
        <w:t xml:space="preserve"> </w:t>
      </w:r>
      <w:proofErr w:type="spellStart"/>
      <w:r>
        <w:t>pronësore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statusi</w:t>
      </w:r>
      <w:proofErr w:type="spellEnd"/>
      <w:r>
        <w:t xml:space="preserve"> </w:t>
      </w:r>
      <w:proofErr w:type="spellStart"/>
      <w:r>
        <w:t>juridik</w:t>
      </w:r>
      <w:proofErr w:type="spellEnd"/>
    </w:p>
    <w:p w14:paraId="36B1FA4A" w14:textId="77777777" w:rsidR="000E7BCB" w:rsidRDefault="000E7BCB"/>
    <w:p w14:paraId="64DBCBB6" w14:textId="77777777" w:rsidR="000E7BCB" w:rsidRDefault="00A620E4">
      <w:pPr>
        <w:numPr>
          <w:ilvl w:val="3"/>
          <w:numId w:val="19"/>
        </w:numPr>
      </w:pPr>
      <w:proofErr w:type="spellStart"/>
      <w:r>
        <w:t>Pronari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njëqind</w:t>
      </w:r>
      <w:proofErr w:type="spellEnd"/>
      <w:r>
        <w:t xml:space="preserve"> (100)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qind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aksioneve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Fond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>.</w:t>
      </w:r>
    </w:p>
    <w:p w14:paraId="5F22F55C" w14:textId="77777777" w:rsidR="000E7BCB" w:rsidRDefault="000E7BCB"/>
    <w:p w14:paraId="5B2BA802" w14:textId="77777777" w:rsidR="000E7BCB" w:rsidRDefault="00A620E4">
      <w:pPr>
        <w:numPr>
          <w:ilvl w:val="3"/>
          <w:numId w:val="19"/>
        </w:numPr>
      </w:pPr>
      <w:proofErr w:type="spellStart"/>
      <w:r>
        <w:t>Fondi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regjistrohet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shoqëri</w:t>
      </w:r>
      <w:proofErr w:type="spellEnd"/>
      <w:r>
        <w:t xml:space="preserve"> </w:t>
      </w:r>
      <w:proofErr w:type="spellStart"/>
      <w:r>
        <w:t>aksionare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regjistrin</w:t>
      </w:r>
      <w:proofErr w:type="spellEnd"/>
      <w:r>
        <w:t xml:space="preserve"> e </w:t>
      </w:r>
      <w:proofErr w:type="spellStart"/>
      <w:r>
        <w:t>bizneseve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. </w:t>
      </w:r>
      <w:proofErr w:type="spellStart"/>
      <w:r>
        <w:t>Organizativisht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veprojë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entitet</w:t>
      </w:r>
      <w:proofErr w:type="spellEnd"/>
      <w:r>
        <w:t xml:space="preserve"> </w:t>
      </w:r>
      <w:proofErr w:type="spellStart"/>
      <w:r>
        <w:t>korporativ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komercial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pavarur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Kuvendi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Qeveria</w:t>
      </w:r>
      <w:proofErr w:type="spellEnd"/>
      <w:r>
        <w:t>.</w:t>
      </w:r>
    </w:p>
    <w:p w14:paraId="34D9298C" w14:textId="77777777" w:rsidR="000E7BCB" w:rsidRDefault="000E7BCB"/>
    <w:p w14:paraId="0A1BAB04" w14:textId="77777777" w:rsidR="000E7BCB" w:rsidRDefault="00A620E4">
      <w:pPr>
        <w:numPr>
          <w:ilvl w:val="3"/>
          <w:numId w:val="19"/>
        </w:numPr>
      </w:pPr>
      <w:proofErr w:type="spellStart"/>
      <w:r>
        <w:t>Pronar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përhershëm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aksionari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asnjë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emetojë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shesë</w:t>
      </w:r>
      <w:proofErr w:type="spellEnd"/>
      <w:r>
        <w:t xml:space="preserve"> apo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dhurojë</w:t>
      </w:r>
      <w:proofErr w:type="spellEnd"/>
      <w:r>
        <w:t xml:space="preserve"> </w:t>
      </w:r>
      <w:proofErr w:type="spellStart"/>
      <w:r>
        <w:t>aksione</w:t>
      </w:r>
      <w:proofErr w:type="spellEnd"/>
      <w:r>
        <w:t xml:space="preserve"> </w:t>
      </w:r>
      <w:proofErr w:type="spellStart"/>
      <w:r>
        <w:t>pronësore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palëve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treta</w:t>
      </w:r>
      <w:proofErr w:type="spellEnd"/>
      <w:r>
        <w:t>.</w:t>
      </w:r>
    </w:p>
    <w:p w14:paraId="627C730C" w14:textId="77777777" w:rsidR="000E7BCB" w:rsidRDefault="000E7BCB"/>
    <w:p w14:paraId="5B566ED8" w14:textId="77777777" w:rsidR="000E7BCB" w:rsidRDefault="00A620E4">
      <w:pPr>
        <w:numPr>
          <w:ilvl w:val="0"/>
          <w:numId w:val="19"/>
        </w:numPr>
      </w:pPr>
      <w:proofErr w:type="spellStart"/>
      <w:r>
        <w:t>Struktura</w:t>
      </w:r>
      <w:proofErr w:type="spellEnd"/>
      <w:r>
        <w:t xml:space="preserve"> </w:t>
      </w:r>
      <w:proofErr w:type="spellStart"/>
      <w:r>
        <w:t>organizative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qeverisja</w:t>
      </w:r>
      <w:proofErr w:type="spellEnd"/>
      <w:r>
        <w:t xml:space="preserve"> </w:t>
      </w:r>
      <w:proofErr w:type="spellStart"/>
      <w:r>
        <w:t>korporative</w:t>
      </w:r>
      <w:proofErr w:type="spellEnd"/>
    </w:p>
    <w:p w14:paraId="1DE74C5B" w14:textId="77777777" w:rsidR="000E7BCB" w:rsidRDefault="000E7BCB"/>
    <w:p w14:paraId="4D690A83" w14:textId="77777777" w:rsidR="000E7BCB" w:rsidRDefault="00A620E4">
      <w:pPr>
        <w:numPr>
          <w:ilvl w:val="3"/>
          <w:numId w:val="19"/>
        </w:numPr>
      </w:pPr>
      <w:proofErr w:type="spellStart"/>
      <w:r>
        <w:t>Fondi</w:t>
      </w:r>
      <w:proofErr w:type="spellEnd"/>
      <w:r>
        <w:t xml:space="preserve"> </w:t>
      </w:r>
      <w:proofErr w:type="spellStart"/>
      <w:r>
        <w:t>organizohet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Kartës</w:t>
      </w:r>
      <w:proofErr w:type="spellEnd"/>
      <w:r>
        <w:t xml:space="preserve"> </w:t>
      </w:r>
      <w:proofErr w:type="spellStart"/>
      <w:r>
        <w:t>Afariste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. Karta </w:t>
      </w:r>
      <w:proofErr w:type="spellStart"/>
      <w:r>
        <w:t>përcakton</w:t>
      </w:r>
      <w:proofErr w:type="spellEnd"/>
      <w:r>
        <w:t xml:space="preserve"> </w:t>
      </w:r>
      <w:proofErr w:type="spellStart"/>
      <w:r>
        <w:t>orientimet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strukturën</w:t>
      </w:r>
      <w:proofErr w:type="spellEnd"/>
      <w:r>
        <w:t xml:space="preserve"> </w:t>
      </w:r>
      <w:proofErr w:type="spellStart"/>
      <w:r>
        <w:t>organizative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. </w:t>
      </w:r>
      <w:proofErr w:type="spellStart"/>
      <w:r>
        <w:t>Kjo</w:t>
      </w:r>
      <w:proofErr w:type="spellEnd"/>
      <w:r>
        <w:t xml:space="preserve"> </w:t>
      </w:r>
      <w:proofErr w:type="spellStart"/>
      <w:r>
        <w:t>strukturë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përbëhet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(Jo-</w:t>
      </w:r>
      <w:proofErr w:type="spellStart"/>
      <w:r>
        <w:t>Ekzekutiv</w:t>
      </w:r>
      <w:proofErr w:type="spellEnd"/>
      <w:r>
        <w:t xml:space="preserve">)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>.</w:t>
      </w:r>
    </w:p>
    <w:p w14:paraId="51C51A0E" w14:textId="77777777" w:rsidR="000E7BCB" w:rsidRDefault="000E7BCB"/>
    <w:p w14:paraId="11857C75" w14:textId="77777777" w:rsidR="000E7BCB" w:rsidRDefault="00A620E4">
      <w:pPr>
        <w:numPr>
          <w:ilvl w:val="3"/>
          <w:numId w:val="19"/>
        </w:numPr>
      </w:pP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(Jo-</w:t>
      </w:r>
      <w:proofErr w:type="spellStart"/>
      <w:r>
        <w:t>Ekzekutiv</w:t>
      </w:r>
      <w:proofErr w:type="spellEnd"/>
      <w:r>
        <w:t>)</w:t>
      </w:r>
    </w:p>
    <w:p w14:paraId="49044129" w14:textId="77777777" w:rsidR="000E7BCB" w:rsidRDefault="000E7BCB"/>
    <w:p w14:paraId="4344A5A0" w14:textId="77777777" w:rsidR="000E7BCB" w:rsidRDefault="00A620E4">
      <w:pPr>
        <w:numPr>
          <w:ilvl w:val="0"/>
          <w:numId w:val="20"/>
        </w:numPr>
      </w:pP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qeverisës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>.</w:t>
      </w:r>
    </w:p>
    <w:p w14:paraId="3B92BBE6" w14:textId="77777777" w:rsidR="000E7BCB" w:rsidRDefault="000E7BCB"/>
    <w:p w14:paraId="073F390E" w14:textId="77777777" w:rsidR="000E7BCB" w:rsidRDefault="00A620E4">
      <w:pPr>
        <w:numPr>
          <w:ilvl w:val="0"/>
          <w:numId w:val="20"/>
        </w:numPr>
      </w:pPr>
      <w:proofErr w:type="spellStart"/>
      <w:r>
        <w:t>Numri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anëtarëve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Karta </w:t>
      </w:r>
      <w:proofErr w:type="spellStart"/>
      <w:r>
        <w:t>Afariste</w:t>
      </w:r>
      <w:proofErr w:type="spellEnd"/>
      <w:r>
        <w:t xml:space="preserve">. </w:t>
      </w:r>
      <w:proofErr w:type="spellStart"/>
      <w:r>
        <w:t>Minimalisht</w:t>
      </w:r>
      <w:proofErr w:type="spellEnd"/>
      <w:r>
        <w:t xml:space="preserve">, </w:t>
      </w:r>
      <w:proofErr w:type="spellStart"/>
      <w:r>
        <w:t>Bordi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përbëhet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gjashtë</w:t>
      </w:r>
      <w:proofErr w:type="spellEnd"/>
      <w:r>
        <w:t xml:space="preserve"> (6) </w:t>
      </w:r>
      <w:proofErr w:type="spellStart"/>
      <w:r>
        <w:t>anëtarë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emëruar</w:t>
      </w:r>
      <w:proofErr w:type="spellEnd"/>
      <w:r>
        <w:t xml:space="preserve">, plus </w:t>
      </w:r>
      <w:proofErr w:type="spellStart"/>
      <w:r>
        <w:t>Shefi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(shih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).</w:t>
      </w:r>
    </w:p>
    <w:p w14:paraId="1F7C810A" w14:textId="77777777" w:rsidR="000E7BCB" w:rsidRDefault="000E7BCB"/>
    <w:p w14:paraId="066F23E5" w14:textId="77777777" w:rsidR="000E7BCB" w:rsidRDefault="00A620E4">
      <w:pPr>
        <w:numPr>
          <w:ilvl w:val="0"/>
          <w:numId w:val="20"/>
        </w:numPr>
      </w:pPr>
      <w:proofErr w:type="spellStart"/>
      <w:r>
        <w:t>Anëtarët</w:t>
      </w:r>
      <w:proofErr w:type="spellEnd"/>
      <w:r>
        <w:t xml:space="preserve"> e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përfaqësues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pronarit</w:t>
      </w:r>
      <w:proofErr w:type="spellEnd"/>
      <w:r>
        <w:t xml:space="preserve"> (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përkujdesjes</w:t>
      </w:r>
      <w:proofErr w:type="spellEnd"/>
      <w:r>
        <w:t xml:space="preserve"> (</w:t>
      </w:r>
      <w:proofErr w:type="spellStart"/>
      <w:r>
        <w:rPr>
          <w:i/>
        </w:rPr>
        <w:t>stewart</w:t>
      </w:r>
      <w:proofErr w:type="spellEnd"/>
      <w:r>
        <w:t xml:space="preserve">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pronësinë</w:t>
      </w:r>
      <w:proofErr w:type="spellEnd"/>
      <w:r>
        <w:t xml:space="preserve"> e </w:t>
      </w:r>
      <w:proofErr w:type="spellStart"/>
      <w:r>
        <w:t>tij</w:t>
      </w:r>
      <w:proofErr w:type="spellEnd"/>
      <w:r>
        <w:t>.</w:t>
      </w:r>
    </w:p>
    <w:p w14:paraId="70C0B1B3" w14:textId="77777777" w:rsidR="000E7BCB" w:rsidRDefault="000E7BCB"/>
    <w:p w14:paraId="2B6E11FF" w14:textId="77777777" w:rsidR="000E7BCB" w:rsidRDefault="00A620E4">
      <w:pPr>
        <w:numPr>
          <w:ilvl w:val="0"/>
          <w:numId w:val="20"/>
        </w:numPr>
      </w:pP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udhëhiqet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Kryetari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zgjedhur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. </w:t>
      </w:r>
      <w:proofErr w:type="spellStart"/>
      <w:r>
        <w:t>Bordi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mblidhet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</w:t>
      </w:r>
      <w:proofErr w:type="spellStart"/>
      <w:r>
        <w:t>katër</w:t>
      </w:r>
      <w:proofErr w:type="spellEnd"/>
      <w:r>
        <w:t xml:space="preserve"> </w:t>
      </w:r>
      <w:proofErr w:type="spellStart"/>
      <w:r>
        <w:t>herë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vit. </w:t>
      </w:r>
      <w:proofErr w:type="spellStart"/>
      <w:r>
        <w:t>Kompetencat</w:t>
      </w:r>
      <w:proofErr w:type="spellEnd"/>
      <w:r>
        <w:t xml:space="preserve"> e </w:t>
      </w:r>
      <w:proofErr w:type="spellStart"/>
      <w:r>
        <w:t>Kryetarit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Kartën</w:t>
      </w:r>
      <w:proofErr w:type="spellEnd"/>
      <w:r>
        <w:t xml:space="preserve"> </w:t>
      </w:r>
      <w:proofErr w:type="spellStart"/>
      <w:r>
        <w:t>Afariste</w:t>
      </w:r>
      <w:proofErr w:type="spellEnd"/>
      <w:r>
        <w:t xml:space="preserve">. </w:t>
      </w:r>
      <w:proofErr w:type="spellStart"/>
      <w:r>
        <w:t>Minimalisht</w:t>
      </w:r>
      <w:proofErr w:type="spellEnd"/>
      <w:r>
        <w:t xml:space="preserve">, </w:t>
      </w:r>
      <w:proofErr w:type="spellStart"/>
      <w:r>
        <w:t>Kryetari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drejtues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koordinues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punën</w:t>
      </w:r>
      <w:proofErr w:type="spellEnd"/>
      <w:r>
        <w:t xml:space="preserve"> e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përfaqësues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palëve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treta</w:t>
      </w:r>
      <w:proofErr w:type="spellEnd"/>
      <w:r>
        <w:t xml:space="preserve">. </w:t>
      </w:r>
      <w:proofErr w:type="spellStart"/>
      <w:r>
        <w:t>Shefi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njëkohësisht</w:t>
      </w:r>
      <w:proofErr w:type="spellEnd"/>
      <w:r>
        <w:t xml:space="preserve"> </w:t>
      </w:r>
      <w:proofErr w:type="spellStart"/>
      <w:r>
        <w:t>Kryetar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Bordit</w:t>
      </w:r>
      <w:proofErr w:type="spellEnd"/>
      <w:r>
        <w:t>.</w:t>
      </w:r>
    </w:p>
    <w:p w14:paraId="38B521C1" w14:textId="77777777" w:rsidR="000E7BCB" w:rsidRDefault="000E7BCB"/>
    <w:p w14:paraId="17DCB2D8" w14:textId="77777777" w:rsidR="000E7BCB" w:rsidRDefault="00A620E4">
      <w:pPr>
        <w:numPr>
          <w:ilvl w:val="0"/>
          <w:numId w:val="20"/>
        </w:numPr>
      </w:pP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qasje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pasqyrat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pronësinë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. </w:t>
      </w:r>
      <w:proofErr w:type="spellStart"/>
      <w:r>
        <w:t>Bordi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kërkojë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autorizojë</w:t>
      </w:r>
      <w:proofErr w:type="spellEnd"/>
      <w:r>
        <w:t xml:space="preserve"> </w:t>
      </w:r>
      <w:proofErr w:type="spellStart"/>
      <w:r>
        <w:t>auditimin</w:t>
      </w:r>
      <w:proofErr w:type="spellEnd"/>
      <w:r>
        <w:t xml:space="preserve"> e </w:t>
      </w:r>
      <w:proofErr w:type="spellStart"/>
      <w:r>
        <w:t>jashtëm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çfarëdo</w:t>
      </w:r>
      <w:proofErr w:type="spellEnd"/>
      <w:r>
        <w:t xml:space="preserve"> </w:t>
      </w:r>
      <w:proofErr w:type="spellStart"/>
      <w:r>
        <w:t>kohe</w:t>
      </w:r>
      <w:proofErr w:type="spellEnd"/>
      <w:r>
        <w:t>.</w:t>
      </w:r>
    </w:p>
    <w:p w14:paraId="08C5D81F" w14:textId="77777777" w:rsidR="000E7BCB" w:rsidRDefault="000E7BCB"/>
    <w:p w14:paraId="2900D3F6" w14:textId="77777777" w:rsidR="000E7BCB" w:rsidRDefault="00A620E4">
      <w:pPr>
        <w:numPr>
          <w:ilvl w:val="0"/>
          <w:numId w:val="20"/>
        </w:numPr>
      </w:pPr>
      <w:proofErr w:type="spellStart"/>
      <w:r>
        <w:t>Bordi</w:t>
      </w:r>
      <w:proofErr w:type="spellEnd"/>
      <w:r>
        <w:t xml:space="preserve"> </w:t>
      </w:r>
      <w:proofErr w:type="spellStart"/>
      <w:r>
        <w:t>Mbikëqyrës</w:t>
      </w:r>
      <w:proofErr w:type="spellEnd"/>
      <w:r>
        <w:t xml:space="preserve"> e </w:t>
      </w:r>
      <w:proofErr w:type="spellStart"/>
      <w:r>
        <w:t>mbikëqyr</w:t>
      </w:r>
      <w:proofErr w:type="spellEnd"/>
      <w:r>
        <w:t xml:space="preserve"> </w:t>
      </w:r>
      <w:proofErr w:type="spellStart"/>
      <w:r>
        <w:t>realizimin</w:t>
      </w:r>
      <w:proofErr w:type="spellEnd"/>
      <w:r>
        <w:t xml:space="preserve"> e </w:t>
      </w:r>
      <w:proofErr w:type="spellStart"/>
      <w:r>
        <w:t>strategjisë</w:t>
      </w:r>
      <w:proofErr w:type="spellEnd"/>
      <w:r>
        <w:t xml:space="preserve"> </w:t>
      </w:r>
      <w:proofErr w:type="spellStart"/>
      <w:r>
        <w:t>qeverisëse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funksionimin</w:t>
      </w:r>
      <w:proofErr w:type="spellEnd"/>
      <w:r>
        <w:t xml:space="preserve"> e </w:t>
      </w:r>
      <w:proofErr w:type="spellStart"/>
      <w:r>
        <w:t>përgjithshëm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detyrat</w:t>
      </w:r>
      <w:proofErr w:type="spellEnd"/>
      <w:r>
        <w:t xml:space="preserve">, </w:t>
      </w:r>
      <w:proofErr w:type="spellStart"/>
      <w:r>
        <w:t>kompetencat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autorizimet</w:t>
      </w:r>
      <w:proofErr w:type="spellEnd"/>
      <w:r>
        <w:t xml:space="preserve"> e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mbikëqyrës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Sovran do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nënshtrohen</w:t>
      </w:r>
      <w:proofErr w:type="spellEnd"/>
      <w:r>
        <w:t xml:space="preserve"> </w:t>
      </w:r>
      <w:proofErr w:type="spellStart"/>
      <w:r>
        <w:t>dispozitave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Kartës</w:t>
      </w:r>
      <w:proofErr w:type="spellEnd"/>
      <w:r>
        <w:t xml:space="preserve"> </w:t>
      </w:r>
      <w:proofErr w:type="spellStart"/>
      <w:r>
        <w:t>Afariste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>.</w:t>
      </w:r>
    </w:p>
    <w:p w14:paraId="1FD04EC6" w14:textId="77777777" w:rsidR="000E7BCB" w:rsidRDefault="000E7BCB"/>
    <w:p w14:paraId="156AC392" w14:textId="77777777" w:rsidR="000E7BCB" w:rsidRDefault="00A620E4">
      <w:pPr>
        <w:numPr>
          <w:ilvl w:val="0"/>
          <w:numId w:val="20"/>
        </w:numPr>
      </w:pPr>
      <w:proofErr w:type="spellStart"/>
      <w:r>
        <w:t>Bordi</w:t>
      </w:r>
      <w:proofErr w:type="spellEnd"/>
      <w:r>
        <w:t xml:space="preserve"> </w:t>
      </w:r>
      <w:proofErr w:type="spellStart"/>
      <w:r>
        <w:t>Mbikëqyrës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sigurojë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qeveriset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standardeve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praktikave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qeverisjes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 xml:space="preserve"> (</w:t>
      </w:r>
      <w:r>
        <w:rPr>
          <w:i/>
        </w:rPr>
        <w:t>corporate governance</w:t>
      </w:r>
      <w:r>
        <w:t xml:space="preserve">). </w:t>
      </w:r>
      <w:proofErr w:type="spellStart"/>
      <w:r>
        <w:t>Ndër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</w:t>
      </w:r>
      <w:proofErr w:type="spellStart"/>
      <w:r>
        <w:t>përfshihen</w:t>
      </w:r>
      <w:proofErr w:type="spellEnd"/>
      <w:r>
        <w:t xml:space="preserve">: </w:t>
      </w:r>
      <w:proofErr w:type="spellStart"/>
      <w:r>
        <w:t>Parimet</w:t>
      </w:r>
      <w:proofErr w:type="spellEnd"/>
      <w:r>
        <w:t xml:space="preserve"> e </w:t>
      </w:r>
      <w:proofErr w:type="spellStart"/>
      <w:r>
        <w:t>Qeverisjes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Organizatës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Zhvillim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(OBZHE), </w:t>
      </w:r>
      <w:proofErr w:type="spellStart"/>
      <w:r>
        <w:t>Parimet</w:t>
      </w:r>
      <w:proofErr w:type="spellEnd"/>
      <w:r>
        <w:t xml:space="preserve"> e </w:t>
      </w:r>
      <w:proofErr w:type="spellStart"/>
      <w:r>
        <w:t>Santiagos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Forumit</w:t>
      </w:r>
      <w:proofErr w:type="spellEnd"/>
      <w:r>
        <w:t xml:space="preserve"> </w:t>
      </w:r>
      <w:proofErr w:type="spellStart"/>
      <w:r>
        <w:t>Ndërkombëtar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Pasurisë</w:t>
      </w:r>
      <w:proofErr w:type="spellEnd"/>
      <w:r>
        <w:t xml:space="preserve"> </w:t>
      </w:r>
      <w:proofErr w:type="spellStart"/>
      <w:r>
        <w:t>Sovrane</w:t>
      </w:r>
      <w:proofErr w:type="spellEnd"/>
      <w:r>
        <w:t xml:space="preserve"> (IFSWS), </w:t>
      </w:r>
      <w:proofErr w:type="spellStart"/>
      <w:r>
        <w:t>Guida</w:t>
      </w:r>
      <w:proofErr w:type="spellEnd"/>
      <w:r>
        <w:t xml:space="preserve"> e OBZHE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Qeverisjen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>.</w:t>
      </w:r>
    </w:p>
    <w:p w14:paraId="3BDD7003" w14:textId="77777777" w:rsidR="000E7BCB" w:rsidRDefault="000E7BCB"/>
    <w:p w14:paraId="391EF0DE" w14:textId="77777777" w:rsidR="000E7BCB" w:rsidRDefault="00A620E4">
      <w:pPr>
        <w:numPr>
          <w:ilvl w:val="0"/>
          <w:numId w:val="20"/>
        </w:numPr>
      </w:pP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harton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aprovon</w:t>
      </w:r>
      <w:proofErr w:type="spellEnd"/>
      <w:r>
        <w:t xml:space="preserve"> </w:t>
      </w:r>
      <w:proofErr w:type="spellStart"/>
      <w:r>
        <w:t>Kornizën</w:t>
      </w:r>
      <w:proofErr w:type="spellEnd"/>
      <w:r>
        <w:t xml:space="preserve"> </w:t>
      </w:r>
      <w:proofErr w:type="spellStart"/>
      <w:r>
        <w:t>Tematike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. </w:t>
      </w:r>
      <w:proofErr w:type="spellStart"/>
      <w:r>
        <w:t>Korniza</w:t>
      </w:r>
      <w:proofErr w:type="spellEnd"/>
      <w:r>
        <w:t xml:space="preserve"> </w:t>
      </w:r>
      <w:proofErr w:type="spellStart"/>
      <w:r>
        <w:t>përcakton</w:t>
      </w:r>
      <w:proofErr w:type="spellEnd"/>
      <w:r>
        <w:t xml:space="preserve"> </w:t>
      </w:r>
      <w:proofErr w:type="spellStart"/>
      <w:r>
        <w:t>orientimet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 </w:t>
      </w:r>
      <w:proofErr w:type="spellStart"/>
      <w:r>
        <w:t>strategjike</w:t>
      </w:r>
      <w:proofErr w:type="spellEnd"/>
      <w:r>
        <w:t xml:space="preserve"> </w:t>
      </w:r>
      <w:proofErr w:type="spellStart"/>
      <w:r>
        <w:t>afatgjata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periudhë</w:t>
      </w:r>
      <w:proofErr w:type="spellEnd"/>
      <w:r>
        <w:t xml:space="preserve"> </w:t>
      </w:r>
      <w:proofErr w:type="spellStart"/>
      <w:r>
        <w:t>trevjeçare</w:t>
      </w:r>
      <w:proofErr w:type="spellEnd"/>
      <w:r>
        <w:t xml:space="preserve">, me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ndryshimi</w:t>
      </w:r>
      <w:proofErr w:type="spellEnd"/>
      <w:r>
        <w:t xml:space="preserve">. </w:t>
      </w:r>
      <w:proofErr w:type="spellStart"/>
      <w:r>
        <w:t>Korniza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orientues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strategjitë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ndërtohet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bazën</w:t>
      </w:r>
      <w:proofErr w:type="spellEnd"/>
      <w:r>
        <w:t xml:space="preserve"> e </w:t>
      </w:r>
      <w:proofErr w:type="spellStart"/>
      <w:r>
        <w:t>orientimeve</w:t>
      </w:r>
      <w:proofErr w:type="spellEnd"/>
      <w:r>
        <w:t xml:space="preserve"> </w:t>
      </w:r>
      <w:proofErr w:type="spellStart"/>
      <w:r>
        <w:t>zhvillimore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e </w:t>
      </w:r>
      <w:proofErr w:type="spellStart"/>
      <w:r>
        <w:t>Republika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>.</w:t>
      </w:r>
    </w:p>
    <w:p w14:paraId="730B3CF4" w14:textId="77777777" w:rsidR="000E7BCB" w:rsidRDefault="000E7BCB"/>
    <w:p w14:paraId="112E4159" w14:textId="77777777" w:rsidR="000E7BCB" w:rsidRDefault="00A620E4">
      <w:pPr>
        <w:numPr>
          <w:ilvl w:val="0"/>
          <w:numId w:val="20"/>
        </w:numPr>
      </w:pPr>
      <w:proofErr w:type="spellStart"/>
      <w:r>
        <w:t>Anëtarët</w:t>
      </w:r>
      <w:proofErr w:type="spellEnd"/>
      <w:r>
        <w:t xml:space="preserve"> e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emërohen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Kuvendi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.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anëtar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zgjedhet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periudhë</w:t>
      </w:r>
      <w:proofErr w:type="spellEnd"/>
      <w:r>
        <w:t xml:space="preserve"> </w:t>
      </w:r>
      <w:proofErr w:type="spellStart"/>
      <w:r>
        <w:t>trevjeçare</w:t>
      </w:r>
      <w:proofErr w:type="spellEnd"/>
      <w:r>
        <w:t xml:space="preserve">, me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ripërtërimi</w:t>
      </w:r>
      <w:proofErr w:type="spellEnd"/>
      <w:r>
        <w:t xml:space="preserve">.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emërimin</w:t>
      </w:r>
      <w:proofErr w:type="spellEnd"/>
      <w:r>
        <w:t xml:space="preserve"> e </w:t>
      </w:r>
      <w:proofErr w:type="spellStart"/>
      <w:r>
        <w:t>anëtarëve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Sovran.</w:t>
      </w:r>
    </w:p>
    <w:p w14:paraId="368DAB9B" w14:textId="77777777" w:rsidR="000E7BCB" w:rsidRDefault="000E7BCB"/>
    <w:p w14:paraId="73FD1C97" w14:textId="77777777" w:rsidR="000E7BCB" w:rsidRDefault="00A620E4">
      <w:pPr>
        <w:numPr>
          <w:ilvl w:val="0"/>
          <w:numId w:val="20"/>
        </w:numPr>
      </w:pPr>
      <w:proofErr w:type="spellStart"/>
      <w:r>
        <w:t>Kuvendi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sigurojë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anëtarët</w:t>
      </w:r>
      <w:proofErr w:type="spellEnd"/>
      <w:r>
        <w:t xml:space="preserve"> e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individë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integritet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veprimtari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dëshmuar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mbrojtje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interesit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. </w:t>
      </w:r>
      <w:proofErr w:type="spellStart"/>
      <w:r>
        <w:t>Minimalisht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 </w:t>
      </w:r>
      <w:proofErr w:type="spellStart"/>
      <w:r>
        <w:t>emërimi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Bordin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përjashtohen</w:t>
      </w:r>
      <w:proofErr w:type="spellEnd"/>
      <w:r>
        <w:t>:</w:t>
      </w:r>
    </w:p>
    <w:p w14:paraId="503ED167" w14:textId="77777777" w:rsidR="000E7BCB" w:rsidRDefault="000E7BCB"/>
    <w:p w14:paraId="14F442B3" w14:textId="77777777" w:rsidR="000E7BCB" w:rsidRDefault="00A620E4">
      <w:pPr>
        <w:numPr>
          <w:ilvl w:val="1"/>
          <w:numId w:val="20"/>
        </w:numPr>
      </w:pPr>
      <w:proofErr w:type="spellStart"/>
      <w:r>
        <w:t>Personat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shtatë</w:t>
      </w:r>
      <w:proofErr w:type="spellEnd"/>
      <w:r>
        <w:t xml:space="preserve"> (7) </w:t>
      </w:r>
      <w:proofErr w:type="spellStart"/>
      <w:r>
        <w:t>vitet</w:t>
      </w:r>
      <w:proofErr w:type="spellEnd"/>
      <w:r>
        <w:t xml:space="preserve"> e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dënuar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vepër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me </w:t>
      </w:r>
      <w:proofErr w:type="spellStart"/>
      <w:r>
        <w:t>burgim</w:t>
      </w:r>
      <w:proofErr w:type="spellEnd"/>
      <w:r>
        <w:t xml:space="preserve"> </w:t>
      </w:r>
      <w:proofErr w:type="spellStart"/>
      <w:r>
        <w:t>gjashtë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me </w:t>
      </w:r>
      <w:proofErr w:type="spellStart"/>
      <w:r>
        <w:t>vendim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Gjykatës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formës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prerë</w:t>
      </w:r>
      <w:proofErr w:type="spellEnd"/>
      <w:r>
        <w:t>.</w:t>
      </w:r>
    </w:p>
    <w:p w14:paraId="79AF7E2D" w14:textId="77777777" w:rsidR="000E7BCB" w:rsidRDefault="000E7BCB"/>
    <w:p w14:paraId="5C888A8B" w14:textId="77777777" w:rsidR="000E7BCB" w:rsidRDefault="00A620E4">
      <w:pPr>
        <w:numPr>
          <w:ilvl w:val="1"/>
          <w:numId w:val="20"/>
        </w:numPr>
      </w:pPr>
      <w:proofErr w:type="spellStart"/>
      <w:r>
        <w:t>Personat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çfarëdo</w:t>
      </w:r>
      <w:proofErr w:type="spellEnd"/>
      <w:r>
        <w:t xml:space="preserve"> </w:t>
      </w:r>
      <w:proofErr w:type="spellStart"/>
      <w:r>
        <w:t>kohe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dënuar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korrupsion</w:t>
      </w:r>
      <w:proofErr w:type="spellEnd"/>
      <w:r>
        <w:t xml:space="preserve"> </w:t>
      </w:r>
      <w:proofErr w:type="spellStart"/>
      <w:r>
        <w:t>dhe</w:t>
      </w:r>
      <w:proofErr w:type="spellEnd"/>
      <w:r>
        <w:t>/</w:t>
      </w:r>
      <w:proofErr w:type="spellStart"/>
      <w:r>
        <w:t>ose</w:t>
      </w:r>
      <w:proofErr w:type="spellEnd"/>
      <w:r>
        <w:t xml:space="preserve"> </w:t>
      </w:r>
      <w:proofErr w:type="spellStart"/>
      <w:r>
        <w:t>shpërdorim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detyrës</w:t>
      </w:r>
      <w:proofErr w:type="spellEnd"/>
      <w:r>
        <w:t xml:space="preserve"> </w:t>
      </w:r>
      <w:proofErr w:type="spellStart"/>
      <w:r>
        <w:t>zyrtare</w:t>
      </w:r>
      <w:proofErr w:type="spellEnd"/>
      <w:r>
        <w:t>.</w:t>
      </w:r>
    </w:p>
    <w:p w14:paraId="7D37DC9F" w14:textId="77777777" w:rsidR="000E7BCB" w:rsidRDefault="000E7BCB"/>
    <w:p w14:paraId="6317AFB4" w14:textId="77777777" w:rsidR="000E7BCB" w:rsidRDefault="00A620E4">
      <w:pPr>
        <w:numPr>
          <w:ilvl w:val="1"/>
          <w:numId w:val="20"/>
        </w:numPr>
      </w:pPr>
      <w:proofErr w:type="spellStart"/>
      <w:r>
        <w:t>Personat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njëjten</w:t>
      </w:r>
      <w:proofErr w:type="spellEnd"/>
      <w:r>
        <w:t xml:space="preserve"> </w:t>
      </w:r>
      <w:proofErr w:type="spellStart"/>
      <w:r>
        <w:t>kohë</w:t>
      </w:r>
      <w:proofErr w:type="spellEnd"/>
      <w:r>
        <w:t xml:space="preserve"> </w:t>
      </w:r>
      <w:proofErr w:type="spellStart"/>
      <w:r>
        <w:t>shërbejnë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anëtarë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, </w:t>
      </w:r>
      <w:proofErr w:type="spellStart"/>
      <w:r>
        <w:t>deputetë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Kuvendit</w:t>
      </w:r>
      <w:proofErr w:type="spellEnd"/>
      <w:r>
        <w:t xml:space="preserve">, </w:t>
      </w:r>
      <w:proofErr w:type="spellStart"/>
      <w:r>
        <w:t>kryetar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komunave</w:t>
      </w:r>
      <w:proofErr w:type="spellEnd"/>
      <w:r>
        <w:t xml:space="preserve">, </w:t>
      </w:r>
      <w:proofErr w:type="spellStart"/>
      <w:r>
        <w:t>zyrtarë</w:t>
      </w:r>
      <w:proofErr w:type="spellEnd"/>
      <w:r>
        <w:t xml:space="preserve"> e </w:t>
      </w:r>
      <w:proofErr w:type="spellStart"/>
      <w:r>
        <w:t>shërbyes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</w:t>
      </w:r>
      <w:proofErr w:type="spellStart"/>
      <w:r>
        <w:t>politikë</w:t>
      </w:r>
      <w:proofErr w:type="spellEnd"/>
      <w:r>
        <w:t xml:space="preserve"> e </w:t>
      </w:r>
      <w:proofErr w:type="spellStart"/>
      <w:r>
        <w:t>civilë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zyrtarë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organeve</w:t>
      </w:r>
      <w:proofErr w:type="spellEnd"/>
      <w:r>
        <w:t xml:space="preserve"> </w:t>
      </w:r>
      <w:proofErr w:type="spellStart"/>
      <w:r>
        <w:t>drejtuese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partive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>.</w:t>
      </w:r>
    </w:p>
    <w:p w14:paraId="1EBC749E" w14:textId="77777777" w:rsidR="000E7BCB" w:rsidRDefault="000E7BCB"/>
    <w:p w14:paraId="3ED29E46" w14:textId="77777777" w:rsidR="000E7BCB" w:rsidRDefault="00A620E4">
      <w:pPr>
        <w:numPr>
          <w:ilvl w:val="1"/>
          <w:numId w:val="20"/>
        </w:numPr>
      </w:pPr>
      <w:proofErr w:type="spellStart"/>
      <w:r>
        <w:t>Personat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veprimtarimë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konflikte</w:t>
      </w:r>
      <w:proofErr w:type="spellEnd"/>
      <w:r>
        <w:t xml:space="preserve"> </w:t>
      </w:r>
      <w:proofErr w:type="spellStart"/>
      <w:r>
        <w:t>interesi</w:t>
      </w:r>
      <w:proofErr w:type="spellEnd"/>
      <w:r>
        <w:t xml:space="preserve"> me </w:t>
      </w:r>
      <w:proofErr w:type="spellStart"/>
      <w:r>
        <w:t>ato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p.sh. </w:t>
      </w:r>
      <w:proofErr w:type="spellStart"/>
      <w:r>
        <w:t>personat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vetë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afërmve</w:t>
      </w:r>
      <w:proofErr w:type="spellEnd"/>
      <w:r>
        <w:t xml:space="preserve"> </w:t>
      </w:r>
      <w:proofErr w:type="spellStart"/>
      <w:r>
        <w:t>familjarë</w:t>
      </w:r>
      <w:proofErr w:type="spellEnd"/>
      <w:r>
        <w:t xml:space="preserve"> </w:t>
      </w:r>
      <w:proofErr w:type="spellStart"/>
      <w:r>
        <w:t>përfitojnë</w:t>
      </w:r>
      <w:proofErr w:type="spellEnd"/>
      <w:r>
        <w:t xml:space="preserve"> </w:t>
      </w:r>
      <w:proofErr w:type="spellStart"/>
      <w:r>
        <w:t>beneficione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</w:t>
      </w:r>
      <w:proofErr w:type="spellStart"/>
      <w:r>
        <w:t>drejtpërdrejtë</w:t>
      </w:r>
      <w:proofErr w:type="spellEnd"/>
      <w:r>
        <w:t xml:space="preserve"> me </w:t>
      </w:r>
      <w:proofErr w:type="spellStart"/>
      <w:r>
        <w:t>veprimtarinë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interesat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dhe</w:t>
      </w:r>
      <w:proofErr w:type="spellEnd"/>
      <w:r>
        <w:t>/</w:t>
      </w:r>
      <w:proofErr w:type="spellStart"/>
      <w:r>
        <w:t>ose</w:t>
      </w:r>
      <w:proofErr w:type="spellEnd"/>
      <w:r>
        <w:t xml:space="preserve"> </w:t>
      </w:r>
      <w:proofErr w:type="spellStart"/>
      <w:r>
        <w:t>entiteteve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pronësinë</w:t>
      </w:r>
      <w:proofErr w:type="spellEnd"/>
      <w:r>
        <w:t xml:space="preserve"> e </w:t>
      </w:r>
      <w:proofErr w:type="spellStart"/>
      <w:r>
        <w:t>tij</w:t>
      </w:r>
      <w:proofErr w:type="spellEnd"/>
      <w:r>
        <w:t>.</w:t>
      </w:r>
    </w:p>
    <w:p w14:paraId="310ECB35" w14:textId="77777777" w:rsidR="000E7BCB" w:rsidRDefault="000E7BCB"/>
    <w:p w14:paraId="1F9679B0" w14:textId="77777777" w:rsidR="000E7BCB" w:rsidRDefault="00A620E4">
      <w:pPr>
        <w:numPr>
          <w:ilvl w:val="0"/>
          <w:numId w:val="20"/>
        </w:numPr>
      </w:pPr>
      <w:proofErr w:type="spellStart"/>
      <w:r>
        <w:t>Gjithashtu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lirohen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pozita</w:t>
      </w:r>
      <w:proofErr w:type="spellEnd"/>
      <w:r>
        <w:t xml:space="preserve"> e </w:t>
      </w:r>
      <w:proofErr w:type="spellStart"/>
      <w:r>
        <w:t>anëtarit</w:t>
      </w:r>
      <w:proofErr w:type="spellEnd"/>
      <w:r>
        <w:t xml:space="preserve"> me </w:t>
      </w:r>
      <w:proofErr w:type="spellStart"/>
      <w:r>
        <w:t>automatizëm</w:t>
      </w:r>
      <w:proofErr w:type="spellEnd"/>
      <w:r>
        <w:t xml:space="preserve"> </w:t>
      </w:r>
      <w:proofErr w:type="spellStart"/>
      <w:r>
        <w:t>anëtarë</w:t>
      </w:r>
      <w:proofErr w:type="spellEnd"/>
      <w:r>
        <w:t xml:space="preserve"> </w:t>
      </w:r>
      <w:proofErr w:type="spellStart"/>
      <w:r>
        <w:t>që</w:t>
      </w:r>
      <w:proofErr w:type="spellEnd"/>
      <w:r>
        <w:t>:</w:t>
      </w:r>
    </w:p>
    <w:p w14:paraId="6AC708B6" w14:textId="77777777" w:rsidR="000E7BCB" w:rsidRDefault="000E7BCB"/>
    <w:p w14:paraId="70A61BA9" w14:textId="77777777" w:rsidR="000E7BCB" w:rsidRDefault="00A620E4">
      <w:pPr>
        <w:numPr>
          <w:ilvl w:val="1"/>
          <w:numId w:val="20"/>
        </w:numPr>
      </w:pPr>
      <w:proofErr w:type="spellStart"/>
      <w:r>
        <w:t>Vërtetohet</w:t>
      </w:r>
      <w:proofErr w:type="spellEnd"/>
      <w:r>
        <w:t xml:space="preserve"> se </w:t>
      </w:r>
      <w:proofErr w:type="spellStart"/>
      <w:r>
        <w:t>nuk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emërim</w:t>
      </w:r>
      <w:proofErr w:type="spellEnd"/>
      <w:r>
        <w:t>.</w:t>
      </w:r>
    </w:p>
    <w:p w14:paraId="2F8011D0" w14:textId="77777777" w:rsidR="000E7BCB" w:rsidRDefault="000E7BCB"/>
    <w:p w14:paraId="5F38364C" w14:textId="77777777" w:rsidR="000E7BCB" w:rsidRDefault="00A620E4">
      <w:pPr>
        <w:numPr>
          <w:ilvl w:val="1"/>
          <w:numId w:val="20"/>
        </w:numPr>
      </w:pPr>
      <w:proofErr w:type="spellStart"/>
      <w:r>
        <w:t>Mungojnë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tri </w:t>
      </w:r>
      <w:proofErr w:type="spellStart"/>
      <w:r>
        <w:t>mbledhjet</w:t>
      </w:r>
      <w:proofErr w:type="spellEnd"/>
      <w:r>
        <w:t xml:space="preserve"> e </w:t>
      </w:r>
      <w:proofErr w:type="spellStart"/>
      <w:r>
        <w:t>njëpasnjëshme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arsyetim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justifikueshëm</w:t>
      </w:r>
      <w:proofErr w:type="spellEnd"/>
      <w:r>
        <w:t>.</w:t>
      </w:r>
    </w:p>
    <w:p w14:paraId="0A87E45E" w14:textId="77777777" w:rsidR="000E7BCB" w:rsidRDefault="000E7BCB"/>
    <w:p w14:paraId="1A50AD10" w14:textId="77777777" w:rsidR="000E7BCB" w:rsidRDefault="00A620E4">
      <w:pPr>
        <w:numPr>
          <w:ilvl w:val="1"/>
          <w:numId w:val="20"/>
        </w:numPr>
      </w:pPr>
      <w:proofErr w:type="spellStart"/>
      <w:r>
        <w:t>Në</w:t>
      </w:r>
      <w:proofErr w:type="spellEnd"/>
      <w:r>
        <w:t xml:space="preserve"> </w:t>
      </w:r>
      <w:proofErr w:type="spellStart"/>
      <w:r>
        <w:t>ndërkohë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përsipër</w:t>
      </w:r>
      <w:proofErr w:type="spellEnd"/>
      <w:r>
        <w:t xml:space="preserve"> </w:t>
      </w:r>
      <w:proofErr w:type="spellStart"/>
      <w:r>
        <w:t>funksione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papajtueshme</w:t>
      </w:r>
      <w:proofErr w:type="spellEnd"/>
      <w:r>
        <w:t xml:space="preserve"> me </w:t>
      </w:r>
      <w:proofErr w:type="spellStart"/>
      <w:r>
        <w:t>funksionin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anëtari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,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përshkruhen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dënohen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vepër</w:t>
      </w:r>
      <w:proofErr w:type="spellEnd"/>
      <w:r>
        <w:t xml:space="preserve"> </w:t>
      </w:r>
      <w:proofErr w:type="spellStart"/>
      <w:r>
        <w:t>penale</w:t>
      </w:r>
      <w:proofErr w:type="spellEnd"/>
      <w:r>
        <w:t>.</w:t>
      </w:r>
    </w:p>
    <w:p w14:paraId="240BFA28" w14:textId="77777777" w:rsidR="000E7BCB" w:rsidRDefault="000E7BCB"/>
    <w:p w14:paraId="7A88A4F9" w14:textId="77777777" w:rsidR="000E7BCB" w:rsidRDefault="00A620E4">
      <w:pPr>
        <w:numPr>
          <w:ilvl w:val="1"/>
          <w:numId w:val="20"/>
        </w:numPr>
      </w:pPr>
      <w:proofErr w:type="spellStart"/>
      <w:r>
        <w:t>Për</w:t>
      </w:r>
      <w:proofErr w:type="spellEnd"/>
      <w:r>
        <w:t xml:space="preserve"> </w:t>
      </w:r>
      <w:proofErr w:type="spellStart"/>
      <w:r>
        <w:t>shkak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gjendjes</w:t>
      </w:r>
      <w:proofErr w:type="spellEnd"/>
      <w:r>
        <w:t xml:space="preserve"> </w:t>
      </w:r>
      <w:proofErr w:type="spellStart"/>
      <w:r>
        <w:t>shëndetësore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pengesave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gjendje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ushtrojnë</w:t>
      </w:r>
      <w:proofErr w:type="spellEnd"/>
      <w:r>
        <w:t xml:space="preserve"> </w:t>
      </w:r>
      <w:proofErr w:type="spellStart"/>
      <w:r>
        <w:t>funksionet</w:t>
      </w:r>
      <w:proofErr w:type="spellEnd"/>
      <w:r>
        <w:t xml:space="preserve"> e </w:t>
      </w:r>
      <w:proofErr w:type="spellStart"/>
      <w:r>
        <w:t>veta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gjashtë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me </w:t>
      </w:r>
      <w:proofErr w:type="spellStart"/>
      <w:r>
        <w:t>radhë</w:t>
      </w:r>
      <w:proofErr w:type="spellEnd"/>
      <w:r>
        <w:t>.</w:t>
      </w:r>
    </w:p>
    <w:p w14:paraId="672DD97E" w14:textId="77777777" w:rsidR="000E7BCB" w:rsidRDefault="000E7BCB"/>
    <w:p w14:paraId="64FDAC7C" w14:textId="77777777" w:rsidR="000E7BCB" w:rsidRDefault="00A620E4">
      <w:pPr>
        <w:numPr>
          <w:ilvl w:val="1"/>
          <w:numId w:val="20"/>
        </w:numPr>
      </w:pPr>
      <w:proofErr w:type="spellStart"/>
      <w:r>
        <w:t>Ligji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përcaktojë</w:t>
      </w:r>
      <w:proofErr w:type="spellEnd"/>
      <w:r>
        <w:t xml:space="preserve"> </w:t>
      </w:r>
      <w:proofErr w:type="spellStart"/>
      <w:r>
        <w:t>procedurat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zëvendësimin</w:t>
      </w:r>
      <w:proofErr w:type="spellEnd"/>
      <w:r>
        <w:t xml:space="preserve"> e </w:t>
      </w:r>
      <w:proofErr w:type="spellStart"/>
      <w:r>
        <w:t>anëtarit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liruar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identike</w:t>
      </w:r>
      <w:proofErr w:type="spellEnd"/>
      <w:r>
        <w:t xml:space="preserve"> me </w:t>
      </w:r>
      <w:proofErr w:type="spellStart"/>
      <w:r>
        <w:t>ato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emërimin</w:t>
      </w:r>
      <w:proofErr w:type="spellEnd"/>
      <w:r>
        <w:t xml:space="preserve"> e </w:t>
      </w:r>
      <w:proofErr w:type="spellStart"/>
      <w:r>
        <w:t>anëtarit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rregullt</w:t>
      </w:r>
      <w:proofErr w:type="spellEnd"/>
      <w:r>
        <w:t xml:space="preserve">. </w:t>
      </w:r>
      <w:proofErr w:type="spellStart"/>
      <w:r>
        <w:t>Personi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emëruar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zëvendësim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shërbejë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mandatin</w:t>
      </w:r>
      <w:proofErr w:type="spellEnd"/>
      <w:r>
        <w:t xml:space="preserve"> e </w:t>
      </w:r>
      <w:proofErr w:type="spellStart"/>
      <w:r>
        <w:t>mbetur</w:t>
      </w:r>
      <w:proofErr w:type="spellEnd"/>
      <w:r>
        <w:t xml:space="preserve"> </w:t>
      </w:r>
      <w:proofErr w:type="spellStart"/>
      <w:r>
        <w:lastRenderedPageBreak/>
        <w:t>të</w:t>
      </w:r>
      <w:proofErr w:type="spellEnd"/>
      <w:r>
        <w:t xml:space="preserve"> </w:t>
      </w:r>
      <w:proofErr w:type="spellStart"/>
      <w:r>
        <w:t>anëtarit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liruar</w:t>
      </w:r>
      <w:proofErr w:type="spellEnd"/>
      <w:r>
        <w:t xml:space="preserve">, por </w:t>
      </w:r>
      <w:proofErr w:type="spellStart"/>
      <w:r>
        <w:t>përndryshe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veprojë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anëtar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Bord.</w:t>
      </w:r>
    </w:p>
    <w:p w14:paraId="72CEF898" w14:textId="77777777" w:rsidR="000E7BCB" w:rsidRDefault="000E7BCB"/>
    <w:p w14:paraId="0923E079" w14:textId="77777777" w:rsidR="000E7BCB" w:rsidRDefault="00A620E4">
      <w:pPr>
        <w:numPr>
          <w:ilvl w:val="0"/>
          <w:numId w:val="20"/>
        </w:numPr>
      </w:pPr>
      <w:proofErr w:type="spellStart"/>
      <w:r>
        <w:t>Kuvendi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sigurojë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personat</w:t>
      </w:r>
      <w:proofErr w:type="spellEnd"/>
      <w:r>
        <w:t xml:space="preserve"> e </w:t>
      </w:r>
      <w:proofErr w:type="spellStart"/>
      <w:r>
        <w:t>emëruar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Bord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shkollim</w:t>
      </w:r>
      <w:proofErr w:type="spellEnd"/>
      <w:r>
        <w:t xml:space="preserve"> </w:t>
      </w:r>
      <w:proofErr w:type="spellStart"/>
      <w:r>
        <w:t>adekuat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</w:t>
      </w:r>
      <w:proofErr w:type="spellStart"/>
      <w:r>
        <w:t>shtatë</w:t>
      </w:r>
      <w:proofErr w:type="spellEnd"/>
      <w:r>
        <w:t xml:space="preserve"> (7) </w:t>
      </w:r>
      <w:proofErr w:type="spellStart"/>
      <w:r>
        <w:t>vjet</w:t>
      </w:r>
      <w:proofErr w:type="spellEnd"/>
      <w:r>
        <w:t xml:space="preserve">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apo </w:t>
      </w:r>
      <w:proofErr w:type="spellStart"/>
      <w:r>
        <w:t>akademike</w:t>
      </w:r>
      <w:proofErr w:type="spellEnd"/>
      <w:r>
        <w:t xml:space="preserve">, </w:t>
      </w:r>
      <w:proofErr w:type="spellStart"/>
      <w:r>
        <w:t>veçanërisht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aktivitetet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>.</w:t>
      </w:r>
    </w:p>
    <w:p w14:paraId="4067422C" w14:textId="77777777" w:rsidR="000E7BCB" w:rsidRDefault="000E7BCB"/>
    <w:p w14:paraId="54625F02" w14:textId="77777777" w:rsidR="000E7BCB" w:rsidRDefault="00A620E4">
      <w:pPr>
        <w:numPr>
          <w:ilvl w:val="0"/>
          <w:numId w:val="20"/>
        </w:numPr>
      </w:pPr>
      <w:proofErr w:type="spellStart"/>
      <w:r>
        <w:t>Përbërja</w:t>
      </w:r>
      <w:proofErr w:type="spellEnd"/>
      <w:r>
        <w:t xml:space="preserve"> e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nënshtrohet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kuote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</w:t>
      </w:r>
      <w:proofErr w:type="spellEnd"/>
      <w:r>
        <w:t xml:space="preserve">, por </w:t>
      </w:r>
      <w:proofErr w:type="spellStart"/>
      <w:r>
        <w:t>Kuvendi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sigurojë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pjesëmarrja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Bord </w:t>
      </w:r>
      <w:proofErr w:type="spellStart"/>
      <w:r>
        <w:t>reflekton</w:t>
      </w:r>
      <w:proofErr w:type="spellEnd"/>
      <w:r>
        <w:t xml:space="preserve"> </w:t>
      </w:r>
      <w:proofErr w:type="spellStart"/>
      <w:r>
        <w:t>ekuitet</w:t>
      </w:r>
      <w:proofErr w:type="spellEnd"/>
      <w:r>
        <w:t xml:space="preserve"> </w:t>
      </w:r>
      <w:proofErr w:type="spellStart"/>
      <w:r>
        <w:t>gjinor</w:t>
      </w:r>
      <w:proofErr w:type="spellEnd"/>
      <w:r>
        <w:t>.</w:t>
      </w:r>
    </w:p>
    <w:p w14:paraId="5CE3C570" w14:textId="77777777" w:rsidR="000E7BCB" w:rsidRDefault="000E7BCB"/>
    <w:p w14:paraId="291A413D" w14:textId="77777777" w:rsidR="000E7BCB" w:rsidRDefault="00A620E4">
      <w:pPr>
        <w:numPr>
          <w:ilvl w:val="0"/>
          <w:numId w:val="20"/>
        </w:numPr>
      </w:pP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vlerëson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aprovon</w:t>
      </w:r>
      <w:proofErr w:type="spellEnd"/>
      <w:r>
        <w:t xml:space="preserve"> </w:t>
      </w:r>
      <w:proofErr w:type="spellStart"/>
      <w:r>
        <w:t>Strategjinë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hartuar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propozuar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>.</w:t>
      </w:r>
    </w:p>
    <w:p w14:paraId="6F459C0C" w14:textId="77777777" w:rsidR="000E7BCB" w:rsidRDefault="000E7BCB"/>
    <w:p w14:paraId="5C805EDC" w14:textId="77777777" w:rsidR="000E7BCB" w:rsidRDefault="00A620E4">
      <w:pPr>
        <w:numPr>
          <w:ilvl w:val="0"/>
          <w:numId w:val="20"/>
        </w:numPr>
      </w:pP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rekruton</w:t>
      </w:r>
      <w:proofErr w:type="spellEnd"/>
      <w:r>
        <w:t xml:space="preserve">, </w:t>
      </w:r>
      <w:proofErr w:type="spellStart"/>
      <w:r>
        <w:t>punëson</w:t>
      </w:r>
      <w:proofErr w:type="spellEnd"/>
      <w:r>
        <w:t xml:space="preserve"> me </w:t>
      </w:r>
      <w:proofErr w:type="spellStart"/>
      <w:r>
        <w:t>kontratë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negocion</w:t>
      </w:r>
      <w:proofErr w:type="spellEnd"/>
      <w:r>
        <w:t xml:space="preserve"> </w:t>
      </w:r>
      <w:proofErr w:type="spellStart"/>
      <w:r>
        <w:t>shumat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kompenzimit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Shefin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, </w:t>
      </w:r>
      <w:proofErr w:type="spellStart"/>
      <w:r>
        <w:t>Shefin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Shefin</w:t>
      </w:r>
      <w:proofErr w:type="spellEnd"/>
      <w:r>
        <w:t xml:space="preserve"> e </w:t>
      </w:r>
      <w:proofErr w:type="spellStart"/>
      <w:r>
        <w:t>Operacioneve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. </w:t>
      </w:r>
      <w:proofErr w:type="spellStart"/>
      <w:r>
        <w:t>Negocimi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kontratave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kompenzimit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këta</w:t>
      </w:r>
      <w:proofErr w:type="spellEnd"/>
      <w:r>
        <w:t xml:space="preserve"> </w:t>
      </w:r>
      <w:proofErr w:type="spellStart"/>
      <w:r>
        <w:t>oficerë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emër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Kryetari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Bordit</w:t>
      </w:r>
      <w:proofErr w:type="spellEnd"/>
      <w:r>
        <w:t>.</w:t>
      </w:r>
    </w:p>
    <w:p w14:paraId="43C40A58" w14:textId="77777777" w:rsidR="000E7BCB" w:rsidRDefault="000E7BCB"/>
    <w:p w14:paraId="52CDA570" w14:textId="77777777" w:rsidR="000E7BCB" w:rsidRDefault="00A620E4">
      <w:pPr>
        <w:numPr>
          <w:ilvl w:val="0"/>
          <w:numId w:val="20"/>
        </w:numPr>
      </w:pPr>
      <w:proofErr w:type="spellStart"/>
      <w:r>
        <w:t>Shefi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me </w:t>
      </w:r>
      <w:proofErr w:type="spellStart"/>
      <w:r>
        <w:t>automatizëm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anëtar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vote (shih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rolin</w:t>
      </w:r>
      <w:proofErr w:type="spellEnd"/>
      <w:r>
        <w:t xml:space="preserve"> e </w:t>
      </w:r>
      <w:proofErr w:type="spellStart"/>
      <w:r>
        <w:t>Shefit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>).</w:t>
      </w:r>
    </w:p>
    <w:p w14:paraId="3650A0DD" w14:textId="77777777" w:rsidR="000E7BCB" w:rsidRDefault="000E7BCB"/>
    <w:p w14:paraId="4E381CB2" w14:textId="77777777" w:rsidR="000E7BCB" w:rsidRDefault="00A620E4">
      <w:pPr>
        <w:numPr>
          <w:ilvl w:val="0"/>
          <w:numId w:val="20"/>
        </w:numPr>
      </w:pPr>
      <w:proofErr w:type="spellStart"/>
      <w:r>
        <w:t>Anëtarët</w:t>
      </w:r>
      <w:proofErr w:type="spellEnd"/>
      <w:r>
        <w:t xml:space="preserve"> e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kompenzohen</w:t>
      </w:r>
      <w:proofErr w:type="spellEnd"/>
      <w:r>
        <w:t xml:space="preserve"> me </w:t>
      </w:r>
      <w:proofErr w:type="spellStart"/>
      <w:r>
        <w:t>rrogë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rregullt</w:t>
      </w:r>
      <w:proofErr w:type="spellEnd"/>
      <w:r>
        <w:t xml:space="preserve"> </w:t>
      </w:r>
      <w:proofErr w:type="spellStart"/>
      <w:r>
        <w:t>mujore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. </w:t>
      </w:r>
      <w:proofErr w:type="spellStart"/>
      <w:r>
        <w:t>Mirëpo</w:t>
      </w:r>
      <w:proofErr w:type="spellEnd"/>
      <w:r>
        <w:t xml:space="preserve">, </w:t>
      </w:r>
      <w:proofErr w:type="spellStart"/>
      <w:r>
        <w:t>shërbimi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anëtarëve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kompenzohen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mëditjes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ndahet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kompenzim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pjësemarrje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mbledhje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kryerjen</w:t>
      </w:r>
      <w:proofErr w:type="spellEnd"/>
      <w:r>
        <w:t xml:space="preserve"> e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emër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. </w:t>
      </w:r>
      <w:proofErr w:type="spellStart"/>
      <w:r>
        <w:t>Shkalla</w:t>
      </w:r>
      <w:proofErr w:type="spellEnd"/>
      <w:r>
        <w:t xml:space="preserve"> e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kompenzimi</w:t>
      </w:r>
      <w:proofErr w:type="spellEnd"/>
      <w:r>
        <w:t xml:space="preserve"> </w:t>
      </w:r>
      <w:proofErr w:type="spellStart"/>
      <w:r>
        <w:t>propozohet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miratohet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, por ai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arsyeshëm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</w:t>
      </w:r>
      <w:proofErr w:type="spellStart"/>
      <w:r>
        <w:t>nivelet</w:t>
      </w:r>
      <w:proofErr w:type="spellEnd"/>
      <w:r>
        <w:t xml:space="preserve"> e </w:t>
      </w:r>
      <w:proofErr w:type="spellStart"/>
      <w:r>
        <w:t>kompenzimit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anëtarëve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institucionet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Banka </w:t>
      </w:r>
      <w:proofErr w:type="spellStart"/>
      <w:r>
        <w:t>Qendrore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sektorit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bankat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tregut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vend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punonjës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</w:t>
      </w:r>
      <w:proofErr w:type="spellStart"/>
      <w:r>
        <w:t>profesionalë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profilit</w:t>
      </w:r>
      <w:proofErr w:type="spellEnd"/>
      <w:r>
        <w:t xml:space="preserve">. </w:t>
      </w:r>
      <w:proofErr w:type="spellStart"/>
      <w:r>
        <w:t>Kompenzimi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anëtarëve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mjetet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formën</w:t>
      </w:r>
      <w:proofErr w:type="spellEnd"/>
      <w:r>
        <w:t xml:space="preserve"> e </w:t>
      </w:r>
      <w:proofErr w:type="spellStart"/>
      <w:r>
        <w:t>parasë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gatshme</w:t>
      </w:r>
      <w:proofErr w:type="spellEnd"/>
      <w:r>
        <w:t xml:space="preserve"> (kesh).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lastRenderedPageBreak/>
        <w:t>t’i</w:t>
      </w:r>
      <w:proofErr w:type="spellEnd"/>
      <w:r>
        <w:t xml:space="preserve"> </w:t>
      </w:r>
      <w:proofErr w:type="spellStart"/>
      <w:r>
        <w:t>kompenzojë</w:t>
      </w:r>
      <w:proofErr w:type="spellEnd"/>
      <w:r>
        <w:t xml:space="preserve"> </w:t>
      </w:r>
      <w:proofErr w:type="spellStart"/>
      <w:r>
        <w:t>anëtarët</w:t>
      </w:r>
      <w:proofErr w:type="spellEnd"/>
      <w:r>
        <w:t xml:space="preserve"> e vet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aksioneve</w:t>
      </w:r>
      <w:proofErr w:type="spellEnd"/>
      <w:r>
        <w:t xml:space="preserve">, </w:t>
      </w:r>
      <w:proofErr w:type="spellStart"/>
      <w:r>
        <w:t>ekuiteteve</w:t>
      </w:r>
      <w:proofErr w:type="spellEnd"/>
      <w:r>
        <w:t xml:space="preserve">, </w:t>
      </w:r>
      <w:proofErr w:type="spellStart"/>
      <w:r>
        <w:t>bonove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çfarëdo</w:t>
      </w:r>
      <w:proofErr w:type="spellEnd"/>
      <w:r>
        <w:t xml:space="preserve"> </w:t>
      </w:r>
      <w:proofErr w:type="spellStart"/>
      <w:r>
        <w:t>instrumenteve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apo jo-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apo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lëshuara</w:t>
      </w:r>
      <w:proofErr w:type="spellEnd"/>
      <w:r>
        <w:t xml:space="preserve"> </w:t>
      </w:r>
      <w:proofErr w:type="spellStart"/>
      <w:r>
        <w:t>enkas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Fondi</w:t>
      </w:r>
      <w:proofErr w:type="spellEnd"/>
      <w:r>
        <w:t>.</w:t>
      </w:r>
    </w:p>
    <w:p w14:paraId="59B1AD68" w14:textId="77777777" w:rsidR="000E7BCB" w:rsidRDefault="000E7BCB"/>
    <w:p w14:paraId="10565955" w14:textId="77777777" w:rsidR="000E7BCB" w:rsidRDefault="00A620E4">
      <w:pPr>
        <w:numPr>
          <w:ilvl w:val="0"/>
          <w:numId w:val="20"/>
        </w:numPr>
      </w:pPr>
      <w:proofErr w:type="spellStart"/>
      <w:r>
        <w:t>Vendimet</w:t>
      </w:r>
      <w:proofErr w:type="spellEnd"/>
      <w:r>
        <w:t xml:space="preserve"> e </w:t>
      </w:r>
      <w:proofErr w:type="spellStart"/>
      <w:r>
        <w:t>rregullta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merren</w:t>
      </w:r>
      <w:proofErr w:type="spellEnd"/>
      <w:r>
        <w:t xml:space="preserve"> me </w:t>
      </w:r>
      <w:proofErr w:type="spellStart"/>
      <w:r>
        <w:t>shumicë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thjeshtë</w:t>
      </w:r>
      <w:proofErr w:type="spellEnd"/>
      <w:r>
        <w:t xml:space="preserve"> </w:t>
      </w:r>
      <w:proofErr w:type="spellStart"/>
      <w:r>
        <w:t>votash</w:t>
      </w:r>
      <w:proofErr w:type="spellEnd"/>
      <w:r>
        <w:t>.</w:t>
      </w:r>
    </w:p>
    <w:p w14:paraId="5BADD098" w14:textId="77777777" w:rsidR="000E7BCB" w:rsidRDefault="000E7BCB"/>
    <w:p w14:paraId="36283255" w14:textId="77777777" w:rsidR="000E7BCB" w:rsidRDefault="00A620E4">
      <w:pPr>
        <w:numPr>
          <w:ilvl w:val="0"/>
          <w:numId w:val="20"/>
        </w:numPr>
      </w:pP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nismën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amendimin</w:t>
      </w:r>
      <w:proofErr w:type="spellEnd"/>
      <w:r>
        <w:t xml:space="preserve"> e </w:t>
      </w:r>
      <w:proofErr w:type="spellStart"/>
      <w:r>
        <w:t>Kartës</w:t>
      </w:r>
      <w:proofErr w:type="spellEnd"/>
      <w:r>
        <w:t xml:space="preserve"> </w:t>
      </w:r>
      <w:proofErr w:type="spellStart"/>
      <w:r>
        <w:t>Afariste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por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bëjë</w:t>
      </w:r>
      <w:proofErr w:type="spellEnd"/>
      <w:r>
        <w:t xml:space="preserve"> </w:t>
      </w:r>
      <w:proofErr w:type="spellStart"/>
      <w:r>
        <w:t>ndryshime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Kartën</w:t>
      </w:r>
      <w:proofErr w:type="spellEnd"/>
      <w:r>
        <w:t xml:space="preserve"> </w:t>
      </w:r>
      <w:proofErr w:type="spellStart"/>
      <w:r>
        <w:t>Afariste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pëlqimin</w:t>
      </w:r>
      <w:proofErr w:type="spellEnd"/>
      <w:r>
        <w:t xml:space="preserve"> e </w:t>
      </w:r>
      <w:proofErr w:type="spellStart"/>
      <w:r>
        <w:t>Kuvendit</w:t>
      </w:r>
      <w:proofErr w:type="spellEnd"/>
      <w:r>
        <w:t xml:space="preserve">. </w:t>
      </w:r>
      <w:proofErr w:type="spellStart"/>
      <w:r>
        <w:rPr>
          <w:i/>
        </w:rPr>
        <w:t>Ligji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Fondin</w:t>
      </w:r>
      <w:proofErr w:type="spellEnd"/>
      <w:r>
        <w:rPr>
          <w:i/>
        </w:rPr>
        <w:t xml:space="preserve"> Sovran do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përcaktojë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procedurën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ndryshimin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Kartës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Afariste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Fondit</w:t>
      </w:r>
      <w:proofErr w:type="spellEnd"/>
      <w:r>
        <w:rPr>
          <w:i/>
        </w:rPr>
        <w:t>.</w:t>
      </w:r>
    </w:p>
    <w:p w14:paraId="3F1FBBEC" w14:textId="77777777" w:rsidR="000E7BCB" w:rsidRDefault="000E7BCB"/>
    <w:p w14:paraId="3F792CCB" w14:textId="77777777" w:rsidR="000E7BCB" w:rsidRDefault="00A620E4">
      <w:pPr>
        <w:numPr>
          <w:ilvl w:val="0"/>
          <w:numId w:val="20"/>
        </w:numPr>
      </w:pPr>
      <w:proofErr w:type="spellStart"/>
      <w:r>
        <w:t>Sikur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, </w:t>
      </w:r>
      <w:proofErr w:type="spellStart"/>
      <w:r>
        <w:rPr>
          <w:i/>
        </w:rPr>
        <w:t>procedura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emërimin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zëvendësimin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anëtarëve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Bordit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Mbikëqryes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përcaktohet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Ligji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Fondin</w:t>
      </w:r>
      <w:proofErr w:type="spellEnd"/>
      <w:r>
        <w:rPr>
          <w:i/>
        </w:rPr>
        <w:t xml:space="preserve"> Sovran</w:t>
      </w:r>
      <w:r>
        <w:t xml:space="preserve">. </w:t>
      </w:r>
      <w:proofErr w:type="spellStart"/>
      <w:r>
        <w:t>Ndërkaq</w:t>
      </w:r>
      <w:proofErr w:type="spellEnd"/>
      <w:r>
        <w:t xml:space="preserve">, </w:t>
      </w:r>
      <w:proofErr w:type="spellStart"/>
      <w:r>
        <w:rPr>
          <w:i/>
        </w:rPr>
        <w:t>kompetencat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Bordit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Mbikëqyres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njësi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qeverisëse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Fondit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përcaktohen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Kartën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Afariste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Fondit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pajtim</w:t>
      </w:r>
      <w:proofErr w:type="spellEnd"/>
      <w:r>
        <w:t xml:space="preserve"> me </w:t>
      </w:r>
      <w:proofErr w:type="spellStart"/>
      <w:r>
        <w:t>ligjet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rregullojnë</w:t>
      </w:r>
      <w:proofErr w:type="spellEnd"/>
      <w:r>
        <w:t xml:space="preserve"> </w:t>
      </w:r>
      <w:proofErr w:type="spellStart"/>
      <w:r>
        <w:t>qeverisjen</w:t>
      </w:r>
      <w:proofErr w:type="spellEnd"/>
      <w:r>
        <w:t xml:space="preserve"> e </w:t>
      </w:r>
      <w:proofErr w:type="spellStart"/>
      <w:r>
        <w:t>shoqërive</w:t>
      </w:r>
      <w:proofErr w:type="spellEnd"/>
      <w:r>
        <w:t xml:space="preserve"> </w:t>
      </w:r>
      <w:proofErr w:type="spellStart"/>
      <w:r>
        <w:t>aksionare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Republikën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standardet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qeverisjes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 xml:space="preserve"> </w:t>
      </w:r>
      <w:proofErr w:type="spellStart"/>
      <w:r>
        <w:t>sikur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theksuara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. </w:t>
      </w:r>
    </w:p>
    <w:p w14:paraId="26B83C58" w14:textId="77777777" w:rsidR="000E7BCB" w:rsidRDefault="000E7BCB"/>
    <w:p w14:paraId="04EFB239" w14:textId="77777777" w:rsidR="000E7BCB" w:rsidRDefault="00A620E4">
      <w:pPr>
        <w:numPr>
          <w:ilvl w:val="3"/>
          <w:numId w:val="19"/>
        </w:numPr>
      </w:pPr>
      <w:proofErr w:type="spellStart"/>
      <w:r>
        <w:t>Bordi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trupi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</w:t>
      </w:r>
      <w:proofErr w:type="spellStart"/>
      <w:r>
        <w:t>drejtues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. </w:t>
      </w:r>
    </w:p>
    <w:p w14:paraId="7A94D54C" w14:textId="77777777" w:rsidR="000E7BCB" w:rsidRDefault="000E7BCB"/>
    <w:p w14:paraId="3AC7C556" w14:textId="77777777" w:rsidR="000E7BCB" w:rsidRDefault="00A620E4">
      <w:pPr>
        <w:numPr>
          <w:ilvl w:val="4"/>
          <w:numId w:val="19"/>
        </w:numPr>
      </w:pPr>
      <w:proofErr w:type="spellStart"/>
      <w:r>
        <w:t>Bordi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përbëhet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Shefi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, </w:t>
      </w:r>
      <w:proofErr w:type="spellStart"/>
      <w:r>
        <w:t>Shefi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Shefi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Operacioneve</w:t>
      </w:r>
      <w:proofErr w:type="spellEnd"/>
      <w:r>
        <w:t xml:space="preserve">. </w:t>
      </w:r>
      <w:proofErr w:type="spellStart"/>
      <w:r>
        <w:t>Personat</w:t>
      </w:r>
      <w:proofErr w:type="spellEnd"/>
      <w:r>
        <w:t xml:space="preserve"> e </w:t>
      </w:r>
      <w:proofErr w:type="spellStart"/>
      <w:r>
        <w:t>punësuar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emëruar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pozita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kohës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ushtrojnë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role me </w:t>
      </w:r>
      <w:proofErr w:type="spellStart"/>
      <w:r>
        <w:t>automatizëm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>.</w:t>
      </w:r>
    </w:p>
    <w:p w14:paraId="1CEA507B" w14:textId="77777777" w:rsidR="000E7BCB" w:rsidRDefault="000E7BCB"/>
    <w:p w14:paraId="641E4929" w14:textId="77777777" w:rsidR="000E7BCB" w:rsidRDefault="00A620E4">
      <w:pPr>
        <w:numPr>
          <w:ilvl w:val="4"/>
          <w:numId w:val="19"/>
        </w:numPr>
      </w:pPr>
      <w:proofErr w:type="spellStart"/>
      <w:r>
        <w:t>Vendimet</w:t>
      </w:r>
      <w:proofErr w:type="spellEnd"/>
      <w:r>
        <w:t xml:space="preserve"> e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merren</w:t>
      </w:r>
      <w:proofErr w:type="spellEnd"/>
      <w:r>
        <w:t xml:space="preserve"> me </w:t>
      </w:r>
      <w:proofErr w:type="spellStart"/>
      <w:r>
        <w:t>shumicë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thjeshtë</w:t>
      </w:r>
      <w:proofErr w:type="spellEnd"/>
      <w:r>
        <w:t xml:space="preserve"> </w:t>
      </w:r>
      <w:proofErr w:type="spellStart"/>
      <w:r>
        <w:t>votash</w:t>
      </w:r>
      <w:proofErr w:type="spellEnd"/>
      <w:r>
        <w:t>.</w:t>
      </w:r>
    </w:p>
    <w:p w14:paraId="78E998DC" w14:textId="77777777" w:rsidR="000E7BCB" w:rsidRDefault="000E7BCB"/>
    <w:p w14:paraId="349A3080" w14:textId="77777777" w:rsidR="000E7BCB" w:rsidRDefault="00A620E4">
      <w:pPr>
        <w:numPr>
          <w:ilvl w:val="4"/>
          <w:numId w:val="19"/>
        </w:numPr>
      </w:pPr>
      <w:proofErr w:type="spellStart"/>
      <w:r>
        <w:t>Bordi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harton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propozon</w:t>
      </w:r>
      <w:proofErr w:type="spellEnd"/>
      <w:r>
        <w:t xml:space="preserve"> </w:t>
      </w:r>
      <w:proofErr w:type="spellStart"/>
      <w:r>
        <w:t>Strategjinë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dërgohet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aprovim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. </w:t>
      </w:r>
      <w:proofErr w:type="spellStart"/>
      <w:r>
        <w:t>Hartimi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strategjisë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fushëveprimtari</w:t>
      </w:r>
      <w:proofErr w:type="spellEnd"/>
      <w:r>
        <w:t xml:space="preserve"> e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, por ai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</w:t>
      </w:r>
      <w:proofErr w:type="spellStart"/>
      <w:r>
        <w:t>Kornizën</w:t>
      </w:r>
      <w:proofErr w:type="spellEnd"/>
      <w:r>
        <w:t xml:space="preserve"> </w:t>
      </w:r>
      <w:proofErr w:type="spellStart"/>
      <w:r>
        <w:t>Tematike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aprovuar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reflektojë</w:t>
      </w:r>
      <w:proofErr w:type="spellEnd"/>
      <w:r>
        <w:t xml:space="preserve"> </w:t>
      </w:r>
      <w:proofErr w:type="spellStart"/>
      <w:r>
        <w:t>orientimet</w:t>
      </w:r>
      <w:proofErr w:type="spellEnd"/>
      <w:r>
        <w:t xml:space="preserve"> e </w:t>
      </w:r>
      <w:proofErr w:type="spellStart"/>
      <w:r>
        <w:lastRenderedPageBreak/>
        <w:t>përgjithshme</w:t>
      </w:r>
      <w:proofErr w:type="spellEnd"/>
      <w:r>
        <w:t xml:space="preserve"> </w:t>
      </w:r>
      <w:proofErr w:type="spellStart"/>
      <w:r>
        <w:t>zhvillimore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e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>.</w:t>
      </w:r>
    </w:p>
    <w:p w14:paraId="1A436CA7" w14:textId="77777777" w:rsidR="000E7BCB" w:rsidRDefault="000E7BCB"/>
    <w:p w14:paraId="27AC0774" w14:textId="77777777" w:rsidR="000E7BCB" w:rsidRDefault="00A620E4">
      <w:pPr>
        <w:numPr>
          <w:ilvl w:val="4"/>
          <w:numId w:val="19"/>
        </w:numPr>
      </w:pPr>
      <w:proofErr w:type="spellStart"/>
      <w:r>
        <w:t>Bordi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përgjegjësinë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përditshëm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>.</w:t>
      </w:r>
    </w:p>
    <w:p w14:paraId="0DA6BD3E" w14:textId="77777777" w:rsidR="000E7BCB" w:rsidRDefault="000E7BCB"/>
    <w:p w14:paraId="50B6ADAB" w14:textId="77777777" w:rsidR="000E7BCB" w:rsidRDefault="00A620E4">
      <w:pPr>
        <w:numPr>
          <w:ilvl w:val="4"/>
          <w:numId w:val="19"/>
        </w:numPr>
      </w:pPr>
      <w:proofErr w:type="spellStart"/>
      <w:r>
        <w:t>Bordi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luajë</w:t>
      </w:r>
      <w:proofErr w:type="spellEnd"/>
      <w:r>
        <w:t xml:space="preserve"> </w:t>
      </w:r>
      <w:proofErr w:type="spellStart"/>
      <w:r>
        <w:t>rolin</w:t>
      </w:r>
      <w:proofErr w:type="spellEnd"/>
      <w:r>
        <w:t xml:space="preserve"> </w:t>
      </w:r>
      <w:proofErr w:type="spellStart"/>
      <w:r>
        <w:t>kryesor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“</w:t>
      </w:r>
      <w:proofErr w:type="spellStart"/>
      <w:r>
        <w:t>Principalit</w:t>
      </w:r>
      <w:proofErr w:type="spellEnd"/>
      <w:r>
        <w:t xml:space="preserve">” </w:t>
      </w:r>
      <w:proofErr w:type="spellStart"/>
      <w:r>
        <w:t>si</w:t>
      </w:r>
      <w:proofErr w:type="spellEnd"/>
      <w:r>
        <w:t xml:space="preserve"> </w:t>
      </w:r>
      <w:proofErr w:type="spellStart"/>
      <w:r>
        <w:t>përfaqësues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interesave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me </w:t>
      </w:r>
      <w:proofErr w:type="spellStart"/>
      <w:r>
        <w:t>entitetet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ka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merr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aksionar</w:t>
      </w:r>
      <w:proofErr w:type="spellEnd"/>
      <w:r>
        <w:t xml:space="preserve">. </w:t>
      </w:r>
      <w:proofErr w:type="spellStart"/>
      <w:r>
        <w:t>Lidhur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,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trupi</w:t>
      </w:r>
      <w:proofErr w:type="spellEnd"/>
      <w:r>
        <w:t xml:space="preserve"> </w:t>
      </w:r>
      <w:proofErr w:type="spellStart"/>
      <w:r>
        <w:t>kryesor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ngarkuar</w:t>
      </w:r>
      <w:proofErr w:type="spellEnd"/>
      <w:r>
        <w:t xml:space="preserve"> me </w:t>
      </w:r>
      <w:proofErr w:type="spellStart"/>
      <w:r>
        <w:t>emërimin</w:t>
      </w:r>
      <w:proofErr w:type="spellEnd"/>
      <w:r>
        <w:t xml:space="preserve"> e </w:t>
      </w:r>
      <w:proofErr w:type="spellStart"/>
      <w:r>
        <w:t>anëtarëve</w:t>
      </w:r>
      <w:proofErr w:type="spellEnd"/>
      <w:r>
        <w:t xml:space="preserve"> </w:t>
      </w:r>
      <w:proofErr w:type="spellStart"/>
      <w:r>
        <w:t>përfaqësues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bordeve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entiteteve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>/</w:t>
      </w:r>
      <w:proofErr w:type="spellStart"/>
      <w:r>
        <w:t>shoqërive</w:t>
      </w:r>
      <w:proofErr w:type="spellEnd"/>
      <w:r>
        <w:t xml:space="preserve"> </w:t>
      </w:r>
      <w:proofErr w:type="spellStart"/>
      <w:r>
        <w:t>aksionare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ka </w:t>
      </w:r>
      <w:proofErr w:type="spellStart"/>
      <w:r>
        <w:t>pronësi</w:t>
      </w:r>
      <w:proofErr w:type="spellEnd"/>
      <w:r>
        <w:t xml:space="preserve"> (</w:t>
      </w:r>
      <w:proofErr w:type="spellStart"/>
      <w:r>
        <w:t>kompetencë</w:t>
      </w:r>
      <w:proofErr w:type="spellEnd"/>
      <w:r>
        <w:t xml:space="preserve"> e </w:t>
      </w:r>
      <w:proofErr w:type="spellStart"/>
      <w:r>
        <w:t>detajuar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). </w:t>
      </w:r>
      <w:proofErr w:type="spellStart"/>
      <w:r>
        <w:t>Kompetencat</w:t>
      </w:r>
      <w:proofErr w:type="spellEnd"/>
      <w:r>
        <w:t xml:space="preserve"> </w:t>
      </w:r>
      <w:proofErr w:type="spellStart"/>
      <w:r>
        <w:t>mbikëqyrëse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Kartën</w:t>
      </w:r>
      <w:proofErr w:type="spellEnd"/>
      <w:r>
        <w:t xml:space="preserve"> </w:t>
      </w:r>
      <w:proofErr w:type="spellStart"/>
      <w:r>
        <w:t>Afariste</w:t>
      </w:r>
      <w:proofErr w:type="spellEnd"/>
      <w:r>
        <w:t>.</w:t>
      </w:r>
    </w:p>
    <w:p w14:paraId="0B31512A" w14:textId="77777777" w:rsidR="000E7BCB" w:rsidRDefault="000E7BCB"/>
    <w:p w14:paraId="7E037C24" w14:textId="77777777" w:rsidR="000E7BCB" w:rsidRDefault="00A620E4">
      <w:pPr>
        <w:numPr>
          <w:ilvl w:val="3"/>
          <w:numId w:val="19"/>
        </w:numPr>
      </w:pPr>
      <w:proofErr w:type="spellStart"/>
      <w:r>
        <w:t>Shefi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(Chief Executive Officer)</w:t>
      </w:r>
    </w:p>
    <w:p w14:paraId="66BE60A5" w14:textId="77777777" w:rsidR="000E7BCB" w:rsidRDefault="000E7BCB"/>
    <w:p w14:paraId="308E859D" w14:textId="77777777" w:rsidR="000E7BCB" w:rsidRDefault="00A620E4">
      <w:pPr>
        <w:numPr>
          <w:ilvl w:val="0"/>
          <w:numId w:val="21"/>
        </w:numPr>
      </w:pPr>
      <w:proofErr w:type="spellStart"/>
      <w:r>
        <w:t>Shefi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(Chief Executive Officer)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udhëheqësi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menaxherial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përfaqësuesi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</w:t>
      </w:r>
      <w:proofErr w:type="spellStart"/>
      <w:r>
        <w:t>zyrtar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kundrejt</w:t>
      </w:r>
      <w:proofErr w:type="spellEnd"/>
      <w:r>
        <w:t xml:space="preserve"> </w:t>
      </w:r>
      <w:proofErr w:type="spellStart"/>
      <w:r>
        <w:t>palëve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treta</w:t>
      </w:r>
      <w:proofErr w:type="spellEnd"/>
      <w:r>
        <w:t>.</w:t>
      </w:r>
    </w:p>
    <w:p w14:paraId="66A8B28C" w14:textId="77777777" w:rsidR="000E7BCB" w:rsidRDefault="000E7BCB"/>
    <w:p w14:paraId="70D68EE1" w14:textId="77777777" w:rsidR="000E7BCB" w:rsidRDefault="00A620E4">
      <w:pPr>
        <w:numPr>
          <w:ilvl w:val="0"/>
          <w:numId w:val="21"/>
        </w:numPr>
      </w:pPr>
      <w:proofErr w:type="spellStart"/>
      <w:r>
        <w:t>Shefi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punësohet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emërohet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, pas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konkursi</w:t>
      </w:r>
      <w:proofErr w:type="spellEnd"/>
      <w:r>
        <w:t xml:space="preserve"> </w:t>
      </w:r>
      <w:proofErr w:type="spellStart"/>
      <w:r>
        <w:t>ndërkombëtar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pesë</w:t>
      </w:r>
      <w:proofErr w:type="spellEnd"/>
      <w:r>
        <w:t xml:space="preserve"> </w:t>
      </w:r>
      <w:proofErr w:type="spellStart"/>
      <w:r>
        <w:t>vjeçar</w:t>
      </w:r>
      <w:proofErr w:type="spellEnd"/>
      <w:r>
        <w:t xml:space="preserve">, me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ripërtërirjeje</w:t>
      </w:r>
      <w:proofErr w:type="spellEnd"/>
      <w:r>
        <w:t xml:space="preserve">. </w:t>
      </w:r>
      <w:proofErr w:type="spellStart"/>
      <w:r>
        <w:t>Kryetari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emër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, </w:t>
      </w:r>
      <w:proofErr w:type="spellStart"/>
      <w:r>
        <w:t>gëzon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drejtën</w:t>
      </w:r>
      <w:proofErr w:type="spellEnd"/>
      <w:r>
        <w:t xml:space="preserve"> e </w:t>
      </w:r>
      <w:proofErr w:type="spellStart"/>
      <w:r>
        <w:t>negocimit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Shefit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përfshihet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skema</w:t>
      </w:r>
      <w:proofErr w:type="spellEnd"/>
      <w:r>
        <w:t xml:space="preserve"> e </w:t>
      </w:r>
      <w:proofErr w:type="spellStart"/>
      <w:r>
        <w:t>kompenzimit</w:t>
      </w:r>
      <w:proofErr w:type="spellEnd"/>
      <w:r>
        <w:t xml:space="preserve">. </w:t>
      </w:r>
      <w:proofErr w:type="spellStart"/>
      <w:r>
        <w:t>Kontrata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përfshihen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punësimit</w:t>
      </w:r>
      <w:proofErr w:type="spellEnd"/>
      <w:r>
        <w:t xml:space="preserve">, </w:t>
      </w:r>
      <w:proofErr w:type="spellStart"/>
      <w:r>
        <w:t>pritjet</w:t>
      </w:r>
      <w:proofErr w:type="spellEnd"/>
      <w:r>
        <w:t xml:space="preserve"> e </w:t>
      </w:r>
      <w:proofErr w:type="spellStart"/>
      <w:r>
        <w:t>performansës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skema</w:t>
      </w:r>
      <w:proofErr w:type="spellEnd"/>
      <w:r>
        <w:t xml:space="preserve"> e </w:t>
      </w:r>
      <w:proofErr w:type="spellStart"/>
      <w:r>
        <w:t>kompenzimit</w:t>
      </w:r>
      <w:proofErr w:type="spellEnd"/>
      <w:r>
        <w:t xml:space="preserve">, apo </w:t>
      </w:r>
      <w:proofErr w:type="spellStart"/>
      <w:r>
        <w:t>ndryshimi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cilësdo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këtyre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nënshtrohet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kushtëzohet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aprovimi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. Skema </w:t>
      </w:r>
      <w:proofErr w:type="spellStart"/>
      <w:r>
        <w:t>kompenzuese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krejtësisht</w:t>
      </w:r>
      <w:proofErr w:type="spellEnd"/>
      <w:r>
        <w:t xml:space="preserve"> </w:t>
      </w:r>
      <w:proofErr w:type="spellStart"/>
      <w:r>
        <w:t>monetare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jëtë</w:t>
      </w:r>
      <w:proofErr w:type="spellEnd"/>
      <w:r>
        <w:t xml:space="preserve"> </w:t>
      </w:r>
      <w:proofErr w:type="spellStart"/>
      <w:r>
        <w:t>pjesërisht</w:t>
      </w:r>
      <w:proofErr w:type="spellEnd"/>
      <w:r>
        <w:t xml:space="preserve"> e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performansën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. </w:t>
      </w:r>
      <w:proofErr w:type="spellStart"/>
      <w:r>
        <w:t>Lidhur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,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Mbikëqryes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ofrojë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peng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kontratë</w:t>
      </w:r>
      <w:proofErr w:type="spellEnd"/>
      <w:r>
        <w:t xml:space="preserve"> </w:t>
      </w:r>
      <w:proofErr w:type="spellStart"/>
      <w:r>
        <w:t>asnjë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lastRenderedPageBreak/>
        <w:t>ose</w:t>
      </w:r>
      <w:proofErr w:type="spellEnd"/>
      <w:r>
        <w:t xml:space="preserve"> jo-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skemës</w:t>
      </w:r>
      <w:proofErr w:type="spellEnd"/>
      <w:r>
        <w:t xml:space="preserve"> </w:t>
      </w:r>
      <w:proofErr w:type="spellStart"/>
      <w:r>
        <w:t>kompenzuese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Shefit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>.</w:t>
      </w:r>
    </w:p>
    <w:p w14:paraId="72344EC3" w14:textId="77777777" w:rsidR="000E7BCB" w:rsidRDefault="000E7BCB"/>
    <w:p w14:paraId="5BBE86F3" w14:textId="77777777" w:rsidR="000E7BCB" w:rsidRDefault="00A620E4">
      <w:pPr>
        <w:numPr>
          <w:ilvl w:val="0"/>
          <w:numId w:val="21"/>
        </w:numPr>
      </w:pPr>
      <w:proofErr w:type="spellStart"/>
      <w:r>
        <w:t>Në</w:t>
      </w:r>
      <w:proofErr w:type="spellEnd"/>
      <w:r>
        <w:t xml:space="preserve"> </w:t>
      </w:r>
      <w:proofErr w:type="spellStart"/>
      <w:r>
        <w:t>punën</w:t>
      </w:r>
      <w:proofErr w:type="spellEnd"/>
      <w:r>
        <w:t xml:space="preserve"> e </w:t>
      </w:r>
      <w:proofErr w:type="spellStart"/>
      <w:r>
        <w:t>përditshme</w:t>
      </w:r>
      <w:proofErr w:type="spellEnd"/>
      <w:r>
        <w:t xml:space="preserve"> </w:t>
      </w:r>
      <w:proofErr w:type="spellStart"/>
      <w:r>
        <w:t>Shefi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gëzon</w:t>
      </w:r>
      <w:proofErr w:type="spellEnd"/>
      <w:r>
        <w:t xml:space="preserve"> </w:t>
      </w:r>
      <w:proofErr w:type="spellStart"/>
      <w:r>
        <w:t>autonomi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 operative e </w:t>
      </w:r>
      <w:proofErr w:type="spellStart"/>
      <w:r>
        <w:t>menaxheriale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. </w:t>
      </w:r>
      <w:proofErr w:type="spellStart"/>
      <w:r>
        <w:t>Kjo</w:t>
      </w:r>
      <w:proofErr w:type="spellEnd"/>
      <w:r>
        <w:t xml:space="preserve"> </w:t>
      </w:r>
      <w:proofErr w:type="spellStart"/>
      <w:r>
        <w:t>përfshin</w:t>
      </w:r>
      <w:proofErr w:type="spellEnd"/>
      <w:r>
        <w:t xml:space="preserve"> </w:t>
      </w:r>
      <w:proofErr w:type="spellStart"/>
      <w:r>
        <w:t>marrjen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implementimin</w:t>
      </w:r>
      <w:proofErr w:type="spellEnd"/>
      <w:r>
        <w:t xml:space="preserve"> e </w:t>
      </w:r>
      <w:proofErr w:type="spellStart"/>
      <w:r>
        <w:t>vendimeve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 xml:space="preserve">, </w:t>
      </w:r>
      <w:proofErr w:type="spellStart"/>
      <w:r>
        <w:t>lidhjen</w:t>
      </w:r>
      <w:proofErr w:type="spellEnd"/>
      <w:r>
        <w:t xml:space="preserve"> e </w:t>
      </w:r>
      <w:proofErr w:type="spellStart"/>
      <w:r>
        <w:t>marrëveshjeve</w:t>
      </w:r>
      <w:proofErr w:type="spellEnd"/>
      <w:r>
        <w:t xml:space="preserve">, </w:t>
      </w:r>
      <w:proofErr w:type="spellStart"/>
      <w:r>
        <w:t>negocimin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ekzekutimin</w:t>
      </w:r>
      <w:proofErr w:type="spellEnd"/>
      <w:r>
        <w:t xml:space="preserve"> e </w:t>
      </w:r>
      <w:proofErr w:type="spellStart"/>
      <w:r>
        <w:t>kontratave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ekzekutimin</w:t>
      </w:r>
      <w:proofErr w:type="spellEnd"/>
      <w:r>
        <w:t xml:space="preserve"> e </w:t>
      </w:r>
      <w:proofErr w:type="spellStart"/>
      <w:r>
        <w:t>transaksioneve</w:t>
      </w:r>
      <w:proofErr w:type="spellEnd"/>
      <w:r>
        <w:t xml:space="preserve">, </w:t>
      </w:r>
      <w:proofErr w:type="spellStart"/>
      <w:r>
        <w:t>rekrutimin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punësimin</w:t>
      </w:r>
      <w:proofErr w:type="spellEnd"/>
      <w:r>
        <w:t xml:space="preserve"> e </w:t>
      </w:r>
      <w:proofErr w:type="spellStart"/>
      <w:r>
        <w:t>stafit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etj</w:t>
      </w:r>
      <w:proofErr w:type="spellEnd"/>
      <w:r>
        <w:t>.</w:t>
      </w:r>
    </w:p>
    <w:p w14:paraId="374BF8B6" w14:textId="77777777" w:rsidR="000E7BCB" w:rsidRDefault="000E7BCB"/>
    <w:p w14:paraId="78912F30" w14:textId="77777777" w:rsidR="000E7BCB" w:rsidRDefault="00A620E4">
      <w:pPr>
        <w:numPr>
          <w:ilvl w:val="0"/>
          <w:numId w:val="21"/>
        </w:numPr>
      </w:pPr>
      <w:proofErr w:type="spellStart"/>
      <w:r>
        <w:t>Gjatë</w:t>
      </w:r>
      <w:proofErr w:type="spellEnd"/>
      <w:r>
        <w:t xml:space="preserve"> </w:t>
      </w:r>
      <w:proofErr w:type="spellStart"/>
      <w:r>
        <w:t>mbledhjeve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, </w:t>
      </w:r>
      <w:proofErr w:type="spellStart"/>
      <w:r>
        <w:t>Shefi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ka </w:t>
      </w:r>
      <w:proofErr w:type="spellStart"/>
      <w:r>
        <w:t>obligim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paraqes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aktivitetet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përiudhën</w:t>
      </w:r>
      <w:proofErr w:type="spellEnd"/>
      <w:r>
        <w:t xml:space="preserve"> e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paraqesë</w:t>
      </w:r>
      <w:proofErr w:type="spellEnd"/>
      <w:r>
        <w:t xml:space="preserve"> </w:t>
      </w:r>
      <w:proofErr w:type="spellStart"/>
      <w:r>
        <w:t>atij</w:t>
      </w:r>
      <w:proofErr w:type="spellEnd"/>
      <w:r>
        <w:t xml:space="preserve"> </w:t>
      </w:r>
      <w:proofErr w:type="spellStart"/>
      <w:r>
        <w:t>pasqyrat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. </w:t>
      </w:r>
      <w:proofErr w:type="spellStart"/>
      <w:r>
        <w:t>Pasqyra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raporti</w:t>
      </w:r>
      <w:proofErr w:type="spellEnd"/>
      <w:r>
        <w:t xml:space="preserve"> </w:t>
      </w:r>
      <w:proofErr w:type="spellStart"/>
      <w:r>
        <w:t>vjetor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dorëzohet</w:t>
      </w:r>
      <w:proofErr w:type="spellEnd"/>
      <w:r>
        <w:t xml:space="preserve"> </w:t>
      </w:r>
      <w:proofErr w:type="spellStart"/>
      <w:r>
        <w:t>Ministrit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Financave</w:t>
      </w:r>
      <w:proofErr w:type="spellEnd"/>
      <w:r>
        <w:t>.</w:t>
      </w:r>
    </w:p>
    <w:p w14:paraId="74CC32CE" w14:textId="77777777" w:rsidR="000E7BCB" w:rsidRDefault="000E7BCB"/>
    <w:p w14:paraId="58C5F81A" w14:textId="77777777" w:rsidR="000E7BCB" w:rsidRDefault="00A620E4">
      <w:pPr>
        <w:numPr>
          <w:ilvl w:val="0"/>
          <w:numId w:val="21"/>
        </w:numPr>
      </w:pPr>
      <w:r>
        <w:t xml:space="preserve">Karta </w:t>
      </w:r>
      <w:proofErr w:type="spellStart"/>
      <w:r>
        <w:t>Afariste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përcaktojë</w:t>
      </w:r>
      <w:proofErr w:type="spellEnd"/>
      <w:r>
        <w:t xml:space="preserve"> </w:t>
      </w:r>
      <w:proofErr w:type="spellStart"/>
      <w:r>
        <w:t>kufirin</w:t>
      </w:r>
      <w:proofErr w:type="spellEnd"/>
      <w:r>
        <w:t xml:space="preserve"> e </w:t>
      </w:r>
      <w:proofErr w:type="spellStart"/>
      <w:r>
        <w:t>likuiditetit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Shefi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autorizuar</w:t>
      </w:r>
      <w:proofErr w:type="spellEnd"/>
      <w:r>
        <w:t xml:space="preserve"> ta </w:t>
      </w:r>
      <w:proofErr w:type="spellStart"/>
      <w:r>
        <w:t>dispenzojë</w:t>
      </w:r>
      <w:proofErr w:type="spellEnd"/>
      <w:r>
        <w:t xml:space="preserve">, pa </w:t>
      </w:r>
      <w:proofErr w:type="spellStart"/>
      <w:r>
        <w:t>pëlqimin</w:t>
      </w:r>
      <w:proofErr w:type="spellEnd"/>
      <w:r>
        <w:t xml:space="preserve"> </w:t>
      </w:r>
      <w:proofErr w:type="spellStart"/>
      <w:r>
        <w:t>paraprak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.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ka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dispenzimeve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kufizuara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Strategjisë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.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asnjë</w:t>
      </w:r>
      <w:proofErr w:type="spellEnd"/>
      <w:r>
        <w:t xml:space="preserve"> </w:t>
      </w:r>
      <w:proofErr w:type="spellStart"/>
      <w:r>
        <w:t>anëtar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ka </w:t>
      </w:r>
      <w:proofErr w:type="spellStart"/>
      <w:r>
        <w:t>kompetencë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negocimin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lidhjen</w:t>
      </w:r>
      <w:proofErr w:type="spellEnd"/>
      <w:r>
        <w:t xml:space="preserve"> e </w:t>
      </w:r>
      <w:proofErr w:type="spellStart"/>
      <w:r>
        <w:t>kontratave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emër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autorizimin</w:t>
      </w:r>
      <w:proofErr w:type="spellEnd"/>
      <w:r>
        <w:t xml:space="preserve"> e </w:t>
      </w:r>
      <w:proofErr w:type="spellStart"/>
      <w:r>
        <w:t>çfarëdo</w:t>
      </w:r>
      <w:proofErr w:type="spellEnd"/>
      <w:r>
        <w:t xml:space="preserve"> </w:t>
      </w:r>
      <w:proofErr w:type="spellStart"/>
      <w:r>
        <w:t>dispenzimi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(</w:t>
      </w:r>
      <w:proofErr w:type="spellStart"/>
      <w:r>
        <w:t>përveç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rastet</w:t>
      </w:r>
      <w:proofErr w:type="spellEnd"/>
      <w:r>
        <w:t xml:space="preserve"> e </w:t>
      </w:r>
      <w:proofErr w:type="spellStart"/>
      <w:r>
        <w:t>auditimit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 xml:space="preserve">).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aktivitete</w:t>
      </w:r>
      <w:proofErr w:type="spellEnd"/>
      <w:r>
        <w:t xml:space="preserve"> </w:t>
      </w:r>
      <w:proofErr w:type="spellStart"/>
      <w:r>
        <w:t>mbeten</w:t>
      </w:r>
      <w:proofErr w:type="spellEnd"/>
      <w:r>
        <w:t xml:space="preserve"> </w:t>
      </w:r>
      <w:proofErr w:type="spellStart"/>
      <w:r>
        <w:t>kompetencë</w:t>
      </w:r>
      <w:proofErr w:type="spellEnd"/>
      <w:r>
        <w:t xml:space="preserve"> </w:t>
      </w:r>
      <w:proofErr w:type="spellStart"/>
      <w:r>
        <w:t>ekskluzive</w:t>
      </w:r>
      <w:proofErr w:type="spellEnd"/>
      <w:r>
        <w:t xml:space="preserve"> e </w:t>
      </w:r>
      <w:proofErr w:type="spellStart"/>
      <w:r>
        <w:t>Shefit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(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provizioneve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) e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>.</w:t>
      </w:r>
    </w:p>
    <w:p w14:paraId="3DCBF39C" w14:textId="77777777" w:rsidR="000E7BCB" w:rsidRDefault="000E7BCB"/>
    <w:p w14:paraId="544D6C4E" w14:textId="77777777" w:rsidR="000E7BCB" w:rsidRDefault="00A620E4">
      <w:pPr>
        <w:numPr>
          <w:ilvl w:val="0"/>
          <w:numId w:val="21"/>
        </w:numPr>
      </w:pPr>
      <w:proofErr w:type="spellStart"/>
      <w:r>
        <w:t>Shefi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shërben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vullnetit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performansa</w:t>
      </w:r>
      <w:proofErr w:type="spellEnd"/>
      <w:r>
        <w:t xml:space="preserve"> e </w:t>
      </w:r>
      <w:proofErr w:type="spellStart"/>
      <w:r>
        <w:t>tij</w:t>
      </w:r>
      <w:proofErr w:type="spellEnd"/>
      <w:r>
        <w:t>/</w:t>
      </w:r>
      <w:proofErr w:type="spellStart"/>
      <w:r>
        <w:t>saj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.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gëzon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drejtën</w:t>
      </w:r>
      <w:proofErr w:type="spellEnd"/>
      <w:r>
        <w:t xml:space="preserve"> e </w:t>
      </w:r>
      <w:proofErr w:type="spellStart"/>
      <w:r>
        <w:t>pushimit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puna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Shefit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apo </w:t>
      </w:r>
      <w:proofErr w:type="spellStart"/>
      <w:r>
        <w:t>rezultateve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pakënaqëshme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shkelje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 xml:space="preserve">, apo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veprime</w:t>
      </w:r>
      <w:proofErr w:type="spellEnd"/>
      <w:r>
        <w:t xml:space="preserve"> </w:t>
      </w:r>
      <w:proofErr w:type="spellStart"/>
      <w:r>
        <w:t>jolojale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interesave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. </w:t>
      </w:r>
    </w:p>
    <w:p w14:paraId="3940D4DD" w14:textId="77777777" w:rsidR="000E7BCB" w:rsidRDefault="000E7BCB"/>
    <w:p w14:paraId="0732E4AD" w14:textId="77777777" w:rsidR="000E7BCB" w:rsidRDefault="00A620E4">
      <w:pPr>
        <w:numPr>
          <w:ilvl w:val="0"/>
          <w:numId w:val="21"/>
        </w:numPr>
      </w:pPr>
      <w:proofErr w:type="spellStart"/>
      <w:r>
        <w:lastRenderedPageBreak/>
        <w:t>Në</w:t>
      </w:r>
      <w:proofErr w:type="spellEnd"/>
      <w:r>
        <w:t xml:space="preserve"> </w:t>
      </w:r>
      <w:proofErr w:type="spellStart"/>
      <w:r>
        <w:t>periudha</w:t>
      </w:r>
      <w:proofErr w:type="spellEnd"/>
      <w:r>
        <w:t xml:space="preserve"> </w:t>
      </w:r>
      <w:proofErr w:type="spellStart"/>
      <w:r>
        <w:t>tranzitore</w:t>
      </w:r>
      <w:proofErr w:type="spellEnd"/>
      <w:r>
        <w:t xml:space="preserve"> (para </w:t>
      </w:r>
      <w:proofErr w:type="spellStart"/>
      <w:r>
        <w:t>hapjes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konkursit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, pas </w:t>
      </w:r>
      <w:proofErr w:type="spellStart"/>
      <w:r>
        <w:t>dorëheqjes</w:t>
      </w:r>
      <w:proofErr w:type="spellEnd"/>
      <w:r>
        <w:t xml:space="preserve">, </w:t>
      </w:r>
      <w:proofErr w:type="spellStart"/>
      <w:r>
        <w:t>pushimit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puna</w:t>
      </w:r>
      <w:proofErr w:type="spellEnd"/>
      <w:r>
        <w:t xml:space="preserve">, apo </w:t>
      </w:r>
      <w:proofErr w:type="spellStart"/>
      <w:r>
        <w:t>pamundësisë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kryer</w:t>
      </w:r>
      <w:proofErr w:type="spellEnd"/>
      <w:r>
        <w:t xml:space="preserve"> </w:t>
      </w:r>
      <w:proofErr w:type="spellStart"/>
      <w:r>
        <w:t>detyrën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Shefit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),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emërojë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Ushtrues</w:t>
      </w:r>
      <w:proofErr w:type="spellEnd"/>
      <w:r>
        <w:t xml:space="preserve"> </w:t>
      </w:r>
      <w:proofErr w:type="spellStart"/>
      <w:r>
        <w:t>Detyre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Shefit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, pa </w:t>
      </w:r>
      <w:proofErr w:type="spellStart"/>
      <w:r>
        <w:t>konkurs</w:t>
      </w:r>
      <w:proofErr w:type="spellEnd"/>
      <w:r>
        <w:t xml:space="preserve">. </w:t>
      </w:r>
      <w:proofErr w:type="spellStart"/>
      <w:r>
        <w:t>Mandati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u.d.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Shefit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zgjas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tepër</w:t>
      </w:r>
      <w:proofErr w:type="spellEnd"/>
      <w:r>
        <w:t xml:space="preserve"> se </w:t>
      </w:r>
      <w:proofErr w:type="spellStart"/>
      <w:r>
        <w:t>një</w:t>
      </w:r>
      <w:proofErr w:type="spellEnd"/>
      <w:r>
        <w:t xml:space="preserve"> vit,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përtërirjeje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vit </w:t>
      </w:r>
      <w:proofErr w:type="spellStart"/>
      <w:r>
        <w:t>tjetër</w:t>
      </w:r>
      <w:proofErr w:type="spellEnd"/>
      <w:r>
        <w:t xml:space="preserve">, por jo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>.</w:t>
      </w:r>
    </w:p>
    <w:p w14:paraId="467B71C7" w14:textId="77777777" w:rsidR="000E7BCB" w:rsidRDefault="000E7BCB"/>
    <w:p w14:paraId="08C8AA3A" w14:textId="77777777" w:rsidR="000E7BCB" w:rsidRDefault="00A620E4">
      <w:pPr>
        <w:numPr>
          <w:ilvl w:val="3"/>
          <w:numId w:val="19"/>
        </w:numPr>
      </w:pPr>
      <w:proofErr w:type="spellStart"/>
      <w:r>
        <w:t>Shefi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Shefi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Operacioneve</w:t>
      </w:r>
      <w:proofErr w:type="spellEnd"/>
    </w:p>
    <w:p w14:paraId="153718C3" w14:textId="77777777" w:rsidR="000E7BCB" w:rsidRDefault="000E7BCB"/>
    <w:p w14:paraId="7DBDB253" w14:textId="77777777" w:rsidR="000E7BCB" w:rsidRDefault="00A620E4">
      <w:pPr>
        <w:numPr>
          <w:ilvl w:val="4"/>
          <w:numId w:val="19"/>
        </w:numPr>
      </w:pPr>
      <w:proofErr w:type="spellStart"/>
      <w:r>
        <w:t>Shefi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menaxhimin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mbikëqyrjen</w:t>
      </w:r>
      <w:proofErr w:type="spellEnd"/>
      <w:r>
        <w:t xml:space="preserve"> e </w:t>
      </w:r>
      <w:proofErr w:type="spellStart"/>
      <w:r>
        <w:t>librave</w:t>
      </w:r>
      <w:proofErr w:type="spellEnd"/>
      <w:r>
        <w:t xml:space="preserve"> </w:t>
      </w:r>
      <w:proofErr w:type="spellStart"/>
      <w:r>
        <w:t>financiarë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udhëheqjen</w:t>
      </w:r>
      <w:proofErr w:type="spellEnd"/>
      <w:r>
        <w:t xml:space="preserve"> e </w:t>
      </w:r>
      <w:proofErr w:type="spellStart"/>
      <w:r>
        <w:t>departamentit</w:t>
      </w:r>
      <w:proofErr w:type="spellEnd"/>
      <w:r>
        <w:t xml:space="preserve"> </w:t>
      </w:r>
      <w:proofErr w:type="spellStart"/>
      <w:r>
        <w:t>përkatës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. </w:t>
      </w:r>
      <w:proofErr w:type="spellStart"/>
      <w:r>
        <w:t>Kompetencat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autorizimet</w:t>
      </w:r>
      <w:proofErr w:type="spellEnd"/>
      <w:r>
        <w:t xml:space="preserve"> e </w:t>
      </w:r>
      <w:proofErr w:type="spellStart"/>
      <w:r>
        <w:t>Shefit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Kartën</w:t>
      </w:r>
      <w:proofErr w:type="spellEnd"/>
      <w:r>
        <w:t xml:space="preserve"> </w:t>
      </w:r>
      <w:proofErr w:type="spellStart"/>
      <w:r>
        <w:t>Afariste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>.</w:t>
      </w:r>
    </w:p>
    <w:p w14:paraId="716F10E9" w14:textId="77777777" w:rsidR="000E7BCB" w:rsidRDefault="000E7BCB"/>
    <w:p w14:paraId="4CE8B71A" w14:textId="77777777" w:rsidR="000E7BCB" w:rsidRDefault="00A620E4">
      <w:pPr>
        <w:numPr>
          <w:ilvl w:val="4"/>
          <w:numId w:val="19"/>
        </w:numPr>
      </w:pPr>
      <w:proofErr w:type="spellStart"/>
      <w:r>
        <w:t>Shefi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Operacioneve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veprimtarinë</w:t>
      </w:r>
      <w:proofErr w:type="spellEnd"/>
      <w:r>
        <w:t xml:space="preserve"> </w:t>
      </w:r>
      <w:proofErr w:type="spellStart"/>
      <w:r>
        <w:t>organizative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politikat</w:t>
      </w:r>
      <w:proofErr w:type="spellEnd"/>
      <w:r>
        <w:t xml:space="preserve"> e </w:t>
      </w:r>
      <w:proofErr w:type="spellStart"/>
      <w:r>
        <w:t>punësimit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rekrutimit</w:t>
      </w:r>
      <w:proofErr w:type="spellEnd"/>
      <w:r>
        <w:t xml:space="preserve">, </w:t>
      </w:r>
      <w:proofErr w:type="spellStart"/>
      <w:r>
        <w:t>infrastrukturës</w:t>
      </w:r>
      <w:proofErr w:type="spellEnd"/>
      <w:r>
        <w:t xml:space="preserve"> </w:t>
      </w:r>
      <w:proofErr w:type="spellStart"/>
      <w:r>
        <w:t>teknike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teknologjike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aspektet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administrimit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përditshëm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. </w:t>
      </w:r>
      <w:proofErr w:type="spellStart"/>
      <w:r>
        <w:t>Kompetencat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autorizimet</w:t>
      </w:r>
      <w:proofErr w:type="spellEnd"/>
      <w:r>
        <w:t xml:space="preserve"> e </w:t>
      </w:r>
      <w:proofErr w:type="spellStart"/>
      <w:r>
        <w:t>Shefit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Operacioneve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Kartën</w:t>
      </w:r>
      <w:proofErr w:type="spellEnd"/>
      <w:r>
        <w:t xml:space="preserve"> </w:t>
      </w:r>
      <w:proofErr w:type="spellStart"/>
      <w:r>
        <w:t>Afariste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>.</w:t>
      </w:r>
    </w:p>
    <w:p w14:paraId="16C52F0C" w14:textId="77777777" w:rsidR="000E7BCB" w:rsidRDefault="000E7BCB"/>
    <w:p w14:paraId="25AAA798" w14:textId="77777777" w:rsidR="000E7BCB" w:rsidRDefault="00A620E4">
      <w:pPr>
        <w:numPr>
          <w:ilvl w:val="4"/>
          <w:numId w:val="19"/>
        </w:numPr>
      </w:pPr>
      <w:proofErr w:type="spellStart"/>
      <w:r>
        <w:t>Shefi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Shefi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Operacioneve</w:t>
      </w:r>
      <w:proofErr w:type="spellEnd"/>
      <w:r>
        <w:t xml:space="preserve"> </w:t>
      </w:r>
      <w:proofErr w:type="spellStart"/>
      <w:r>
        <w:t>rekrutohen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punësohen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me </w:t>
      </w:r>
      <w:proofErr w:type="spellStart"/>
      <w:r>
        <w:t>procedurë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ngjashme</w:t>
      </w:r>
      <w:proofErr w:type="spellEnd"/>
      <w:r>
        <w:t xml:space="preserve"> </w:t>
      </w:r>
      <w:proofErr w:type="spellStart"/>
      <w:r>
        <w:t>sikur</w:t>
      </w:r>
      <w:proofErr w:type="spellEnd"/>
      <w:r>
        <w:t xml:space="preserve"> </w:t>
      </w:r>
      <w:proofErr w:type="spellStart"/>
      <w:r>
        <w:t>Shefi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shërbejnë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vullnetit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>.</w:t>
      </w:r>
    </w:p>
    <w:p w14:paraId="1EEC2998" w14:textId="77777777" w:rsidR="000E7BCB" w:rsidRDefault="000E7BCB"/>
    <w:p w14:paraId="6504689C" w14:textId="77777777" w:rsidR="000E7BCB" w:rsidRDefault="00A620E4">
      <w:pPr>
        <w:numPr>
          <w:ilvl w:val="3"/>
          <w:numId w:val="19"/>
        </w:numPr>
      </w:pPr>
      <w:proofErr w:type="spellStart"/>
      <w:r>
        <w:t>Përveç</w:t>
      </w:r>
      <w:proofErr w:type="spellEnd"/>
      <w:r>
        <w:t xml:space="preserve"> </w:t>
      </w:r>
      <w:proofErr w:type="spellStart"/>
      <w:r>
        <w:t>elementeve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sipër</w:t>
      </w:r>
      <w:proofErr w:type="spellEnd"/>
      <w:r>
        <w:t xml:space="preserve">, </w:t>
      </w:r>
      <w:proofErr w:type="spellStart"/>
      <w:r>
        <w:t>Fondi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organizuar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</w:t>
      </w:r>
      <w:proofErr w:type="spellStart"/>
      <w:r>
        <w:t>organizative</w:t>
      </w:r>
      <w:proofErr w:type="spellEnd"/>
      <w:r>
        <w:t xml:space="preserve"> </w:t>
      </w:r>
      <w:proofErr w:type="spellStart"/>
      <w:r>
        <w:t>adekuate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nevojat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praktikave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 xml:space="preserve">. </w:t>
      </w:r>
      <w:proofErr w:type="spellStart"/>
      <w:r>
        <w:t>Këtu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përfshihet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ndarje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departamente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: </w:t>
      </w:r>
      <w:proofErr w:type="spellStart"/>
      <w:r>
        <w:t>Departamenti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Portfolit</w:t>
      </w:r>
      <w:proofErr w:type="spellEnd"/>
      <w:r>
        <w:t xml:space="preserve">, </w:t>
      </w:r>
      <w:proofErr w:type="spellStart"/>
      <w:r>
        <w:t>Departamenti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, </w:t>
      </w:r>
      <w:proofErr w:type="spellStart"/>
      <w:r>
        <w:t>Departamenti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, </w:t>
      </w:r>
      <w:proofErr w:type="spellStart"/>
      <w:r>
        <w:t>Rritjes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Inovacionit</w:t>
      </w:r>
      <w:proofErr w:type="spellEnd"/>
      <w:r>
        <w:t xml:space="preserve"> </w:t>
      </w:r>
      <w:proofErr w:type="spellStart"/>
      <w:r>
        <w:t>Afarist</w:t>
      </w:r>
      <w:proofErr w:type="spellEnd"/>
      <w:r>
        <w:t xml:space="preserve">, </w:t>
      </w:r>
      <w:proofErr w:type="spellStart"/>
      <w:r>
        <w:t>Departamenti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Teknologjisë</w:t>
      </w:r>
      <w:proofErr w:type="spellEnd"/>
      <w:r>
        <w:t xml:space="preserve"> Informative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Departamenti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Burimeve</w:t>
      </w:r>
      <w:proofErr w:type="spellEnd"/>
      <w:r>
        <w:t xml:space="preserve"> </w:t>
      </w:r>
      <w:proofErr w:type="spellStart"/>
      <w:r>
        <w:t>Njerëzore</w:t>
      </w:r>
      <w:proofErr w:type="spellEnd"/>
      <w:r>
        <w:t xml:space="preserve">.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departament</w:t>
      </w:r>
      <w:proofErr w:type="spellEnd"/>
      <w:r>
        <w:t xml:space="preserve"> </w:t>
      </w:r>
      <w:proofErr w:type="spellStart"/>
      <w:r>
        <w:t>udhëhiqet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Drejtor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punësuar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Shefi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me </w:t>
      </w:r>
      <w:proofErr w:type="spellStart"/>
      <w:r>
        <w:t>kontratë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skemë</w:t>
      </w:r>
      <w:proofErr w:type="spellEnd"/>
      <w:r>
        <w:t xml:space="preserve"> </w:t>
      </w:r>
      <w:proofErr w:type="spellStart"/>
      <w:r>
        <w:t>kompenzimi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miratuar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.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organizative</w:t>
      </w:r>
      <w:proofErr w:type="spellEnd"/>
      <w:r>
        <w:t xml:space="preserve"> </w:t>
      </w:r>
      <w:proofErr w:type="spellStart"/>
      <w:r>
        <w:t>bashkë</w:t>
      </w:r>
      <w:proofErr w:type="spellEnd"/>
      <w:r>
        <w:t xml:space="preserve"> me </w:t>
      </w:r>
      <w:proofErr w:type="spellStart"/>
      <w:r>
        <w:t>detyrat</w:t>
      </w:r>
      <w:proofErr w:type="spellEnd"/>
      <w:r>
        <w:t xml:space="preserve"> e </w:t>
      </w:r>
      <w:proofErr w:type="spellStart"/>
      <w:r>
        <w:t>departamenteve</w:t>
      </w:r>
      <w:proofErr w:type="spellEnd"/>
      <w:r>
        <w:t xml:space="preserve"> </w:t>
      </w:r>
      <w:proofErr w:type="spellStart"/>
      <w:r>
        <w:lastRenderedPageBreak/>
        <w:t>dhe</w:t>
      </w:r>
      <w:proofErr w:type="spellEnd"/>
      <w:r>
        <w:t xml:space="preserve"> </w:t>
      </w:r>
      <w:proofErr w:type="spellStart"/>
      <w:r>
        <w:t>kompetencat</w:t>
      </w:r>
      <w:proofErr w:type="spellEnd"/>
      <w:r>
        <w:t xml:space="preserve"> e </w:t>
      </w:r>
      <w:proofErr w:type="spellStart"/>
      <w:r>
        <w:t>Drejtorëve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Karta </w:t>
      </w:r>
      <w:proofErr w:type="spellStart"/>
      <w:r>
        <w:t>Afariste</w:t>
      </w:r>
      <w:proofErr w:type="spellEnd"/>
      <w:r>
        <w:t>.</w:t>
      </w:r>
    </w:p>
    <w:p w14:paraId="752E11F1" w14:textId="77777777" w:rsidR="000E7BCB" w:rsidRDefault="000E7BCB"/>
    <w:p w14:paraId="037352A0" w14:textId="77777777" w:rsidR="000E7BCB" w:rsidRDefault="00A620E4">
      <w:pPr>
        <w:numPr>
          <w:ilvl w:val="3"/>
          <w:numId w:val="19"/>
        </w:numPr>
      </w:pPr>
      <w:r>
        <w:t xml:space="preserve">Si </w:t>
      </w:r>
      <w:proofErr w:type="spellStart"/>
      <w:r>
        <w:t>organizatë</w:t>
      </w:r>
      <w:proofErr w:type="spellEnd"/>
      <w:r>
        <w:t xml:space="preserve">, </w:t>
      </w:r>
      <w:proofErr w:type="spellStart"/>
      <w:r>
        <w:t>Fondi</w:t>
      </w:r>
      <w:proofErr w:type="spellEnd"/>
      <w:r>
        <w:t xml:space="preserve">,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Shefi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zyrtari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përfaqësuesi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autonominë</w:t>
      </w:r>
      <w:proofErr w:type="spellEnd"/>
      <w:r>
        <w:t xml:space="preserve"> e </w:t>
      </w:r>
      <w:proofErr w:type="spellStart"/>
      <w:r>
        <w:t>plotë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marrjen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implementimin</w:t>
      </w:r>
      <w:proofErr w:type="spellEnd"/>
      <w:r>
        <w:t xml:space="preserve"> e </w:t>
      </w:r>
      <w:proofErr w:type="spellStart"/>
      <w:r>
        <w:t>vendimeve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afariste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pajtim</w:t>
      </w:r>
      <w:proofErr w:type="spellEnd"/>
      <w:r>
        <w:t xml:space="preserve"> me </w:t>
      </w:r>
      <w:proofErr w:type="spellStart"/>
      <w:r>
        <w:t>Qëllimet</w:t>
      </w:r>
      <w:proofErr w:type="spellEnd"/>
      <w:r>
        <w:t xml:space="preserve">, </w:t>
      </w:r>
      <w:proofErr w:type="spellStart"/>
      <w:r>
        <w:t>strategjitë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kornizat</w:t>
      </w:r>
      <w:proofErr w:type="spellEnd"/>
      <w:r>
        <w:t xml:space="preserve"> e </w:t>
      </w:r>
      <w:proofErr w:type="spellStart"/>
      <w:r>
        <w:t>vendosura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, </w:t>
      </w:r>
      <w:proofErr w:type="spellStart"/>
      <w:r>
        <w:t>Kartës</w:t>
      </w:r>
      <w:proofErr w:type="spellEnd"/>
      <w:r>
        <w:t xml:space="preserve"> </w:t>
      </w:r>
      <w:proofErr w:type="spellStart"/>
      <w:r>
        <w:t>Afariste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legjislacionit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>.</w:t>
      </w:r>
    </w:p>
    <w:p w14:paraId="7A357234" w14:textId="77777777" w:rsidR="000E7BCB" w:rsidRDefault="000E7BCB"/>
    <w:p w14:paraId="6F6B29ED" w14:textId="77777777" w:rsidR="000E7BCB" w:rsidRDefault="00A620E4">
      <w:r>
        <w:t xml:space="preserve"> </w:t>
      </w:r>
    </w:p>
    <w:p w14:paraId="7D345ECE" w14:textId="77777777" w:rsidR="000E7BCB" w:rsidRDefault="00A620E4">
      <w:pPr>
        <w:numPr>
          <w:ilvl w:val="0"/>
          <w:numId w:val="19"/>
        </w:numPr>
      </w:pPr>
      <w:proofErr w:type="spellStart"/>
      <w:r>
        <w:t>Asetet</w:t>
      </w:r>
      <w:proofErr w:type="spellEnd"/>
    </w:p>
    <w:p w14:paraId="5D2612D3" w14:textId="77777777" w:rsidR="000E7BCB" w:rsidRDefault="000E7BCB"/>
    <w:p w14:paraId="18AD0A96" w14:textId="77777777" w:rsidR="000E7BCB" w:rsidRDefault="00A620E4">
      <w:pPr>
        <w:numPr>
          <w:ilvl w:val="3"/>
          <w:numId w:val="19"/>
        </w:numPr>
      </w:pPr>
      <w:proofErr w:type="spellStart"/>
      <w:r>
        <w:t>Asetet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instrumentet</w:t>
      </w:r>
      <w:proofErr w:type="spellEnd"/>
      <w:r>
        <w:t xml:space="preserve"> me </w:t>
      </w:r>
      <w:proofErr w:type="spellStart"/>
      <w:r>
        <w:t>vlerë</w:t>
      </w:r>
      <w:proofErr w:type="spellEnd"/>
      <w:r>
        <w:t xml:space="preserve">, </w:t>
      </w:r>
      <w:proofErr w:type="spellStart"/>
      <w:r>
        <w:t>likuide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jo-</w:t>
      </w:r>
      <w:proofErr w:type="spellStart"/>
      <w:r>
        <w:t>likuide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portfolin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. </w:t>
      </w:r>
      <w:proofErr w:type="spellStart"/>
      <w:r>
        <w:t>Portfoli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përdorët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, </w:t>
      </w:r>
      <w:proofErr w:type="spellStart"/>
      <w:r>
        <w:t>përfshin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asetet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jo-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: </w:t>
      </w:r>
      <w:proofErr w:type="spellStart"/>
      <w:r>
        <w:t>keshi</w:t>
      </w:r>
      <w:proofErr w:type="spellEnd"/>
      <w:r>
        <w:t xml:space="preserve">, </w:t>
      </w:r>
      <w:proofErr w:type="spellStart"/>
      <w:r>
        <w:t>asetet</w:t>
      </w:r>
      <w:proofErr w:type="spellEnd"/>
      <w:r>
        <w:t xml:space="preserve"> e </w:t>
      </w:r>
      <w:proofErr w:type="spellStart"/>
      <w:r>
        <w:t>patundshme</w:t>
      </w:r>
      <w:proofErr w:type="spellEnd"/>
      <w:r>
        <w:t xml:space="preserve">, </w:t>
      </w:r>
      <w:proofErr w:type="spellStart"/>
      <w:r>
        <w:t>aksione</w:t>
      </w:r>
      <w:proofErr w:type="spellEnd"/>
      <w:r>
        <w:t xml:space="preserve">, bono, </w:t>
      </w:r>
      <w:proofErr w:type="spellStart"/>
      <w:r>
        <w:t>letra</w:t>
      </w:r>
      <w:proofErr w:type="spellEnd"/>
      <w:r>
        <w:t xml:space="preserve"> me </w:t>
      </w:r>
      <w:proofErr w:type="spellStart"/>
      <w:r>
        <w:t>vlerë</w:t>
      </w:r>
      <w:proofErr w:type="spellEnd"/>
      <w:r>
        <w:t xml:space="preserve">,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ndërkombetare</w:t>
      </w:r>
      <w:proofErr w:type="spellEnd"/>
      <w:r>
        <w:t xml:space="preserve"> </w:t>
      </w:r>
      <w:proofErr w:type="spellStart"/>
      <w:r>
        <w:t>etj</w:t>
      </w:r>
      <w:proofErr w:type="spellEnd"/>
      <w:r>
        <w:t>.</w:t>
      </w:r>
    </w:p>
    <w:p w14:paraId="417BDF7A" w14:textId="77777777" w:rsidR="000E7BCB" w:rsidRDefault="000E7BCB"/>
    <w:p w14:paraId="483933FF" w14:textId="77777777" w:rsidR="000E7BCB" w:rsidRDefault="00A620E4">
      <w:pPr>
        <w:numPr>
          <w:ilvl w:val="3"/>
          <w:numId w:val="19"/>
        </w:numPr>
      </w:pPr>
      <w:r>
        <w:t xml:space="preserve">Si </w:t>
      </w:r>
      <w:proofErr w:type="spellStart"/>
      <w:r>
        <w:t>themelues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Kuvendi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parashtron</w:t>
      </w:r>
      <w:proofErr w:type="spellEnd"/>
      <w:r>
        <w:t xml:space="preserve"> </w:t>
      </w:r>
      <w:proofErr w:type="spellStart"/>
      <w:r>
        <w:t>kapitalin</w:t>
      </w:r>
      <w:proofErr w:type="spellEnd"/>
      <w:r>
        <w:t xml:space="preserve"> </w:t>
      </w:r>
      <w:proofErr w:type="spellStart"/>
      <w:r>
        <w:t>fillestar</w:t>
      </w:r>
      <w:proofErr w:type="spellEnd"/>
      <w:r>
        <w:t xml:space="preserve"> </w:t>
      </w:r>
      <w:proofErr w:type="spellStart"/>
      <w:r>
        <w:t>likuid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jo-</w:t>
      </w:r>
      <w:proofErr w:type="spellStart"/>
      <w:r>
        <w:t>likuid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. </w:t>
      </w:r>
      <w:proofErr w:type="spellStart"/>
      <w:r>
        <w:t>Kuvendi</w:t>
      </w:r>
      <w:proofErr w:type="spellEnd"/>
      <w:r>
        <w:t xml:space="preserve"> </w:t>
      </w:r>
      <w:proofErr w:type="spellStart"/>
      <w:r>
        <w:t>vendos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asetet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pronësinë</w:t>
      </w:r>
      <w:proofErr w:type="spellEnd"/>
      <w:r>
        <w:t xml:space="preserve"> e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(</w:t>
      </w:r>
      <w:proofErr w:type="spellStart"/>
      <w:r>
        <w:t>ish-ndërmarrje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, </w:t>
      </w:r>
      <w:proofErr w:type="spellStart"/>
      <w:r>
        <w:t>patundshmëri</w:t>
      </w:r>
      <w:proofErr w:type="spellEnd"/>
      <w:r>
        <w:t xml:space="preserve">, </w:t>
      </w:r>
      <w:proofErr w:type="spellStart"/>
      <w:r>
        <w:t>toka</w:t>
      </w:r>
      <w:proofErr w:type="spellEnd"/>
      <w:r>
        <w:t xml:space="preserve"> </w:t>
      </w:r>
      <w:proofErr w:type="spellStart"/>
      <w:r>
        <w:t>bujqësore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likuide</w:t>
      </w:r>
      <w:proofErr w:type="spellEnd"/>
      <w:r>
        <w:t xml:space="preserve"> e jo-</w:t>
      </w:r>
      <w:proofErr w:type="spellStart"/>
      <w:r>
        <w:t>likuide</w:t>
      </w:r>
      <w:proofErr w:type="spellEnd"/>
      <w:r>
        <w:t xml:space="preserve">)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kalojnë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>.</w:t>
      </w:r>
    </w:p>
    <w:p w14:paraId="558C8DF5" w14:textId="77777777" w:rsidR="000E7BCB" w:rsidRDefault="000E7BCB"/>
    <w:p w14:paraId="0C2EE56C" w14:textId="77777777" w:rsidR="000E7BCB" w:rsidRDefault="00A620E4">
      <w:pPr>
        <w:numPr>
          <w:ilvl w:val="3"/>
          <w:numId w:val="19"/>
        </w:numPr>
      </w:pPr>
      <w:proofErr w:type="spellStart"/>
      <w:r>
        <w:t>Ligji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 </w:t>
      </w:r>
      <w:proofErr w:type="spellStart"/>
      <w:r>
        <w:t>përcakton</w:t>
      </w:r>
      <w:proofErr w:type="spellEnd"/>
      <w:r>
        <w:t xml:space="preserve"> </w:t>
      </w:r>
      <w:proofErr w:type="spellStart"/>
      <w:r>
        <w:t>shumën</w:t>
      </w:r>
      <w:proofErr w:type="spellEnd"/>
      <w:r>
        <w:t xml:space="preserve"> </w:t>
      </w:r>
      <w:proofErr w:type="spellStart"/>
      <w:r>
        <w:t>fillestare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kapitalit</w:t>
      </w:r>
      <w:proofErr w:type="spellEnd"/>
      <w:r>
        <w:t xml:space="preserve"> </w:t>
      </w:r>
      <w:proofErr w:type="spellStart"/>
      <w:r>
        <w:t>likuid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Kuvendi</w:t>
      </w:r>
      <w:proofErr w:type="spellEnd"/>
      <w:r>
        <w:t xml:space="preserve"> </w:t>
      </w:r>
      <w:proofErr w:type="spellStart"/>
      <w:r>
        <w:t>alokon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, duke </w:t>
      </w:r>
      <w:proofErr w:type="spellStart"/>
      <w:r>
        <w:t>ndjekë</w:t>
      </w:r>
      <w:proofErr w:type="spellEnd"/>
      <w:r>
        <w:t xml:space="preserve"> </w:t>
      </w:r>
      <w:proofErr w:type="spellStart"/>
      <w:r>
        <w:t>modelet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Punues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Sovran, apo </w:t>
      </w:r>
      <w:proofErr w:type="spellStart"/>
      <w:r>
        <w:t>ndonjë</w:t>
      </w:r>
      <w:proofErr w:type="spellEnd"/>
      <w:r>
        <w:t xml:space="preserve"> model </w:t>
      </w:r>
      <w:proofErr w:type="spellStart"/>
      <w:r>
        <w:t>tjetër</w:t>
      </w:r>
      <w:proofErr w:type="spellEnd"/>
      <w:r>
        <w:t xml:space="preserve">. </w:t>
      </w:r>
    </w:p>
    <w:p w14:paraId="7E24058C" w14:textId="77777777" w:rsidR="000E7BCB" w:rsidRDefault="000E7BCB"/>
    <w:p w14:paraId="46F5B73B" w14:textId="77777777" w:rsidR="000E7BCB" w:rsidRDefault="00A620E4">
      <w:pPr>
        <w:numPr>
          <w:ilvl w:val="3"/>
          <w:numId w:val="19"/>
        </w:numPr>
      </w:pPr>
      <w:proofErr w:type="spellStart"/>
      <w:r>
        <w:t>Ligji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 </w:t>
      </w:r>
      <w:proofErr w:type="spellStart"/>
      <w:r>
        <w:t>përcakton</w:t>
      </w:r>
      <w:proofErr w:type="spellEnd"/>
      <w:r>
        <w:t xml:space="preserve"> </w:t>
      </w:r>
      <w:proofErr w:type="spellStart"/>
      <w:r>
        <w:t>procedurat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transferin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, </w:t>
      </w:r>
      <w:proofErr w:type="spellStart"/>
      <w:r>
        <w:t>Fondit</w:t>
      </w:r>
      <w:proofErr w:type="spellEnd"/>
      <w:r>
        <w:t xml:space="preserve">. </w:t>
      </w:r>
      <w:proofErr w:type="spellStart"/>
      <w:r>
        <w:t>Transferi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me: </w:t>
      </w:r>
      <w:proofErr w:type="spellStart"/>
      <w:r>
        <w:t>dhurim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, </w:t>
      </w:r>
      <w:proofErr w:type="spellStart"/>
      <w:r>
        <w:t>transaksionit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shitblerjes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vlerës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tregut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shitblerje</w:t>
      </w:r>
      <w:proofErr w:type="spellEnd"/>
      <w:r>
        <w:t xml:space="preserve"> me </w:t>
      </w:r>
      <w:proofErr w:type="spellStart"/>
      <w:r>
        <w:t>çmim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reduktuar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tregut</w:t>
      </w:r>
      <w:proofErr w:type="spellEnd"/>
      <w:r>
        <w:t xml:space="preserve"> (</w:t>
      </w:r>
      <w:r>
        <w:rPr>
          <w:i/>
        </w:rPr>
        <w:t>discounted market price</w:t>
      </w:r>
      <w:r>
        <w:t>).</w:t>
      </w:r>
    </w:p>
    <w:p w14:paraId="5B833783" w14:textId="77777777" w:rsidR="000E7BCB" w:rsidRDefault="000E7BCB"/>
    <w:p w14:paraId="53F577B4" w14:textId="77777777" w:rsidR="000E7BCB" w:rsidRDefault="00A620E4">
      <w:pPr>
        <w:numPr>
          <w:ilvl w:val="3"/>
          <w:numId w:val="19"/>
        </w:numPr>
      </w:pPr>
      <w:proofErr w:type="spellStart"/>
      <w:r>
        <w:lastRenderedPageBreak/>
        <w:t>Çdo</w:t>
      </w:r>
      <w:proofErr w:type="spellEnd"/>
      <w:r>
        <w:t xml:space="preserve"> </w:t>
      </w:r>
      <w:proofErr w:type="spellStart"/>
      <w:r>
        <w:t>transaksion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pranimin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me </w:t>
      </w:r>
      <w:proofErr w:type="spellStart"/>
      <w:r>
        <w:t>aprovim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>.</w:t>
      </w:r>
    </w:p>
    <w:p w14:paraId="0AFE0970" w14:textId="77777777" w:rsidR="000E7BCB" w:rsidRDefault="00A620E4">
      <w:r>
        <w:t xml:space="preserve"> </w:t>
      </w:r>
    </w:p>
    <w:p w14:paraId="4EBCC762" w14:textId="77777777" w:rsidR="000E7BCB" w:rsidRDefault="00A620E4">
      <w:pPr>
        <w:numPr>
          <w:ilvl w:val="3"/>
          <w:numId w:val="19"/>
        </w:numPr>
      </w:pPr>
      <w:proofErr w:type="spellStart"/>
      <w:r>
        <w:t>Bordi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ka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refuzojë</w:t>
      </w:r>
      <w:proofErr w:type="spellEnd"/>
      <w:r>
        <w:t xml:space="preserve"> </w:t>
      </w:r>
      <w:proofErr w:type="spellStart"/>
      <w:r>
        <w:t>ofertën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blerje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pranim</w:t>
      </w:r>
      <w:proofErr w:type="spellEnd"/>
      <w:r>
        <w:t xml:space="preserve"> </w:t>
      </w:r>
      <w:proofErr w:type="spellStart"/>
      <w:r>
        <w:t>aseti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. </w:t>
      </w:r>
      <w:proofErr w:type="spellStart"/>
      <w:r>
        <w:t>Këto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kryesisht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,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,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komercialisht</w:t>
      </w:r>
      <w:proofErr w:type="spellEnd"/>
      <w:r>
        <w:t xml:space="preserve"> jo </w:t>
      </w:r>
      <w:proofErr w:type="spellStart"/>
      <w:r>
        <w:t>premtuese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jo-</w:t>
      </w:r>
      <w:proofErr w:type="spellStart"/>
      <w:r>
        <w:t>viabile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p.sh. </w:t>
      </w:r>
      <w:proofErr w:type="spellStart"/>
      <w:r>
        <w:t>aksione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 me </w:t>
      </w:r>
      <w:proofErr w:type="spellStart"/>
      <w:r>
        <w:t>performansë</w:t>
      </w:r>
      <w:proofErr w:type="spellEnd"/>
      <w:r>
        <w:t xml:space="preserve"> negative </w:t>
      </w:r>
      <w:proofErr w:type="spellStart"/>
      <w:r>
        <w:t>financiare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ristrukturara</w:t>
      </w:r>
      <w:proofErr w:type="spellEnd"/>
      <w:r>
        <w:t xml:space="preserve"> </w:t>
      </w:r>
      <w:proofErr w:type="spellStart"/>
      <w:r>
        <w:t>dhe</w:t>
      </w:r>
      <w:proofErr w:type="spellEnd"/>
      <w:r>
        <w:t>/</w:t>
      </w:r>
      <w:proofErr w:type="spellStart"/>
      <w:r>
        <w:t>ose</w:t>
      </w:r>
      <w:proofErr w:type="spellEnd"/>
      <w:r>
        <w:t xml:space="preserve"> pa plane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qarta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,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pakomercializueshme</w:t>
      </w:r>
      <w:proofErr w:type="spellEnd"/>
      <w:r>
        <w:t xml:space="preserve"> apo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premtojnë</w:t>
      </w:r>
      <w:proofErr w:type="spellEnd"/>
      <w:r>
        <w:t xml:space="preserve"> </w:t>
      </w:r>
      <w:proofErr w:type="spellStart"/>
      <w:r>
        <w:t>kthim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periudhe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arsyeshme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infrastrukturore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veprimtari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funksion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shërbimin</w:t>
      </w:r>
      <w:proofErr w:type="spellEnd"/>
      <w:r>
        <w:t xml:space="preserve"> </w:t>
      </w:r>
      <w:proofErr w:type="spellStart"/>
      <w:r>
        <w:t>publik</w:t>
      </w:r>
      <w:proofErr w:type="spellEnd"/>
      <w:r>
        <w:t>.</w:t>
      </w:r>
    </w:p>
    <w:p w14:paraId="3B39CF32" w14:textId="77777777" w:rsidR="000E7BCB" w:rsidRDefault="000E7BCB"/>
    <w:p w14:paraId="33CE8DC7" w14:textId="77777777" w:rsidR="000E7BCB" w:rsidRDefault="00A620E4">
      <w:pPr>
        <w:numPr>
          <w:ilvl w:val="3"/>
          <w:numId w:val="19"/>
        </w:numPr>
      </w:pPr>
      <w:proofErr w:type="spellStart"/>
      <w:r>
        <w:t>Fusha</w:t>
      </w:r>
      <w:proofErr w:type="spellEnd"/>
      <w:r>
        <w:t xml:space="preserve"> e </w:t>
      </w:r>
      <w:proofErr w:type="spellStart"/>
      <w:r>
        <w:t>veprimtarisë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ekskluzivisht</w:t>
      </w:r>
      <w:proofErr w:type="spellEnd"/>
      <w:r>
        <w:t xml:space="preserve"> ajo e </w:t>
      </w:r>
      <w:proofErr w:type="spellStart"/>
      <w:r>
        <w:t>investitorit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(</w:t>
      </w:r>
      <w:r>
        <w:rPr>
          <w:i/>
        </w:rPr>
        <w:t>financial investor</w:t>
      </w:r>
      <w:r>
        <w:t xml:space="preserve">)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menaxherit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(</w:t>
      </w:r>
      <w:r>
        <w:rPr>
          <w:i/>
        </w:rPr>
        <w:t>asset manager</w:t>
      </w:r>
      <w:r>
        <w:t xml:space="preserve">).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vetëvete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organizon</w:t>
      </w:r>
      <w:proofErr w:type="spellEnd"/>
      <w:r>
        <w:t xml:space="preserve"> e as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merret</w:t>
      </w:r>
      <w:proofErr w:type="spellEnd"/>
      <w:r>
        <w:t xml:space="preserve"> me </w:t>
      </w:r>
      <w:proofErr w:type="spellStart"/>
      <w:r>
        <w:t>aktivitete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, e as me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përditshëm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(</w:t>
      </w:r>
      <w:r>
        <w:rPr>
          <w:i/>
        </w:rPr>
        <w:t>asset handler</w:t>
      </w:r>
      <w:r>
        <w:t xml:space="preserve">). Ky </w:t>
      </w:r>
      <w:proofErr w:type="spellStart"/>
      <w:r>
        <w:t>kufizim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përjashton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drejtën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themelojë</w:t>
      </w:r>
      <w:proofErr w:type="spellEnd"/>
      <w:r>
        <w:t xml:space="preserve">, </w:t>
      </w:r>
      <w:proofErr w:type="spellStart"/>
      <w:r>
        <w:t>vetë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bashkëpronësi</w:t>
      </w:r>
      <w:proofErr w:type="spellEnd"/>
      <w:r>
        <w:t xml:space="preserve">,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marrjen</w:t>
      </w:r>
      <w:proofErr w:type="spellEnd"/>
      <w:r>
        <w:t xml:space="preserve"> me </w:t>
      </w:r>
      <w:proofErr w:type="spellStart"/>
      <w:r>
        <w:t>aktivitete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caktuara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(e </w:t>
      </w:r>
      <w:proofErr w:type="spellStart"/>
      <w:r>
        <w:t>detajuar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>).</w:t>
      </w:r>
    </w:p>
    <w:p w14:paraId="1621D241" w14:textId="77777777" w:rsidR="000E7BCB" w:rsidRDefault="000E7BCB"/>
    <w:p w14:paraId="2A8BBB9D" w14:textId="77777777" w:rsidR="000E7BCB" w:rsidRDefault="00A620E4">
      <w:pPr>
        <w:numPr>
          <w:ilvl w:val="3"/>
          <w:numId w:val="19"/>
        </w:numPr>
      </w:pPr>
      <w:r>
        <w:t xml:space="preserve">Si </w:t>
      </w:r>
      <w:proofErr w:type="spellStart"/>
      <w:r>
        <w:t>investitor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, </w:t>
      </w:r>
      <w:proofErr w:type="spellStart"/>
      <w:r>
        <w:t>Fondi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drejtën</w:t>
      </w:r>
      <w:proofErr w:type="spellEnd"/>
      <w:r>
        <w:t xml:space="preserve"> </w:t>
      </w:r>
      <w:proofErr w:type="spellStart"/>
      <w:r>
        <w:t>ekskluzive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blerjes</w:t>
      </w:r>
      <w:proofErr w:type="spellEnd"/>
      <w:r>
        <w:t xml:space="preserve">, </w:t>
      </w:r>
      <w:proofErr w:type="spellStart"/>
      <w:r>
        <w:t>posedimit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shitjes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tregtare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vend </w:t>
      </w:r>
      <w:proofErr w:type="spellStart"/>
      <w:r>
        <w:t>dhe</w:t>
      </w:r>
      <w:proofErr w:type="spellEnd"/>
      <w:r>
        <w:t xml:space="preserve"> </w:t>
      </w:r>
      <w:proofErr w:type="spellStart"/>
      <w:r>
        <w:t>jashtë</w:t>
      </w:r>
      <w:proofErr w:type="spellEnd"/>
      <w:r>
        <w:t xml:space="preserve"> </w:t>
      </w:r>
      <w:proofErr w:type="spellStart"/>
      <w:r>
        <w:t>vendit</w:t>
      </w:r>
      <w:proofErr w:type="spellEnd"/>
      <w:r>
        <w:t xml:space="preserve">.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përfshijnë</w:t>
      </w:r>
      <w:proofErr w:type="spellEnd"/>
      <w:r>
        <w:t xml:space="preserve">: </w:t>
      </w:r>
      <w:proofErr w:type="spellStart"/>
      <w:r>
        <w:t>aksione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 private (</w:t>
      </w:r>
      <w:r>
        <w:rPr>
          <w:i/>
        </w:rPr>
        <w:t>private investment</w:t>
      </w:r>
      <w:r>
        <w:t xml:space="preserve">)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vendit</w:t>
      </w:r>
      <w:proofErr w:type="spellEnd"/>
      <w:r>
        <w:t xml:space="preserve">, bono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thesarit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emetuara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, </w:t>
      </w:r>
      <w:proofErr w:type="spellStart"/>
      <w:r>
        <w:t>aksione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tregtuara</w:t>
      </w:r>
      <w:proofErr w:type="spellEnd"/>
      <w:r>
        <w:t xml:space="preserve"> </w:t>
      </w:r>
      <w:proofErr w:type="spellStart"/>
      <w:r>
        <w:t>publikisht</w:t>
      </w:r>
      <w:proofErr w:type="spellEnd"/>
      <w:r>
        <w:t xml:space="preserve"> (</w:t>
      </w:r>
      <w:r>
        <w:rPr>
          <w:i/>
        </w:rPr>
        <w:t>publicly traded companies</w:t>
      </w:r>
      <w:r>
        <w:t xml:space="preserve">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brendshme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bono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entiteteve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sovrane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 xml:space="preserve"> </w:t>
      </w:r>
      <w:proofErr w:type="spellStart"/>
      <w:r>
        <w:t>jashtë</w:t>
      </w:r>
      <w:proofErr w:type="spellEnd"/>
      <w:r>
        <w:t xml:space="preserve"> </w:t>
      </w:r>
      <w:proofErr w:type="spellStart"/>
      <w:r>
        <w:t>vendit</w:t>
      </w:r>
      <w:proofErr w:type="spellEnd"/>
      <w:r>
        <w:t xml:space="preserve">. Forma e </w:t>
      </w:r>
      <w:proofErr w:type="spellStart"/>
      <w:r>
        <w:t>investimit</w:t>
      </w:r>
      <w:proofErr w:type="spellEnd"/>
      <w:r>
        <w:t xml:space="preserve"> </w:t>
      </w:r>
      <w:proofErr w:type="spellStart"/>
      <w:r>
        <w:t>kufizohet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kategorisë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 xml:space="preserve">, </w:t>
      </w:r>
      <w:proofErr w:type="spellStart"/>
      <w:r>
        <w:t>siç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Sovran.</w:t>
      </w:r>
    </w:p>
    <w:p w14:paraId="4DA9521F" w14:textId="77777777" w:rsidR="000E7BCB" w:rsidRDefault="000E7BCB">
      <w:pPr>
        <w:rPr>
          <w:i/>
        </w:rPr>
      </w:pPr>
    </w:p>
    <w:p w14:paraId="73C0522A" w14:textId="77777777" w:rsidR="000E7BCB" w:rsidRDefault="00A620E4">
      <w:pPr>
        <w:numPr>
          <w:ilvl w:val="4"/>
          <w:numId w:val="19"/>
        </w:numPr>
      </w:pPr>
      <w:proofErr w:type="spellStart"/>
      <w:r>
        <w:rPr>
          <w:i/>
        </w:rPr>
        <w:t>Asetet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Rezervuara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mbesin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pronësinë</w:t>
      </w:r>
      <w:proofErr w:type="spellEnd"/>
      <w:r>
        <w:t xml:space="preserve"> </w:t>
      </w:r>
      <w:proofErr w:type="spellStart"/>
      <w:r>
        <w:t>ekskluzive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.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ka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shitjen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 e as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pjesshme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hyjnë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me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sigurisë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mbrojtjes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interesit</w:t>
      </w:r>
      <w:proofErr w:type="spellEnd"/>
      <w:r>
        <w:t xml:space="preserve"> </w:t>
      </w:r>
      <w:proofErr w:type="spellStart"/>
      <w:r>
        <w:t>jetik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e sovran. </w:t>
      </w:r>
      <w:proofErr w:type="spellStart"/>
      <w:r>
        <w:t>Përcaktimi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aseti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Kategorisë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Rezervuar</w:t>
      </w:r>
      <w:proofErr w:type="spellEnd"/>
      <w:r>
        <w:t xml:space="preserve"> </w:t>
      </w:r>
      <w:r>
        <w:lastRenderedPageBreak/>
        <w:t xml:space="preserve">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Listës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Rezervuara</w:t>
      </w:r>
      <w:proofErr w:type="spellEnd"/>
      <w:r>
        <w:t xml:space="preserve">, </w:t>
      </w:r>
      <w:proofErr w:type="spellStart"/>
      <w:r>
        <w:t>caktimi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cilës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kompetencë</w:t>
      </w:r>
      <w:proofErr w:type="spellEnd"/>
      <w:r>
        <w:t xml:space="preserve"> </w:t>
      </w:r>
      <w:proofErr w:type="spellStart"/>
      <w:r>
        <w:t>ekskluzive</w:t>
      </w:r>
      <w:proofErr w:type="spellEnd"/>
      <w:r>
        <w:t xml:space="preserve"> e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Kuvendit</w:t>
      </w:r>
      <w:proofErr w:type="spellEnd"/>
      <w:r>
        <w:t xml:space="preserve">.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aprovimin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ndryshimin</w:t>
      </w:r>
      <w:proofErr w:type="spellEnd"/>
      <w:r>
        <w:t xml:space="preserve"> e </w:t>
      </w:r>
      <w:proofErr w:type="spellStart"/>
      <w:r>
        <w:t>Listës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Rezervuara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Ligji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Sovran.</w:t>
      </w:r>
    </w:p>
    <w:p w14:paraId="341D0C78" w14:textId="77777777" w:rsidR="000E7BCB" w:rsidRDefault="000E7BCB"/>
    <w:p w14:paraId="59743122" w14:textId="77777777" w:rsidR="000E7BCB" w:rsidRDefault="00A620E4">
      <w:pPr>
        <w:numPr>
          <w:ilvl w:val="4"/>
          <w:numId w:val="19"/>
        </w:numPr>
      </w:pPr>
      <w:proofErr w:type="spellStart"/>
      <w:r>
        <w:rPr>
          <w:i/>
        </w:rPr>
        <w:t>Asetet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Kategorisë</w:t>
      </w:r>
      <w:proofErr w:type="spellEnd"/>
      <w:r>
        <w:rPr>
          <w:i/>
        </w:rPr>
        <w:t xml:space="preserve"> S</w:t>
      </w:r>
      <w:r>
        <w:t xml:space="preserve"> </w:t>
      </w:r>
      <w:proofErr w:type="spellStart"/>
      <w:r>
        <w:t>konsiderohen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strategjike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me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veçantë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. </w:t>
      </w:r>
      <w:proofErr w:type="spellStart"/>
      <w:r>
        <w:t>Pronësia</w:t>
      </w:r>
      <w:proofErr w:type="spellEnd"/>
      <w:r>
        <w:t xml:space="preserve"> e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mbetet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shkallë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shumicës</w:t>
      </w:r>
      <w:proofErr w:type="spellEnd"/>
      <w:r>
        <w:t xml:space="preserve"> </w:t>
      </w:r>
      <w:proofErr w:type="spellStart"/>
      <w:r>
        <w:t>kontrolluese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kalojë</w:t>
      </w:r>
      <w:proofErr w:type="spellEnd"/>
      <w:r>
        <w:t xml:space="preserve"> </w:t>
      </w:r>
      <w:proofErr w:type="spellStart"/>
      <w:r>
        <w:t>asnjëherë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shkallën</w:t>
      </w:r>
      <w:proofErr w:type="spellEnd"/>
      <w:r>
        <w:t xml:space="preserve"> e </w:t>
      </w:r>
      <w:proofErr w:type="spellStart"/>
      <w:r>
        <w:t>pesëdhjetë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(51)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qind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aksioneve</w:t>
      </w:r>
      <w:proofErr w:type="spellEnd"/>
      <w:r>
        <w:t xml:space="preserve">. </w:t>
      </w:r>
      <w:proofErr w:type="spellStart"/>
      <w:r>
        <w:t>Përcaktimi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aseti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Kategorisë</w:t>
      </w:r>
      <w:proofErr w:type="spellEnd"/>
      <w:r>
        <w:t xml:space="preserve"> S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Listës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Strategjike</w:t>
      </w:r>
      <w:proofErr w:type="spellEnd"/>
      <w:r>
        <w:t xml:space="preserve">, </w:t>
      </w:r>
      <w:proofErr w:type="spellStart"/>
      <w:r>
        <w:t>caktimi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cilës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kompetencë</w:t>
      </w:r>
      <w:proofErr w:type="spellEnd"/>
      <w:r>
        <w:t xml:space="preserve"> e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Kuvendit</w:t>
      </w:r>
      <w:proofErr w:type="spellEnd"/>
      <w:r>
        <w:t xml:space="preserve">.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aprovimin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ndryshimin</w:t>
      </w:r>
      <w:proofErr w:type="spellEnd"/>
      <w:r>
        <w:t xml:space="preserve"> e </w:t>
      </w:r>
      <w:proofErr w:type="spellStart"/>
      <w:r>
        <w:t>Listës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Strategjike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Ligji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Sovran.</w:t>
      </w:r>
    </w:p>
    <w:p w14:paraId="598DC183" w14:textId="77777777" w:rsidR="000E7BCB" w:rsidRDefault="000E7BCB"/>
    <w:p w14:paraId="2E45A877" w14:textId="77777777" w:rsidR="000E7BCB" w:rsidRDefault="00A620E4">
      <w:pPr>
        <w:numPr>
          <w:ilvl w:val="4"/>
          <w:numId w:val="19"/>
        </w:numPr>
      </w:pPr>
      <w:proofErr w:type="spellStart"/>
      <w:r>
        <w:rPr>
          <w:i/>
        </w:rPr>
        <w:t>Asetet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Kategorisë</w:t>
      </w:r>
      <w:proofErr w:type="spellEnd"/>
      <w:r>
        <w:rPr>
          <w:i/>
        </w:rPr>
        <w:t xml:space="preserve"> L</w:t>
      </w:r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blejë</w:t>
      </w:r>
      <w:proofErr w:type="spellEnd"/>
      <w:r>
        <w:t xml:space="preserve">, </w:t>
      </w:r>
      <w:proofErr w:type="spellStart"/>
      <w:r>
        <w:t>posedojë</w:t>
      </w:r>
      <w:proofErr w:type="spellEnd"/>
      <w:r>
        <w:t xml:space="preserve">, </w:t>
      </w:r>
      <w:proofErr w:type="spellStart"/>
      <w:r>
        <w:t>shes</w:t>
      </w:r>
      <w:proofErr w:type="spellEnd"/>
      <w:r>
        <w:t xml:space="preserve">, </w:t>
      </w:r>
      <w:proofErr w:type="spellStart"/>
      <w:r>
        <w:t>japë</w:t>
      </w:r>
      <w:proofErr w:type="spellEnd"/>
      <w:r>
        <w:t xml:space="preserve"> me </w:t>
      </w:r>
      <w:proofErr w:type="spellStart"/>
      <w:r>
        <w:t>qira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kryejë</w:t>
      </w:r>
      <w:proofErr w:type="spellEnd"/>
      <w:r>
        <w:t xml:space="preserve"> </w:t>
      </w:r>
      <w:proofErr w:type="spellStart"/>
      <w:r>
        <w:t>transaksione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lirisht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përfshihen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asetet</w:t>
      </w:r>
      <w:proofErr w:type="spellEnd"/>
      <w:r>
        <w:t xml:space="preserve">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patundshmëria</w:t>
      </w:r>
      <w:proofErr w:type="spellEnd"/>
      <w:r>
        <w:t xml:space="preserve">, </w:t>
      </w:r>
      <w:proofErr w:type="spellStart"/>
      <w:r>
        <w:t>aksionet</w:t>
      </w:r>
      <w:proofErr w:type="spellEnd"/>
      <w:r>
        <w:t xml:space="preserve"> private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vendit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instrumentet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shkëmbyera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tregjet</w:t>
      </w:r>
      <w:proofErr w:type="spellEnd"/>
      <w:r>
        <w:t xml:space="preserve"> </w:t>
      </w:r>
      <w:proofErr w:type="spellStart"/>
      <w:r>
        <w:t>jashtë</w:t>
      </w:r>
      <w:proofErr w:type="spellEnd"/>
      <w:r>
        <w:t xml:space="preserve"> </w:t>
      </w:r>
      <w:proofErr w:type="spellStart"/>
      <w:r>
        <w:t>vendit</w:t>
      </w:r>
      <w:proofErr w:type="spellEnd"/>
      <w:r>
        <w:t xml:space="preserve">. </w:t>
      </w:r>
      <w:proofErr w:type="spellStart"/>
      <w:r>
        <w:t>Përveç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Listën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Rezervuara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Listën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Strategjike</w:t>
      </w:r>
      <w:proofErr w:type="spellEnd"/>
      <w:r>
        <w:t xml:space="preserve">,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konsiderohet</w:t>
      </w:r>
      <w:proofErr w:type="spellEnd"/>
      <w:r>
        <w:t xml:space="preserve"> me </w:t>
      </w:r>
      <w:proofErr w:type="spellStart"/>
      <w:r>
        <w:t>automatizëm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Kategorisë</w:t>
      </w:r>
      <w:proofErr w:type="spellEnd"/>
      <w:r>
        <w:t xml:space="preserve"> L.</w:t>
      </w:r>
    </w:p>
    <w:p w14:paraId="415CA9F5" w14:textId="77777777" w:rsidR="000E7BCB" w:rsidRDefault="000E7BCB"/>
    <w:p w14:paraId="1AF0F5D8" w14:textId="77777777" w:rsidR="000E7BCB" w:rsidRDefault="00A620E4">
      <w:pPr>
        <w:numPr>
          <w:ilvl w:val="4"/>
          <w:numId w:val="19"/>
        </w:numPr>
      </w:pPr>
      <w:proofErr w:type="spellStart"/>
      <w:r>
        <w:t>Çdo</w:t>
      </w:r>
      <w:proofErr w:type="spellEnd"/>
      <w:r>
        <w:t xml:space="preserve"> </w:t>
      </w:r>
      <w:proofErr w:type="spellStart"/>
      <w:r>
        <w:t>transaksion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cilit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tregtimi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Rezervuara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Strategjike</w:t>
      </w:r>
      <w:proofErr w:type="spellEnd"/>
      <w:r>
        <w:t xml:space="preserve"> </w:t>
      </w:r>
      <w:proofErr w:type="spellStart"/>
      <w:r>
        <w:t>jashtë</w:t>
      </w:r>
      <w:proofErr w:type="spellEnd"/>
      <w:r>
        <w:t xml:space="preserve"> </w:t>
      </w:r>
      <w:proofErr w:type="spellStart"/>
      <w:r>
        <w:t>kufijve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Ligji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Sovran,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konsiderohet</w:t>
      </w:r>
      <w:proofErr w:type="spellEnd"/>
      <w:r>
        <w:t xml:space="preserve"> </w:t>
      </w:r>
      <w:proofErr w:type="spellStart"/>
      <w:r>
        <w:t>vepër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, </w:t>
      </w:r>
      <w:proofErr w:type="spellStart"/>
      <w:r>
        <w:t>ndërsa</w:t>
      </w:r>
      <w:proofErr w:type="spellEnd"/>
      <w:r>
        <w:t xml:space="preserve"> </w:t>
      </w:r>
      <w:proofErr w:type="spellStart"/>
      <w:r>
        <w:t>kontratat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konsiderohen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anuluara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juridikisht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peshë</w:t>
      </w:r>
      <w:proofErr w:type="spellEnd"/>
      <w:r>
        <w:t>.</w:t>
      </w:r>
    </w:p>
    <w:p w14:paraId="29143124" w14:textId="77777777" w:rsidR="000E7BCB" w:rsidRDefault="000E7BCB"/>
    <w:p w14:paraId="06AE0B79" w14:textId="77777777" w:rsidR="000E7BCB" w:rsidRDefault="00A620E4">
      <w:pPr>
        <w:numPr>
          <w:ilvl w:val="0"/>
          <w:numId w:val="19"/>
        </w:numPr>
      </w:pPr>
      <w:proofErr w:type="spellStart"/>
      <w:r>
        <w:t>Parimet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strategjive</w:t>
      </w:r>
      <w:proofErr w:type="spellEnd"/>
      <w:r>
        <w:t xml:space="preserve"> </w:t>
      </w:r>
      <w:proofErr w:type="spellStart"/>
      <w:r>
        <w:t>investuese</w:t>
      </w:r>
      <w:proofErr w:type="spellEnd"/>
    </w:p>
    <w:p w14:paraId="5DFAC8D1" w14:textId="77777777" w:rsidR="000E7BCB" w:rsidRDefault="000E7BCB"/>
    <w:p w14:paraId="78F6EC0A" w14:textId="77777777" w:rsidR="000E7BCB" w:rsidRDefault="00A620E4">
      <w:pPr>
        <w:numPr>
          <w:ilvl w:val="3"/>
          <w:numId w:val="19"/>
        </w:numPr>
      </w:pPr>
      <w:proofErr w:type="spellStart"/>
      <w:r>
        <w:t>Pozicionimi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investitor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ai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investitorit</w:t>
      </w:r>
      <w:proofErr w:type="spellEnd"/>
      <w:r>
        <w:t xml:space="preserve"> </w:t>
      </w:r>
      <w:proofErr w:type="spellStart"/>
      <w:r>
        <w:t>afatgjatë</w:t>
      </w:r>
      <w:proofErr w:type="spellEnd"/>
      <w:r>
        <w:t xml:space="preserve">,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vlerën</w:t>
      </w:r>
      <w:proofErr w:type="spellEnd"/>
      <w:r>
        <w:t xml:space="preserve"> </w:t>
      </w:r>
      <w:proofErr w:type="spellStart"/>
      <w:r>
        <w:t>tregtare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asetit</w:t>
      </w:r>
      <w:proofErr w:type="spellEnd"/>
      <w:r>
        <w:t xml:space="preserve">, </w:t>
      </w:r>
      <w:proofErr w:type="spellStart"/>
      <w:r>
        <w:t>qëndrueshmërisë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potencialit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kthim</w:t>
      </w:r>
      <w:proofErr w:type="spellEnd"/>
      <w:r>
        <w:t xml:space="preserve"> </w:t>
      </w:r>
      <w:proofErr w:type="spellStart"/>
      <w:r>
        <w:t>afatgjatë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asnjë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investojë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lastRenderedPageBreak/>
        <w:t>spekulative</w:t>
      </w:r>
      <w:proofErr w:type="spellEnd"/>
      <w:r>
        <w:t xml:space="preserve"> </w:t>
      </w:r>
      <w:proofErr w:type="spellStart"/>
      <w:r>
        <w:t>afatshkurtëra</w:t>
      </w:r>
      <w:proofErr w:type="spellEnd"/>
      <w:r>
        <w:t xml:space="preserve">. </w:t>
      </w:r>
      <w:proofErr w:type="spellStart"/>
      <w:r>
        <w:t>Fondi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ndërmarrë</w:t>
      </w:r>
      <w:proofErr w:type="spellEnd"/>
      <w:r>
        <w:t xml:space="preserve"> </w:t>
      </w:r>
      <w:proofErr w:type="spellStart"/>
      <w:r>
        <w:t>strategji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objektiv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rritjen</w:t>
      </w:r>
      <w:proofErr w:type="spellEnd"/>
      <w:r>
        <w:t xml:space="preserve"> e </w:t>
      </w:r>
      <w:proofErr w:type="spellStart"/>
      <w:r>
        <w:t>transferimit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pasurisë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kapitalit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duke </w:t>
      </w:r>
      <w:proofErr w:type="spellStart"/>
      <w:r>
        <w:t>akumuluar</w:t>
      </w:r>
      <w:proofErr w:type="spellEnd"/>
      <w:r>
        <w:t xml:space="preserve"> apo </w:t>
      </w:r>
      <w:proofErr w:type="spellStart"/>
      <w:r>
        <w:t>transformuar</w:t>
      </w:r>
      <w:proofErr w:type="spellEnd"/>
      <w:r>
        <w:t xml:space="preserve"> </w:t>
      </w:r>
      <w:proofErr w:type="spellStart"/>
      <w:r>
        <w:t>asetet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rritjes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pasurisë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gjeneratave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ardhshme</w:t>
      </w:r>
      <w:proofErr w:type="spellEnd"/>
      <w:r>
        <w:t xml:space="preserve">. </w:t>
      </w:r>
      <w:proofErr w:type="spellStart"/>
      <w:r>
        <w:t>Akumulimi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qëndrueshem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afatgjatë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kapitalit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jo </w:t>
      </w:r>
      <w:proofErr w:type="spellStart"/>
      <w:r>
        <w:t>profitabiliteti</w:t>
      </w:r>
      <w:proofErr w:type="spellEnd"/>
      <w:r>
        <w:t xml:space="preserve"> </w:t>
      </w:r>
      <w:proofErr w:type="spellStart"/>
      <w:r>
        <w:t>afatshkurtër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parime</w:t>
      </w:r>
      <w:proofErr w:type="spellEnd"/>
      <w:r>
        <w:t xml:space="preserve"> </w:t>
      </w:r>
      <w:proofErr w:type="spellStart"/>
      <w:r>
        <w:t>udhëheqëse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strategjive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>.</w:t>
      </w:r>
    </w:p>
    <w:p w14:paraId="33CA2DF9" w14:textId="77777777" w:rsidR="000E7BCB" w:rsidRDefault="000E7BCB"/>
    <w:p w14:paraId="6E528A7D" w14:textId="77777777" w:rsidR="000E7BCB" w:rsidRDefault="00A620E4">
      <w:pPr>
        <w:numPr>
          <w:ilvl w:val="3"/>
          <w:numId w:val="19"/>
        </w:numPr>
      </w:pPr>
      <w:proofErr w:type="spellStart"/>
      <w:r>
        <w:t>Fondi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investojë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brendshme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jashtme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asnjë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ekspozimi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jashtme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kalojë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tretën</w:t>
      </w:r>
      <w:proofErr w:type="spellEnd"/>
      <w:r>
        <w:t xml:space="preserve"> e </w:t>
      </w:r>
      <w:proofErr w:type="spellStart"/>
      <w:r>
        <w:t>vlerës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përgjithshme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asnjë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investojë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jashtme</w:t>
      </w:r>
      <w:proofErr w:type="spellEnd"/>
      <w:r>
        <w:t xml:space="preserve"> jo-</w:t>
      </w:r>
      <w:proofErr w:type="spellStart"/>
      <w:r>
        <w:t>publike</w:t>
      </w:r>
      <w:proofErr w:type="spellEnd"/>
      <w:r>
        <w:t xml:space="preserve"> (</w:t>
      </w:r>
      <w:r>
        <w:rPr>
          <w:i/>
        </w:rPr>
        <w:t>private investment</w:t>
      </w:r>
      <w:r>
        <w:t xml:space="preserve"> –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shkëmbehën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tregje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).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rastin</w:t>
      </w:r>
      <w:proofErr w:type="spellEnd"/>
      <w:r>
        <w:t xml:space="preserve"> e </w:t>
      </w:r>
      <w:proofErr w:type="spellStart"/>
      <w:r>
        <w:t>bonove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instrumenteve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,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lejohet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investimi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bono me </w:t>
      </w:r>
      <w:proofErr w:type="spellStart"/>
      <w:r>
        <w:t>rejting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(risk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ulët</w:t>
      </w:r>
      <w:proofErr w:type="spellEnd"/>
      <w:r>
        <w:t xml:space="preserve">).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portfoli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prihet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prudencës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riskut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menaxhueshëm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transaksione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jashtme</w:t>
      </w:r>
      <w:proofErr w:type="spellEnd"/>
      <w:r>
        <w:t xml:space="preserve">,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angazhojë</w:t>
      </w:r>
      <w:proofErr w:type="spellEnd"/>
      <w:r>
        <w:t xml:space="preserve"> </w:t>
      </w:r>
      <w:proofErr w:type="spellStart"/>
      <w:r>
        <w:t>firmë</w:t>
      </w:r>
      <w:proofErr w:type="spellEnd"/>
      <w:r>
        <w:t xml:space="preserve"> </w:t>
      </w:r>
      <w:proofErr w:type="spellStart"/>
      <w:r>
        <w:t>ndërmjetëse</w:t>
      </w:r>
      <w:proofErr w:type="spellEnd"/>
      <w:r>
        <w:t xml:space="preserve"> (</w:t>
      </w:r>
      <w:r>
        <w:rPr>
          <w:i/>
        </w:rPr>
        <w:t>broker</w:t>
      </w:r>
      <w:r>
        <w:t xml:space="preserve">, </w:t>
      </w:r>
      <w:r>
        <w:rPr>
          <w:i/>
        </w:rPr>
        <w:t>asset manager</w:t>
      </w:r>
      <w:r>
        <w:t xml:space="preserve"> </w:t>
      </w:r>
      <w:proofErr w:type="spellStart"/>
      <w:r>
        <w:t>etj</w:t>
      </w:r>
      <w:proofErr w:type="spellEnd"/>
      <w:r>
        <w:t xml:space="preserve">.),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zbaton</w:t>
      </w:r>
      <w:proofErr w:type="spellEnd"/>
      <w:r>
        <w:t xml:space="preserve"> </w:t>
      </w:r>
      <w:proofErr w:type="spellStart"/>
      <w:r>
        <w:t>transaksionet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emër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kompenzim</w:t>
      </w:r>
      <w:proofErr w:type="spellEnd"/>
      <w:r>
        <w:t xml:space="preserve"> me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arsyeshme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kushteve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volitshme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tregut</w:t>
      </w:r>
      <w:proofErr w:type="spellEnd"/>
      <w:r>
        <w:t>.</w:t>
      </w:r>
    </w:p>
    <w:p w14:paraId="6F97BFDD" w14:textId="77777777" w:rsidR="000E7BCB" w:rsidRDefault="000E7BCB"/>
    <w:p w14:paraId="2BA87533" w14:textId="77777777" w:rsidR="000E7BCB" w:rsidRDefault="00A620E4">
      <w:pPr>
        <w:numPr>
          <w:ilvl w:val="3"/>
          <w:numId w:val="19"/>
        </w:numPr>
      </w:pPr>
      <w:proofErr w:type="spellStart"/>
      <w:r>
        <w:t>Strategjia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 xml:space="preserve"> e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asetet</w:t>
      </w:r>
      <w:proofErr w:type="spellEnd"/>
      <w:r>
        <w:t xml:space="preserve"> e </w:t>
      </w:r>
      <w:proofErr w:type="spellStart"/>
      <w:r>
        <w:t>brendshme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ekuitabile</w:t>
      </w:r>
      <w:proofErr w:type="spellEnd"/>
      <w:r>
        <w:t xml:space="preserve">, </w:t>
      </w:r>
      <w:proofErr w:type="spellStart"/>
      <w:r>
        <w:t>sektorale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orientuar</w:t>
      </w:r>
      <w:proofErr w:type="spellEnd"/>
      <w:r>
        <w:t xml:space="preserve"> </w:t>
      </w:r>
      <w:proofErr w:type="spellStart"/>
      <w:r>
        <w:t>drejt</w:t>
      </w:r>
      <w:proofErr w:type="spellEnd"/>
      <w:r>
        <w:t xml:space="preserve"> </w:t>
      </w:r>
      <w:proofErr w:type="spellStart"/>
      <w:r>
        <w:t>realizimit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qëllimeve</w:t>
      </w:r>
      <w:proofErr w:type="spellEnd"/>
      <w:r>
        <w:t xml:space="preserve"> </w:t>
      </w:r>
      <w:proofErr w:type="spellStart"/>
      <w:r>
        <w:t>afatgjata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atyre</w:t>
      </w:r>
      <w:proofErr w:type="spellEnd"/>
      <w:r>
        <w:t xml:space="preserve"> </w:t>
      </w:r>
      <w:proofErr w:type="spellStart"/>
      <w:r>
        <w:t>zhvillimore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.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mbështetet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parimet</w:t>
      </w:r>
      <w:proofErr w:type="spellEnd"/>
      <w:r>
        <w:t xml:space="preserve"> e </w:t>
      </w:r>
      <w:proofErr w:type="spellStart"/>
      <w:r>
        <w:t>kthimit</w:t>
      </w:r>
      <w:proofErr w:type="spellEnd"/>
      <w:r>
        <w:t xml:space="preserve"> nominal-minimal </w:t>
      </w:r>
      <w:proofErr w:type="spellStart"/>
      <w:r>
        <w:t>nëpërmjet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qasjes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përgjegjshme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përzgjedhjen</w:t>
      </w:r>
      <w:proofErr w:type="spellEnd"/>
      <w:r>
        <w:t xml:space="preserve"> e </w:t>
      </w:r>
      <w:proofErr w:type="spellStart"/>
      <w:r>
        <w:t>instrumenteve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>.</w:t>
      </w:r>
    </w:p>
    <w:p w14:paraId="78A4FF5D" w14:textId="77777777" w:rsidR="000E7BCB" w:rsidRDefault="000E7BCB"/>
    <w:p w14:paraId="6CE58AD1" w14:textId="77777777" w:rsidR="000E7BCB" w:rsidRDefault="00A620E4">
      <w:pPr>
        <w:numPr>
          <w:ilvl w:val="3"/>
          <w:numId w:val="19"/>
        </w:numPr>
      </w:pPr>
      <w:proofErr w:type="spellStart"/>
      <w:r>
        <w:t>Lidhur</w:t>
      </w:r>
      <w:proofErr w:type="spellEnd"/>
      <w:r>
        <w:t xml:space="preserve"> me </w:t>
      </w:r>
      <w:proofErr w:type="spellStart"/>
      <w:r>
        <w:t>strategjinë</w:t>
      </w:r>
      <w:proofErr w:type="spellEnd"/>
      <w:r>
        <w:t xml:space="preserve"> e </w:t>
      </w:r>
      <w:proofErr w:type="spellStart"/>
      <w:r>
        <w:t>brendshme</w:t>
      </w:r>
      <w:proofErr w:type="spellEnd"/>
      <w:r>
        <w:t>:</w:t>
      </w:r>
    </w:p>
    <w:p w14:paraId="3D0B73D4" w14:textId="77777777" w:rsidR="000E7BCB" w:rsidRDefault="000E7BCB"/>
    <w:p w14:paraId="7B676840" w14:textId="77777777" w:rsidR="000E7BCB" w:rsidRDefault="00A620E4">
      <w:pPr>
        <w:numPr>
          <w:ilvl w:val="4"/>
          <w:numId w:val="19"/>
        </w:numPr>
      </w:pPr>
      <w:proofErr w:type="spellStart"/>
      <w:r>
        <w:t>Fondi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pozicione</w:t>
      </w:r>
      <w:proofErr w:type="spellEnd"/>
      <w:r>
        <w:t xml:space="preserve"> </w:t>
      </w:r>
      <w:proofErr w:type="spellStart"/>
      <w:r>
        <w:t>minoritare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SH.A. private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, me </w:t>
      </w:r>
      <w:proofErr w:type="spellStart"/>
      <w:r>
        <w:t>seli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substanciale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kapitalit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ekzistencë</w:t>
      </w:r>
      <w:proofErr w:type="spellEnd"/>
      <w:r>
        <w:t xml:space="preserve"> </w:t>
      </w:r>
      <w:proofErr w:type="spellStart"/>
      <w:r>
        <w:t>aktive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pasqyra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me </w:t>
      </w:r>
      <w:proofErr w:type="spellStart"/>
      <w:r>
        <w:t>auditim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vitet</w:t>
      </w:r>
      <w:proofErr w:type="spellEnd"/>
      <w:r>
        <w:t xml:space="preserve"> e </w:t>
      </w:r>
      <w:proofErr w:type="spellStart"/>
      <w:r>
        <w:t>kaluara</w:t>
      </w:r>
      <w:proofErr w:type="spellEnd"/>
      <w:r>
        <w:t>.</w:t>
      </w:r>
    </w:p>
    <w:p w14:paraId="49175017" w14:textId="77777777" w:rsidR="000E7BCB" w:rsidRDefault="000E7BCB"/>
    <w:p w14:paraId="1E68717A" w14:textId="77777777" w:rsidR="000E7BCB" w:rsidRDefault="00A620E4">
      <w:pPr>
        <w:numPr>
          <w:ilvl w:val="4"/>
          <w:numId w:val="19"/>
        </w:numPr>
      </w:pPr>
      <w:proofErr w:type="spellStart"/>
      <w:r>
        <w:t>Qasja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segment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sektorale</w:t>
      </w:r>
      <w:proofErr w:type="spellEnd"/>
      <w:r>
        <w:t xml:space="preserve">.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krijojë</w:t>
      </w:r>
      <w:proofErr w:type="spellEnd"/>
      <w:r>
        <w:t xml:space="preserve"> </w:t>
      </w:r>
      <w:proofErr w:type="spellStart"/>
      <w:r>
        <w:t>favorizime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treg</w:t>
      </w:r>
      <w:proofErr w:type="spellEnd"/>
      <w:r>
        <w:t xml:space="preserve">, duke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pozicione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t xml:space="preserve"> (</w:t>
      </w:r>
      <w:proofErr w:type="spellStart"/>
      <w:r>
        <w:t>përveç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rastin</w:t>
      </w:r>
      <w:proofErr w:type="spellEnd"/>
      <w:r>
        <w:t xml:space="preserve"> e “</w:t>
      </w:r>
      <w:proofErr w:type="spellStart"/>
      <w:r>
        <w:t>kampionëve</w:t>
      </w:r>
      <w:proofErr w:type="spellEnd"/>
      <w:r>
        <w:t xml:space="preserve"> </w:t>
      </w:r>
      <w:proofErr w:type="spellStart"/>
      <w:r>
        <w:t>nacionalë</w:t>
      </w:r>
      <w:proofErr w:type="spellEnd"/>
      <w:r>
        <w:t xml:space="preserve">” – shih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). </w:t>
      </w:r>
      <w:proofErr w:type="spellStart"/>
      <w:r>
        <w:lastRenderedPageBreak/>
        <w:t>Për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arsye</w:t>
      </w:r>
      <w:proofErr w:type="spellEnd"/>
      <w:r>
        <w:t xml:space="preserve">, </w:t>
      </w:r>
      <w:proofErr w:type="spellStart"/>
      <w:r>
        <w:t>vendimi</w:t>
      </w:r>
      <w:proofErr w:type="spellEnd"/>
      <w:r>
        <w:t xml:space="preserve"> </w:t>
      </w:r>
      <w:proofErr w:type="spellStart"/>
      <w:r>
        <w:t>fillestar</w:t>
      </w:r>
      <w:proofErr w:type="spellEnd"/>
      <w:r>
        <w:t xml:space="preserve"> </w:t>
      </w:r>
      <w:proofErr w:type="spellStart"/>
      <w:r>
        <w:t>investues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sektoral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merr</w:t>
      </w:r>
      <w:proofErr w:type="spellEnd"/>
      <w:r>
        <w:t xml:space="preserve"> </w:t>
      </w:r>
      <w:proofErr w:type="spellStart"/>
      <w:r>
        <w:t>pozicione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barabarta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proporcionale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SH.A. </w:t>
      </w:r>
      <w:proofErr w:type="spellStart"/>
      <w:r>
        <w:t>sektorale</w:t>
      </w:r>
      <w:proofErr w:type="spellEnd"/>
      <w:r>
        <w:t xml:space="preserve"> </w:t>
      </w:r>
      <w:proofErr w:type="spellStart"/>
      <w:r>
        <w:t>njëkohësisht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diapazon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krahasueshëm</w:t>
      </w:r>
      <w:proofErr w:type="spellEnd"/>
      <w:r>
        <w:t xml:space="preserve"> </w:t>
      </w:r>
      <w:proofErr w:type="spellStart"/>
      <w:r>
        <w:t>kohor</w:t>
      </w:r>
      <w:proofErr w:type="spellEnd"/>
      <w:r>
        <w:t xml:space="preserve">. </w:t>
      </w:r>
      <w:proofErr w:type="spellStart"/>
      <w:r>
        <w:t>Kjo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e </w:t>
      </w:r>
      <w:proofErr w:type="spellStart"/>
      <w:r>
        <w:t>pengon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me </w:t>
      </w:r>
      <w:proofErr w:type="spellStart"/>
      <w:r>
        <w:t>kohë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zvogëlojë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eliminojë</w:t>
      </w:r>
      <w:proofErr w:type="spellEnd"/>
      <w:r>
        <w:t xml:space="preserve"> </w:t>
      </w:r>
      <w:proofErr w:type="spellStart"/>
      <w:r>
        <w:t>pozicionet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caktuara</w:t>
      </w:r>
      <w:proofErr w:type="spellEnd"/>
      <w:r>
        <w:t xml:space="preserve">, </w:t>
      </w:r>
      <w:proofErr w:type="spellStart"/>
      <w:r>
        <w:t>performansa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cilave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pakënaqshme</w:t>
      </w:r>
      <w:proofErr w:type="spellEnd"/>
      <w:r>
        <w:t>.</w:t>
      </w:r>
    </w:p>
    <w:p w14:paraId="27D6171C" w14:textId="77777777" w:rsidR="000E7BCB" w:rsidRDefault="000E7BCB"/>
    <w:p w14:paraId="5B415314" w14:textId="77777777" w:rsidR="000E7BCB" w:rsidRDefault="00A620E4">
      <w:pPr>
        <w:numPr>
          <w:ilvl w:val="4"/>
          <w:numId w:val="19"/>
        </w:numPr>
      </w:pPr>
      <w:proofErr w:type="spellStart"/>
      <w:r>
        <w:t>Vendimi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investim</w:t>
      </w:r>
      <w:proofErr w:type="spellEnd"/>
      <w:r>
        <w:t xml:space="preserve"> </w:t>
      </w:r>
      <w:proofErr w:type="spellStart"/>
      <w:r>
        <w:t>sektoral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pasqyrat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performansën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firmave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targetuara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sektorit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planet </w:t>
      </w:r>
      <w:proofErr w:type="spellStart"/>
      <w:r>
        <w:t>afatgjata</w:t>
      </w:r>
      <w:proofErr w:type="spellEnd"/>
      <w:r>
        <w:t xml:space="preserve"> </w:t>
      </w:r>
      <w:proofErr w:type="spellStart"/>
      <w:r>
        <w:t>biznesore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perspektivën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rritjes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kthimit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investim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orientim</w:t>
      </w:r>
      <w:proofErr w:type="spellEnd"/>
      <w:r>
        <w:t xml:space="preserve"> </w:t>
      </w:r>
      <w:proofErr w:type="spellStart"/>
      <w:r>
        <w:t>primar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firmave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tregu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cilin</w:t>
      </w:r>
      <w:proofErr w:type="spellEnd"/>
      <w:r>
        <w:t xml:space="preserve"> </w:t>
      </w:r>
      <w:proofErr w:type="spellStart"/>
      <w:r>
        <w:t>firmat</w:t>
      </w:r>
      <w:proofErr w:type="spellEnd"/>
      <w:r>
        <w:t xml:space="preserve"> e </w:t>
      </w:r>
      <w:proofErr w:type="spellStart"/>
      <w:r>
        <w:t>targetuara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duhej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dëshmojnë</w:t>
      </w:r>
      <w:proofErr w:type="spellEnd"/>
      <w:r>
        <w:t xml:space="preserve">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paraprak</w:t>
      </w:r>
      <w:proofErr w:type="spellEnd"/>
      <w:r>
        <w:t xml:space="preserve"> </w:t>
      </w:r>
      <w:proofErr w:type="spellStart"/>
      <w:r>
        <w:t>disavjeçar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asetet</w:t>
      </w:r>
      <w:proofErr w:type="spellEnd"/>
      <w:r>
        <w:t xml:space="preserve"> e </w:t>
      </w:r>
      <w:proofErr w:type="spellStart"/>
      <w:r>
        <w:t>Kategorisë</w:t>
      </w:r>
      <w:proofErr w:type="spellEnd"/>
      <w:r>
        <w:t xml:space="preserve"> L,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normalisht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investon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orientim</w:t>
      </w:r>
      <w:proofErr w:type="spellEnd"/>
      <w:r>
        <w:t xml:space="preserve"> </w:t>
      </w:r>
      <w:proofErr w:type="spellStart"/>
      <w:r>
        <w:t>ekskluziv</w:t>
      </w:r>
      <w:proofErr w:type="spellEnd"/>
      <w:r>
        <w:t xml:space="preserve"> 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tregun</w:t>
      </w:r>
      <w:proofErr w:type="spellEnd"/>
      <w:r>
        <w:t xml:space="preserve"> e </w:t>
      </w:r>
      <w:proofErr w:type="spellStart"/>
      <w:r>
        <w:t>brendshëm</w:t>
      </w:r>
      <w:proofErr w:type="spellEnd"/>
      <w:r>
        <w:t>.</w:t>
      </w:r>
    </w:p>
    <w:p w14:paraId="741D1229" w14:textId="77777777" w:rsidR="000E7BCB" w:rsidRDefault="000E7BCB"/>
    <w:p w14:paraId="1A4E9E51" w14:textId="77777777" w:rsidR="000E7BCB" w:rsidRDefault="00A620E4">
      <w:pPr>
        <w:numPr>
          <w:ilvl w:val="4"/>
          <w:numId w:val="19"/>
        </w:numPr>
      </w:pPr>
      <w:proofErr w:type="spellStart"/>
      <w:r>
        <w:t>Sektorët</w:t>
      </w:r>
      <w:proofErr w:type="spellEnd"/>
      <w:r>
        <w:t xml:space="preserve"> e </w:t>
      </w:r>
      <w:proofErr w:type="spellStart"/>
      <w:r>
        <w:t>brendshëm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zgjedhur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investime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bëhen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orientimeve</w:t>
      </w:r>
      <w:proofErr w:type="spellEnd"/>
      <w:r>
        <w:t xml:space="preserve"> </w:t>
      </w:r>
      <w:proofErr w:type="spellStart"/>
      <w:r>
        <w:t>zhvillimore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, </w:t>
      </w:r>
      <w:proofErr w:type="spellStart"/>
      <w:r>
        <w:t>prioriteteve</w:t>
      </w:r>
      <w:proofErr w:type="spellEnd"/>
      <w:r>
        <w:t xml:space="preserve"> </w:t>
      </w:r>
      <w:proofErr w:type="spellStart"/>
      <w:r>
        <w:t>tematike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vendosura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potencialit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realizimin</w:t>
      </w:r>
      <w:proofErr w:type="spellEnd"/>
      <w:r>
        <w:t xml:space="preserve"> e </w:t>
      </w:r>
      <w:proofErr w:type="spellStart"/>
      <w:r>
        <w:t>kthimit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investim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>.</w:t>
      </w:r>
    </w:p>
    <w:p w14:paraId="551C40CC" w14:textId="77777777" w:rsidR="000E7BCB" w:rsidRDefault="000E7BCB"/>
    <w:p w14:paraId="37EEB4DE" w14:textId="77777777" w:rsidR="000E7BCB" w:rsidRDefault="00A620E4">
      <w:pPr>
        <w:numPr>
          <w:ilvl w:val="4"/>
          <w:numId w:val="19"/>
        </w:numPr>
      </w:pPr>
      <w:proofErr w:type="spellStart"/>
      <w:r>
        <w:t>Në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SH.A.-</w:t>
      </w:r>
      <w:proofErr w:type="spellStart"/>
      <w:r>
        <w:t>ve</w:t>
      </w:r>
      <w:proofErr w:type="spellEnd"/>
      <w:r>
        <w:t xml:space="preserve"> private,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mbetet</w:t>
      </w:r>
      <w:proofErr w:type="spellEnd"/>
      <w:r>
        <w:t xml:space="preserve"> </w:t>
      </w:r>
      <w:proofErr w:type="spellStart"/>
      <w:r>
        <w:t>investitor</w:t>
      </w:r>
      <w:proofErr w:type="spellEnd"/>
      <w:r>
        <w:t xml:space="preserve"> </w:t>
      </w:r>
      <w:proofErr w:type="spellStart"/>
      <w:r>
        <w:t>minoritar</w:t>
      </w:r>
      <w:proofErr w:type="spellEnd"/>
      <w:r>
        <w:t>, jo-</w:t>
      </w:r>
      <w:proofErr w:type="spellStart"/>
      <w:r>
        <w:t>kontrollues</w:t>
      </w:r>
      <w:proofErr w:type="spellEnd"/>
      <w:r>
        <w:t xml:space="preserve">, me </w:t>
      </w:r>
      <w:proofErr w:type="spellStart"/>
      <w:r>
        <w:t>prani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jo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tridhjetë</w:t>
      </w:r>
      <w:proofErr w:type="spellEnd"/>
      <w:r>
        <w:t xml:space="preserve"> (30)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qind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aksioneve</w:t>
      </w:r>
      <w:proofErr w:type="spellEnd"/>
      <w:r>
        <w:t xml:space="preserve">. </w:t>
      </w:r>
      <w:proofErr w:type="spellStart"/>
      <w:r>
        <w:t>Marrja</w:t>
      </w:r>
      <w:proofErr w:type="spellEnd"/>
      <w:r>
        <w:t xml:space="preserve"> e </w:t>
      </w:r>
      <w:proofErr w:type="spellStart"/>
      <w:r>
        <w:t>pronësisë</w:t>
      </w:r>
      <w:proofErr w:type="spellEnd"/>
      <w:r>
        <w:t xml:space="preserve"> </w:t>
      </w:r>
      <w:proofErr w:type="spellStart"/>
      <w:r>
        <w:t>mazhoritare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SH.A. private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jashtëzakonshme</w:t>
      </w:r>
      <w:proofErr w:type="spellEnd"/>
      <w:r>
        <w:t xml:space="preserve">,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procedurës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jashtëzakonshme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 (e </w:t>
      </w:r>
      <w:proofErr w:type="spellStart"/>
      <w:r>
        <w:t>ngjashme</w:t>
      </w:r>
      <w:proofErr w:type="spellEnd"/>
      <w:r>
        <w:t xml:space="preserve"> me </w:t>
      </w:r>
      <w:proofErr w:type="spellStart"/>
      <w:r>
        <w:t>atë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themelimit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re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,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përshkruhet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),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vendimin</w:t>
      </w:r>
      <w:proofErr w:type="spellEnd"/>
      <w:r>
        <w:t xml:space="preserve"> e </w:t>
      </w:r>
      <w:proofErr w:type="spellStart"/>
      <w:r>
        <w:t>lirë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pronarëve</w:t>
      </w:r>
      <w:proofErr w:type="spellEnd"/>
      <w:r>
        <w:t>.</w:t>
      </w:r>
    </w:p>
    <w:p w14:paraId="5B9D6B8F" w14:textId="77777777" w:rsidR="000E7BCB" w:rsidRDefault="000E7BCB">
      <w:pPr>
        <w:rPr>
          <w:i/>
        </w:rPr>
      </w:pPr>
    </w:p>
    <w:p w14:paraId="41342EA8" w14:textId="77777777" w:rsidR="000E7BCB" w:rsidRDefault="00A620E4">
      <w:pPr>
        <w:numPr>
          <w:ilvl w:val="4"/>
          <w:numId w:val="19"/>
        </w:numPr>
      </w:pPr>
      <w:proofErr w:type="spellStart"/>
      <w:r>
        <w:rPr>
          <w:i/>
        </w:rPr>
        <w:t>Kampionët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nacionalë</w:t>
      </w:r>
      <w:proofErr w:type="spellEnd"/>
      <w:r>
        <w:t xml:space="preserve"> </w:t>
      </w:r>
      <w:proofErr w:type="spellStart"/>
      <w:r>
        <w:t>përbëjnë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e </w:t>
      </w:r>
      <w:proofErr w:type="spellStart"/>
      <w:r>
        <w:t>veçantë</w:t>
      </w:r>
      <w:proofErr w:type="spellEnd"/>
      <w:r>
        <w:t xml:space="preserve"> e </w:t>
      </w:r>
      <w:proofErr w:type="spellStart"/>
      <w:r>
        <w:t>investimit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Kategorisë</w:t>
      </w:r>
      <w:proofErr w:type="spellEnd"/>
      <w:r>
        <w:t xml:space="preserve"> L.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 me </w:t>
      </w:r>
      <w:proofErr w:type="spellStart"/>
      <w:r>
        <w:t>seli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pjesën</w:t>
      </w:r>
      <w:proofErr w:type="spellEnd"/>
      <w:r>
        <w:t xml:space="preserve"> </w:t>
      </w:r>
      <w:proofErr w:type="spellStart"/>
      <w:r>
        <w:t>substanciale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kapitalit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rPr>
          <w:i/>
        </w:rPr>
        <w:t>dëshmuar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vazhdimësi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sukses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afarist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lastRenderedPageBreak/>
        <w:t>dhe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financiar</w:t>
      </w:r>
      <w:proofErr w:type="spellEnd"/>
      <w:r>
        <w:t xml:space="preserve">, me </w:t>
      </w:r>
      <w:proofErr w:type="spellStart"/>
      <w:r>
        <w:rPr>
          <w:i/>
        </w:rPr>
        <w:t>dominancë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qartë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treg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rPr>
          <w:i/>
        </w:rPr>
        <w:t>ndërtuar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fushën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tyre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renome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regjionale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ndërkombëtare</w:t>
      </w:r>
      <w:proofErr w:type="spellEnd"/>
      <w:r>
        <w:t xml:space="preserve">, e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rPr>
          <w:i/>
        </w:rPr>
        <w:t>aktivitet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kryesor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është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prodhimi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shërbimi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tregjet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jashtme</w:t>
      </w:r>
      <w:proofErr w:type="spellEnd"/>
      <w:r>
        <w:t xml:space="preserve">. </w:t>
      </w:r>
      <w:proofErr w:type="spellStart"/>
      <w:r>
        <w:t>Çertifikimi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kampionit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Ministria</w:t>
      </w:r>
      <w:proofErr w:type="spellEnd"/>
      <w:r>
        <w:t xml:space="preserve"> e </w:t>
      </w:r>
      <w:proofErr w:type="spellStart"/>
      <w:r>
        <w:t>Ekonomisë</w:t>
      </w:r>
      <w:proofErr w:type="spellEnd"/>
      <w:r>
        <w:t xml:space="preserve">,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kritereve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vendosura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Ligji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Kampionet</w:t>
      </w:r>
      <w:proofErr w:type="spellEnd"/>
      <w:r>
        <w:t xml:space="preserve"> </w:t>
      </w:r>
      <w:proofErr w:type="spellStart"/>
      <w:r>
        <w:t>Nacionalë</w:t>
      </w:r>
      <w:proofErr w:type="spellEnd"/>
      <w:r>
        <w:t xml:space="preserve"> (</w:t>
      </w:r>
      <w:proofErr w:type="spellStart"/>
      <w:r>
        <w:t>që</w:t>
      </w:r>
      <w:proofErr w:type="spellEnd"/>
      <w:r>
        <w:t xml:space="preserve"> </w:t>
      </w:r>
      <w:proofErr w:type="spellStart"/>
      <w:r>
        <w:t>hartohet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aprovohet</w:t>
      </w:r>
      <w:proofErr w:type="spellEnd"/>
      <w:r>
        <w:t xml:space="preserve"> </w:t>
      </w:r>
      <w:proofErr w:type="spellStart"/>
      <w:r>
        <w:t>veçmas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Ligji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Sovran). </w:t>
      </w:r>
      <w:proofErr w:type="spellStart"/>
      <w:r>
        <w:t>Çertifikimi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Ministria</w:t>
      </w:r>
      <w:proofErr w:type="spellEnd"/>
      <w:r>
        <w:t xml:space="preserve"> e </w:t>
      </w:r>
      <w:proofErr w:type="spellStart"/>
      <w:r>
        <w:t>Ekonomisë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parakusht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njohjen</w:t>
      </w:r>
      <w:proofErr w:type="spellEnd"/>
      <w:r>
        <w:t xml:space="preserve"> e </w:t>
      </w:r>
      <w:proofErr w:type="spellStart"/>
      <w:r>
        <w:t>statusit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kampionit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tilla, </w:t>
      </w:r>
      <w:proofErr w:type="spellStart"/>
      <w:r>
        <w:t>parimi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investimit</w:t>
      </w:r>
      <w:proofErr w:type="spellEnd"/>
      <w:r>
        <w:t xml:space="preserve"> </w:t>
      </w:r>
      <w:proofErr w:type="spellStart"/>
      <w:r>
        <w:t>prihet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ai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përforcimit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avantazhit</w:t>
      </w:r>
      <w:proofErr w:type="spellEnd"/>
      <w:r>
        <w:t xml:space="preserve"> </w:t>
      </w:r>
      <w:proofErr w:type="spellStart"/>
      <w:r>
        <w:t>krahasues</w:t>
      </w:r>
      <w:proofErr w:type="spellEnd"/>
      <w:r>
        <w:t xml:space="preserve"> </w:t>
      </w:r>
      <w:proofErr w:type="spellStart"/>
      <w:r>
        <w:t>ndërkombëtar</w:t>
      </w:r>
      <w:proofErr w:type="spellEnd"/>
      <w:r>
        <w:t xml:space="preserve"> (</w:t>
      </w:r>
      <w:r>
        <w:rPr>
          <w:i/>
        </w:rPr>
        <w:t>international comparative advantage</w:t>
      </w:r>
      <w:r>
        <w:t xml:space="preserve">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tillë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orientohet</w:t>
      </w:r>
      <w:proofErr w:type="spellEnd"/>
      <w:r>
        <w:t xml:space="preserve"> </w:t>
      </w:r>
      <w:proofErr w:type="spellStart"/>
      <w:r>
        <w:t>ekskluzivisht</w:t>
      </w:r>
      <w:proofErr w:type="spellEnd"/>
      <w:r>
        <w:t xml:space="preserve"> me </w:t>
      </w:r>
      <w:proofErr w:type="spellStart"/>
      <w:r>
        <w:t>investime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kampionit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</w:t>
      </w:r>
      <w:proofErr w:type="spellStart"/>
      <w:r>
        <w:t>qoftë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konkurrentëve</w:t>
      </w:r>
      <w:proofErr w:type="spellEnd"/>
      <w:r>
        <w:t xml:space="preserve"> </w:t>
      </w:r>
      <w:proofErr w:type="spellStart"/>
      <w:r>
        <w:t>potencialë</w:t>
      </w:r>
      <w:proofErr w:type="spellEnd"/>
      <w:r>
        <w:t xml:space="preserve">.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vendos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tërheq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rialokojë</w:t>
      </w:r>
      <w:proofErr w:type="spellEnd"/>
      <w:r>
        <w:t xml:space="preserve"> </w:t>
      </w:r>
      <w:proofErr w:type="spellStart"/>
      <w:r>
        <w:t>investimet</w:t>
      </w:r>
      <w:proofErr w:type="spellEnd"/>
      <w:r>
        <w:t xml:space="preserve"> </w:t>
      </w:r>
      <w:proofErr w:type="spellStart"/>
      <w:r>
        <w:t>sektorale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e </w:t>
      </w:r>
      <w:proofErr w:type="spellStart"/>
      <w:r>
        <w:t>caktuar</w:t>
      </w:r>
      <w:proofErr w:type="spellEnd"/>
      <w:r>
        <w:t xml:space="preserve"> e </w:t>
      </w:r>
      <w:proofErr w:type="spellStart"/>
      <w:r>
        <w:t>humb</w:t>
      </w:r>
      <w:proofErr w:type="spellEnd"/>
      <w:r>
        <w:t xml:space="preserve"> </w:t>
      </w:r>
      <w:proofErr w:type="spellStart"/>
      <w:r>
        <w:t>statusin</w:t>
      </w:r>
      <w:proofErr w:type="spellEnd"/>
      <w:r>
        <w:t xml:space="preserve"> e </w:t>
      </w:r>
      <w:proofErr w:type="spellStart"/>
      <w:r>
        <w:t>kampionit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>.</w:t>
      </w:r>
    </w:p>
    <w:p w14:paraId="09EEB77B" w14:textId="77777777" w:rsidR="000E7BCB" w:rsidRDefault="000E7BCB"/>
    <w:p w14:paraId="260191FF" w14:textId="77777777" w:rsidR="000E7BCB" w:rsidRDefault="00A620E4">
      <w:pPr>
        <w:numPr>
          <w:ilvl w:val="3"/>
          <w:numId w:val="19"/>
        </w:numPr>
      </w:pPr>
      <w:proofErr w:type="spellStart"/>
      <w:r>
        <w:t>Lidhur</w:t>
      </w:r>
      <w:proofErr w:type="spellEnd"/>
      <w:r>
        <w:t xml:space="preserve"> me </w:t>
      </w:r>
      <w:proofErr w:type="spellStart"/>
      <w:r>
        <w:t>ndërveprimin</w:t>
      </w:r>
      <w:proofErr w:type="spellEnd"/>
      <w:r>
        <w:t xml:space="preserve"> me </w:t>
      </w:r>
      <w:proofErr w:type="spellStart"/>
      <w:r>
        <w:t>tregjet</w:t>
      </w:r>
      <w:proofErr w:type="spellEnd"/>
      <w:r>
        <w:t xml:space="preserve"> e </w:t>
      </w:r>
      <w:proofErr w:type="spellStart"/>
      <w:r>
        <w:t>jashtme</w:t>
      </w:r>
      <w:proofErr w:type="spellEnd"/>
      <w:r>
        <w:t xml:space="preserve">, </w:t>
      </w:r>
      <w:proofErr w:type="spellStart"/>
      <w:r>
        <w:t>Fondi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përqëndrohet</w:t>
      </w:r>
      <w:proofErr w:type="spellEnd"/>
      <w:r>
        <w:t xml:space="preserve"> </w:t>
      </w:r>
      <w:proofErr w:type="spellStart"/>
      <w:r>
        <w:t>në</w:t>
      </w:r>
      <w:proofErr w:type="spellEnd"/>
      <w:r>
        <w:t>:</w:t>
      </w:r>
    </w:p>
    <w:p w14:paraId="254AB2D6" w14:textId="77777777" w:rsidR="000E7BCB" w:rsidRDefault="000E7BCB"/>
    <w:p w14:paraId="3DBB955B" w14:textId="77777777" w:rsidR="000E7BCB" w:rsidRDefault="00A620E4">
      <w:pPr>
        <w:numPr>
          <w:ilvl w:val="4"/>
          <w:numId w:val="19"/>
        </w:numPr>
      </w:pPr>
      <w:proofErr w:type="spellStart"/>
      <w:r>
        <w:t>Tregjet</w:t>
      </w:r>
      <w:proofErr w:type="spellEnd"/>
      <w:r>
        <w:t xml:space="preserve"> e </w:t>
      </w:r>
      <w:proofErr w:type="spellStart"/>
      <w:r>
        <w:t>Ekuitetit</w:t>
      </w:r>
      <w:proofErr w:type="spellEnd"/>
      <w:r>
        <w:t xml:space="preserve"> (</w:t>
      </w:r>
      <w:r>
        <w:rPr>
          <w:i/>
        </w:rPr>
        <w:t>Equity Markets</w:t>
      </w:r>
      <w:r>
        <w:t xml:space="preserve">)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blerja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shkëmbimi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aksioneve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portofole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kompani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pjesëmarrëse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lojtarë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rëndësishëm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tregun</w:t>
      </w:r>
      <w:proofErr w:type="spellEnd"/>
      <w:r>
        <w:t xml:space="preserve"> global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aksioneve</w:t>
      </w:r>
      <w:proofErr w:type="spellEnd"/>
      <w:r>
        <w:t>.</w:t>
      </w:r>
    </w:p>
    <w:p w14:paraId="605DA730" w14:textId="77777777" w:rsidR="000E7BCB" w:rsidRDefault="000E7BCB"/>
    <w:p w14:paraId="03E3C232" w14:textId="77777777" w:rsidR="000E7BCB" w:rsidRDefault="00A620E4">
      <w:pPr>
        <w:numPr>
          <w:ilvl w:val="4"/>
          <w:numId w:val="19"/>
        </w:numPr>
      </w:pPr>
      <w:proofErr w:type="spellStart"/>
      <w:r>
        <w:t>Tregjet</w:t>
      </w:r>
      <w:proofErr w:type="spellEnd"/>
      <w:r>
        <w:t xml:space="preserve"> e </w:t>
      </w:r>
      <w:proofErr w:type="spellStart"/>
      <w:r>
        <w:t>Bonove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Thesarit</w:t>
      </w:r>
      <w:proofErr w:type="spellEnd"/>
      <w:r>
        <w:t xml:space="preserve"> (</w:t>
      </w:r>
      <w:r>
        <w:rPr>
          <w:i/>
        </w:rPr>
        <w:t>Bond Markets</w:t>
      </w:r>
      <w:r>
        <w:t>).</w:t>
      </w:r>
    </w:p>
    <w:p w14:paraId="539D9EE7" w14:textId="77777777" w:rsidR="000E7BCB" w:rsidRDefault="000E7BCB"/>
    <w:p w14:paraId="60E5DA3C" w14:textId="77777777" w:rsidR="000E7BCB" w:rsidRDefault="00A620E4">
      <w:pPr>
        <w:numPr>
          <w:ilvl w:val="4"/>
          <w:numId w:val="19"/>
        </w:numPr>
      </w:pPr>
      <w:proofErr w:type="spellStart"/>
      <w:r>
        <w:t>Tregjet</w:t>
      </w:r>
      <w:proofErr w:type="spellEnd"/>
      <w:r>
        <w:t xml:space="preserve"> e </w:t>
      </w:r>
      <w:proofErr w:type="spellStart"/>
      <w:r>
        <w:t>Shkëmbimeve</w:t>
      </w:r>
      <w:proofErr w:type="spellEnd"/>
      <w:r>
        <w:t xml:space="preserve"> </w:t>
      </w:r>
      <w:proofErr w:type="spellStart"/>
      <w:r>
        <w:t>Valutore</w:t>
      </w:r>
      <w:proofErr w:type="spellEnd"/>
      <w:r>
        <w:t xml:space="preserve"> (</w:t>
      </w:r>
      <w:r>
        <w:rPr>
          <w:i/>
        </w:rPr>
        <w:t>Foreign Exchange Markets</w:t>
      </w:r>
      <w:r>
        <w:t xml:space="preserve">). </w:t>
      </w:r>
    </w:p>
    <w:p w14:paraId="6CF21339" w14:textId="77777777" w:rsidR="000E7BCB" w:rsidRDefault="000E7BCB"/>
    <w:p w14:paraId="1DD87356" w14:textId="77777777" w:rsidR="000E7BCB" w:rsidRDefault="00A620E4">
      <w:pPr>
        <w:numPr>
          <w:ilvl w:val="4"/>
          <w:numId w:val="19"/>
        </w:numPr>
      </w:pPr>
      <w:proofErr w:type="spellStart"/>
      <w:r>
        <w:t>Tregjet</w:t>
      </w:r>
      <w:proofErr w:type="spellEnd"/>
      <w:r>
        <w:t xml:space="preserve"> </w:t>
      </w:r>
      <w:proofErr w:type="spellStart"/>
      <w:r>
        <w:t>Komplekse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kontratave</w:t>
      </w:r>
      <w:proofErr w:type="spellEnd"/>
      <w:r>
        <w:t>/derivative (</w:t>
      </w:r>
      <w:r>
        <w:rPr>
          <w:i/>
        </w:rPr>
        <w:t>Derivative Markets</w:t>
      </w:r>
      <w:r>
        <w:t xml:space="preserve">), </w:t>
      </w:r>
      <w:proofErr w:type="spellStart"/>
      <w:r>
        <w:t>ku</w:t>
      </w:r>
      <w:proofErr w:type="spellEnd"/>
      <w:r>
        <w:t xml:space="preserve"> </w:t>
      </w:r>
      <w:proofErr w:type="spellStart"/>
      <w:r>
        <w:t>bëjnë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: </w:t>
      </w:r>
      <w:proofErr w:type="spellStart"/>
      <w:r>
        <w:t>Valutat</w:t>
      </w:r>
      <w:proofErr w:type="spellEnd"/>
      <w:r>
        <w:t xml:space="preserve">, </w:t>
      </w:r>
      <w:proofErr w:type="spellStart"/>
      <w:r>
        <w:t>Indicjet</w:t>
      </w:r>
      <w:proofErr w:type="spellEnd"/>
      <w:r>
        <w:t xml:space="preserve">, </w:t>
      </w:r>
      <w:proofErr w:type="spellStart"/>
      <w:r>
        <w:t>Kamatat</w:t>
      </w:r>
      <w:proofErr w:type="spellEnd"/>
      <w:r>
        <w:t xml:space="preserve">, </w:t>
      </w:r>
      <w:proofErr w:type="spellStart"/>
      <w:r>
        <w:t>Ekuitetet</w:t>
      </w:r>
      <w:proofErr w:type="spellEnd"/>
      <w:r>
        <w:t xml:space="preserve">, </w:t>
      </w:r>
      <w:proofErr w:type="spellStart"/>
      <w:r>
        <w:t>Komoditetet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Rrisku</w:t>
      </w:r>
      <w:proofErr w:type="spellEnd"/>
      <w:r>
        <w:t xml:space="preserve"> </w:t>
      </w:r>
      <w:proofErr w:type="spellStart"/>
      <w:r>
        <w:t>Kreditorë</w:t>
      </w:r>
      <w:proofErr w:type="spellEnd"/>
      <w:r>
        <w:t xml:space="preserve">. </w:t>
      </w:r>
    </w:p>
    <w:p w14:paraId="13CD6703" w14:textId="77777777" w:rsidR="000E7BCB" w:rsidRDefault="000E7BCB"/>
    <w:p w14:paraId="49F59D7B" w14:textId="77777777" w:rsidR="000E7BCB" w:rsidRDefault="00A620E4">
      <w:pPr>
        <w:numPr>
          <w:ilvl w:val="4"/>
          <w:numId w:val="19"/>
        </w:numPr>
      </w:pPr>
      <w:proofErr w:type="spellStart"/>
      <w:r>
        <w:t>Tregu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Sigurimeve</w:t>
      </w:r>
      <w:proofErr w:type="spellEnd"/>
      <w:r>
        <w:t xml:space="preserve"> (</w:t>
      </w:r>
      <w:r>
        <w:rPr>
          <w:i/>
        </w:rPr>
        <w:t>Insurance Markets</w:t>
      </w:r>
      <w:r>
        <w:t xml:space="preserve">)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produktet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menaxhojnë</w:t>
      </w:r>
      <w:proofErr w:type="spellEnd"/>
      <w:r>
        <w:t xml:space="preserve"> </w:t>
      </w:r>
      <w:proofErr w:type="spellStart"/>
      <w:r>
        <w:t>rriskun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sektorin</w:t>
      </w:r>
      <w:proofErr w:type="spellEnd"/>
      <w:r>
        <w:t xml:space="preserve"> e </w:t>
      </w:r>
      <w:proofErr w:type="spellStart"/>
      <w:r>
        <w:t>premiumit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sigurimeve</w:t>
      </w:r>
      <w:proofErr w:type="spellEnd"/>
      <w:r>
        <w:t xml:space="preserve">, </w:t>
      </w:r>
      <w:proofErr w:type="spellStart"/>
      <w:r>
        <w:t>kontratave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hybrid-</w:t>
      </w:r>
      <w:proofErr w:type="spellStart"/>
      <w:r>
        <w:t>produkteve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kompanive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mbi-siguruara</w:t>
      </w:r>
      <w:proofErr w:type="spellEnd"/>
      <w:r>
        <w:t>.</w:t>
      </w:r>
    </w:p>
    <w:p w14:paraId="6EA744C8" w14:textId="77777777" w:rsidR="000E7BCB" w:rsidRDefault="000E7BCB"/>
    <w:p w14:paraId="2206A957" w14:textId="77777777" w:rsidR="000E7BCB" w:rsidRDefault="00A620E4">
      <w:pPr>
        <w:numPr>
          <w:ilvl w:val="4"/>
          <w:numId w:val="19"/>
        </w:numPr>
      </w:pPr>
      <w:proofErr w:type="spellStart"/>
      <w:r>
        <w:lastRenderedPageBreak/>
        <w:t>Bankat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(</w:t>
      </w:r>
      <w:r>
        <w:rPr>
          <w:i/>
        </w:rPr>
        <w:t>Retail/Commercial Banks</w:t>
      </w:r>
      <w:r>
        <w:t xml:space="preserve">)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ekspozimi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“</w:t>
      </w:r>
      <w:proofErr w:type="spellStart"/>
      <w:r>
        <w:t>Fondit</w:t>
      </w:r>
      <w:proofErr w:type="spellEnd"/>
      <w:r>
        <w:t xml:space="preserve">”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institucione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merrë</w:t>
      </w:r>
      <w:proofErr w:type="spellEnd"/>
      <w:r>
        <w:t xml:space="preserve"> </w:t>
      </w:r>
      <w:proofErr w:type="spellStart"/>
      <w:r>
        <w:t>formën</w:t>
      </w:r>
      <w:proofErr w:type="spellEnd"/>
      <w:r>
        <w:t xml:space="preserve"> e </w:t>
      </w:r>
      <w:proofErr w:type="spellStart"/>
      <w:r>
        <w:t>blerjes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aksioneve</w:t>
      </w:r>
      <w:proofErr w:type="spellEnd"/>
      <w:r>
        <w:t xml:space="preserve"> me </w:t>
      </w:r>
      <w:proofErr w:type="spellStart"/>
      <w:r>
        <w:t>vlerë</w:t>
      </w:r>
      <w:proofErr w:type="spellEnd"/>
      <w:r>
        <w:t>/</w:t>
      </w:r>
      <w:proofErr w:type="spellStart"/>
      <w:r>
        <w:t>kthim</w:t>
      </w:r>
      <w:proofErr w:type="spellEnd"/>
      <w:r>
        <w:t xml:space="preserve"> solid </w:t>
      </w:r>
      <w:proofErr w:type="spellStart"/>
      <w:r>
        <w:t>afat-mesëm</w:t>
      </w:r>
      <w:proofErr w:type="spellEnd"/>
      <w:r>
        <w:t xml:space="preserve">, </w:t>
      </w:r>
      <w:proofErr w:type="spellStart"/>
      <w:r>
        <w:t>blerje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produkteve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sigurimeve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pjesëmarrje</w:t>
      </w:r>
      <w:proofErr w:type="spellEnd"/>
      <w:r>
        <w:t xml:space="preserve"> </w:t>
      </w:r>
      <w:proofErr w:type="spellStart"/>
      <w:r>
        <w:t>tranzaksionale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hua-marrje</w:t>
      </w:r>
      <w:proofErr w:type="spellEnd"/>
      <w:r>
        <w:t>.</w:t>
      </w:r>
    </w:p>
    <w:p w14:paraId="749B2BAB" w14:textId="77777777" w:rsidR="000E7BCB" w:rsidRDefault="000E7BCB"/>
    <w:p w14:paraId="7FE740BE" w14:textId="77777777" w:rsidR="000E7BCB" w:rsidRDefault="00A620E4">
      <w:pPr>
        <w:numPr>
          <w:ilvl w:val="4"/>
          <w:numId w:val="19"/>
        </w:numPr>
      </w:pPr>
      <w:proofErr w:type="spellStart"/>
      <w:r>
        <w:t>Fondet</w:t>
      </w:r>
      <w:proofErr w:type="spellEnd"/>
      <w:r>
        <w:t xml:space="preserve"> e </w:t>
      </w:r>
      <w:proofErr w:type="spellStart"/>
      <w:r>
        <w:t>Kursimeve</w:t>
      </w:r>
      <w:proofErr w:type="spellEnd"/>
      <w:r>
        <w:t xml:space="preserve"> (</w:t>
      </w:r>
      <w:r>
        <w:rPr>
          <w:i/>
        </w:rPr>
        <w:t>Savings Institutions</w:t>
      </w:r>
      <w:r>
        <w:t xml:space="preserve">)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ekspozimi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institucione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merrë</w:t>
      </w:r>
      <w:proofErr w:type="spellEnd"/>
      <w:r>
        <w:t xml:space="preserve"> </w:t>
      </w:r>
      <w:proofErr w:type="spellStart"/>
      <w:r>
        <w:t>formën</w:t>
      </w:r>
      <w:proofErr w:type="spellEnd"/>
      <w:r>
        <w:t xml:space="preserve"> e </w:t>
      </w:r>
      <w:proofErr w:type="spellStart"/>
      <w:r>
        <w:t>blerjes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aksioneve</w:t>
      </w:r>
      <w:proofErr w:type="spellEnd"/>
      <w:r>
        <w:t xml:space="preserve"> me </w:t>
      </w:r>
      <w:proofErr w:type="spellStart"/>
      <w:r>
        <w:t>vlerë</w:t>
      </w:r>
      <w:proofErr w:type="spellEnd"/>
      <w:r>
        <w:t>/</w:t>
      </w:r>
      <w:proofErr w:type="spellStart"/>
      <w:r>
        <w:t>kthim</w:t>
      </w:r>
      <w:proofErr w:type="spellEnd"/>
      <w:r>
        <w:t xml:space="preserve"> solid </w:t>
      </w:r>
      <w:proofErr w:type="spellStart"/>
      <w:r>
        <w:t>afat-mesëm</w:t>
      </w:r>
      <w:proofErr w:type="spellEnd"/>
      <w:r>
        <w:t xml:space="preserve">, </w:t>
      </w:r>
      <w:proofErr w:type="spellStart"/>
      <w:r>
        <w:t>blerje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produkteve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sigurimeve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pjesëmarrje</w:t>
      </w:r>
      <w:proofErr w:type="spellEnd"/>
      <w:r>
        <w:t xml:space="preserve"> </w:t>
      </w:r>
      <w:proofErr w:type="spellStart"/>
      <w:r>
        <w:t>tranzaksionale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hua-marrje</w:t>
      </w:r>
      <w:proofErr w:type="spellEnd"/>
      <w:r>
        <w:t>.</w:t>
      </w:r>
    </w:p>
    <w:p w14:paraId="65ABC284" w14:textId="77777777" w:rsidR="000E7BCB" w:rsidRDefault="000E7BCB"/>
    <w:p w14:paraId="095227C9" w14:textId="77777777" w:rsidR="000E7BCB" w:rsidRDefault="00A620E4">
      <w:pPr>
        <w:numPr>
          <w:ilvl w:val="4"/>
          <w:numId w:val="19"/>
        </w:numPr>
      </w:pPr>
      <w:proofErr w:type="spellStart"/>
      <w:r>
        <w:t>Huadhënësit</w:t>
      </w:r>
      <w:proofErr w:type="spellEnd"/>
      <w:r>
        <w:t xml:space="preserve"> e </w:t>
      </w:r>
      <w:proofErr w:type="spellStart"/>
      <w:r>
        <w:t>Ndërduarshëm</w:t>
      </w:r>
      <w:proofErr w:type="spellEnd"/>
      <w:r>
        <w:t xml:space="preserve"> (</w:t>
      </w:r>
      <w:r>
        <w:rPr>
          <w:i/>
        </w:rPr>
        <w:t>Peer-to-peer/Crowdfunding</w:t>
      </w:r>
      <w:r>
        <w:t xml:space="preserve">)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ekspozimi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institucione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</w:t>
      </w:r>
      <w:proofErr w:type="spellEnd"/>
      <w:r>
        <w:t xml:space="preserve"> </w:t>
      </w:r>
      <w:proofErr w:type="spellStart"/>
      <w:r>
        <w:t>formën</w:t>
      </w:r>
      <w:proofErr w:type="spellEnd"/>
      <w:r>
        <w:t xml:space="preserve"> e </w:t>
      </w:r>
      <w:proofErr w:type="spellStart"/>
      <w:r>
        <w:t>blerjes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aksioneve</w:t>
      </w:r>
      <w:proofErr w:type="spellEnd"/>
      <w:r>
        <w:t xml:space="preserve"> me </w:t>
      </w:r>
      <w:proofErr w:type="spellStart"/>
      <w:r>
        <w:t>vlerë</w:t>
      </w:r>
      <w:proofErr w:type="spellEnd"/>
      <w:r>
        <w:t>/</w:t>
      </w:r>
      <w:proofErr w:type="spellStart"/>
      <w:r>
        <w:t>kthim</w:t>
      </w:r>
      <w:proofErr w:type="spellEnd"/>
      <w:r>
        <w:t xml:space="preserve"> solid </w:t>
      </w:r>
      <w:proofErr w:type="spellStart"/>
      <w:r>
        <w:t>afat-mesëm</w:t>
      </w:r>
      <w:proofErr w:type="spellEnd"/>
      <w:r>
        <w:t xml:space="preserve">, </w:t>
      </w:r>
      <w:proofErr w:type="spellStart"/>
      <w:r>
        <w:t>blerje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produkteve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sigurimeve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pjesëmarrje</w:t>
      </w:r>
      <w:proofErr w:type="spellEnd"/>
      <w:r>
        <w:t xml:space="preserve"> </w:t>
      </w:r>
      <w:proofErr w:type="spellStart"/>
      <w:r>
        <w:t>tranzaksionale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hua-marrje</w:t>
      </w:r>
      <w:proofErr w:type="spellEnd"/>
      <w:r>
        <w:t>.</w:t>
      </w:r>
    </w:p>
    <w:p w14:paraId="2FCCF7BA" w14:textId="77777777" w:rsidR="000E7BCB" w:rsidRDefault="000E7BCB"/>
    <w:p w14:paraId="65486CC4" w14:textId="77777777" w:rsidR="000E7BCB" w:rsidRDefault="00A620E4">
      <w:pPr>
        <w:numPr>
          <w:ilvl w:val="4"/>
          <w:numId w:val="19"/>
        </w:numPr>
      </w:pPr>
      <w:proofErr w:type="spellStart"/>
      <w:r>
        <w:t>Bankat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 xml:space="preserve"> (</w:t>
      </w:r>
      <w:r>
        <w:rPr>
          <w:i/>
        </w:rPr>
        <w:t>Investment Banks</w:t>
      </w:r>
      <w:r>
        <w:t xml:space="preserve">):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këshillohet</w:t>
      </w:r>
      <w:proofErr w:type="spellEnd"/>
      <w:r>
        <w:t xml:space="preserve">, </w:t>
      </w:r>
      <w:proofErr w:type="spellStart"/>
      <w:r>
        <w:t>konsultohet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angazhojë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institucione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përçuar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interesat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>.</w:t>
      </w:r>
    </w:p>
    <w:p w14:paraId="26817F02" w14:textId="77777777" w:rsidR="000E7BCB" w:rsidRDefault="000E7BCB"/>
    <w:p w14:paraId="50F24778" w14:textId="77777777" w:rsidR="000E7BCB" w:rsidRDefault="00A620E4">
      <w:pPr>
        <w:numPr>
          <w:ilvl w:val="4"/>
          <w:numId w:val="19"/>
        </w:numPr>
      </w:pPr>
      <w:proofErr w:type="spellStart"/>
      <w:r>
        <w:t>Fondet</w:t>
      </w:r>
      <w:proofErr w:type="spellEnd"/>
      <w:r>
        <w:t xml:space="preserve"> </w:t>
      </w:r>
      <w:proofErr w:type="spellStart"/>
      <w:r>
        <w:t>Pensionale</w:t>
      </w:r>
      <w:proofErr w:type="spellEnd"/>
      <w:r>
        <w:t xml:space="preserve"> (</w:t>
      </w:r>
      <w:r>
        <w:rPr>
          <w:i/>
        </w:rPr>
        <w:t>Pension Funds</w:t>
      </w:r>
      <w:r>
        <w:t xml:space="preserve">)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ekspozimi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institucione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merrë</w:t>
      </w:r>
      <w:proofErr w:type="spellEnd"/>
      <w:r>
        <w:t xml:space="preserve"> </w:t>
      </w:r>
      <w:proofErr w:type="spellStart"/>
      <w:r>
        <w:t>formën</w:t>
      </w:r>
      <w:proofErr w:type="spellEnd"/>
      <w:r>
        <w:t xml:space="preserve"> e </w:t>
      </w:r>
      <w:proofErr w:type="spellStart"/>
      <w:r>
        <w:t>blerjes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aksioneve</w:t>
      </w:r>
      <w:proofErr w:type="spellEnd"/>
      <w:r>
        <w:t xml:space="preserve"> me </w:t>
      </w:r>
      <w:proofErr w:type="spellStart"/>
      <w:r>
        <w:t>vlerë</w:t>
      </w:r>
      <w:proofErr w:type="spellEnd"/>
      <w:r>
        <w:t>/</w:t>
      </w:r>
      <w:proofErr w:type="spellStart"/>
      <w:r>
        <w:t>kthim</w:t>
      </w:r>
      <w:proofErr w:type="spellEnd"/>
      <w:r>
        <w:t xml:space="preserve"> solid </w:t>
      </w:r>
      <w:proofErr w:type="spellStart"/>
      <w:r>
        <w:t>afat-mesëm</w:t>
      </w:r>
      <w:proofErr w:type="spellEnd"/>
      <w:r>
        <w:t xml:space="preserve">, </w:t>
      </w:r>
      <w:proofErr w:type="spellStart"/>
      <w:r>
        <w:t>blerje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produkteve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sigurimeve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pjesëmarrje</w:t>
      </w:r>
      <w:proofErr w:type="spellEnd"/>
      <w:r>
        <w:t xml:space="preserve"> </w:t>
      </w:r>
      <w:proofErr w:type="spellStart"/>
      <w:r>
        <w:t>tranzaksionale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hua-marrje</w:t>
      </w:r>
      <w:proofErr w:type="spellEnd"/>
      <w:r>
        <w:t>.</w:t>
      </w:r>
    </w:p>
    <w:p w14:paraId="79AC94F7" w14:textId="77777777" w:rsidR="000E7BCB" w:rsidRDefault="000E7BCB"/>
    <w:p w14:paraId="6CDBC7C8" w14:textId="77777777" w:rsidR="000E7BCB" w:rsidRDefault="00A620E4">
      <w:pPr>
        <w:numPr>
          <w:ilvl w:val="4"/>
          <w:numId w:val="19"/>
        </w:numPr>
      </w:pPr>
      <w:proofErr w:type="spellStart"/>
      <w:r>
        <w:t>Fondet</w:t>
      </w:r>
      <w:proofErr w:type="spellEnd"/>
      <w:r>
        <w:t xml:space="preserve"> </w:t>
      </w:r>
      <w:proofErr w:type="spellStart"/>
      <w:r>
        <w:t>Kushtëzuese-Kompenzuese</w:t>
      </w:r>
      <w:proofErr w:type="spellEnd"/>
      <w:r>
        <w:t xml:space="preserve"> (</w:t>
      </w:r>
      <w:r>
        <w:rPr>
          <w:i/>
        </w:rPr>
        <w:t>Hedge Funds</w:t>
      </w:r>
      <w:r>
        <w:t xml:space="preserve">):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merr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tregje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nëpërmjet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ndërmjetësve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ekspozim</w:t>
      </w:r>
      <w:proofErr w:type="spellEnd"/>
      <w:r>
        <w:t xml:space="preserve"> minimal me </w:t>
      </w:r>
      <w:proofErr w:type="spellStart"/>
      <w:r>
        <w:t>monitorim</w:t>
      </w:r>
      <w:proofErr w:type="spellEnd"/>
      <w:r>
        <w:t xml:space="preserve"> </w:t>
      </w:r>
      <w:proofErr w:type="spellStart"/>
      <w:r>
        <w:t>konsistent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>.</w:t>
      </w:r>
    </w:p>
    <w:p w14:paraId="468C2DD4" w14:textId="77777777" w:rsidR="000E7BCB" w:rsidRDefault="000E7BCB"/>
    <w:p w14:paraId="0AC706B2" w14:textId="77777777" w:rsidR="000E7BCB" w:rsidRDefault="000E7BCB"/>
    <w:p w14:paraId="105884A1" w14:textId="77777777" w:rsidR="000E7BCB" w:rsidRDefault="00A620E4">
      <w:pPr>
        <w:numPr>
          <w:ilvl w:val="0"/>
          <w:numId w:val="19"/>
        </w:numPr>
      </w:pPr>
      <w:proofErr w:type="spellStart"/>
      <w:r>
        <w:t>Menaxhimi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</w:p>
    <w:p w14:paraId="2EE4BD2D" w14:textId="77777777" w:rsidR="000E7BCB" w:rsidRDefault="000E7BCB"/>
    <w:p w14:paraId="183A3307" w14:textId="77777777" w:rsidR="000E7BCB" w:rsidRDefault="00A620E4">
      <w:pPr>
        <w:numPr>
          <w:ilvl w:val="3"/>
          <w:numId w:val="19"/>
        </w:numPr>
      </w:pPr>
      <w:proofErr w:type="spellStart"/>
      <w:r>
        <w:t>Në</w:t>
      </w:r>
      <w:proofErr w:type="spellEnd"/>
      <w:r>
        <w:t xml:space="preserve"> </w:t>
      </w:r>
      <w:proofErr w:type="spellStart"/>
      <w:r>
        <w:t>ndërmarrjet</w:t>
      </w:r>
      <w:proofErr w:type="spellEnd"/>
      <w:r>
        <w:t xml:space="preserve"> (SH.A.) </w:t>
      </w:r>
      <w:proofErr w:type="spellStart"/>
      <w:r>
        <w:t>ku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gëzon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,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ushtron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e </w:t>
      </w:r>
      <w:proofErr w:type="spellStart"/>
      <w:r>
        <w:t>plota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aksionarit</w:t>
      </w:r>
      <w:proofErr w:type="spellEnd"/>
      <w:r>
        <w:t xml:space="preserve">,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përfaqësimin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Bordet </w:t>
      </w:r>
      <w:proofErr w:type="spellStart"/>
      <w:r>
        <w:t>përkatëse</w:t>
      </w:r>
      <w:proofErr w:type="spellEnd"/>
      <w:r>
        <w:t xml:space="preserve">. Por,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përcakton</w:t>
      </w:r>
      <w:proofErr w:type="spellEnd"/>
      <w:r>
        <w:t xml:space="preserve"> </w:t>
      </w:r>
      <w:proofErr w:type="spellStart"/>
      <w:r>
        <w:lastRenderedPageBreak/>
        <w:t>politikat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strategjitë</w:t>
      </w:r>
      <w:proofErr w:type="spellEnd"/>
      <w:r>
        <w:t xml:space="preserve"> </w:t>
      </w:r>
      <w:proofErr w:type="spellStart"/>
      <w:r>
        <w:t>afariste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, e as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merret</w:t>
      </w:r>
      <w:proofErr w:type="spellEnd"/>
      <w:r>
        <w:t xml:space="preserve"> me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veprimtarive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përditshme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ndërhyrjen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aktivitete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kompetencë</w:t>
      </w:r>
      <w:proofErr w:type="spellEnd"/>
      <w:r>
        <w:t xml:space="preserve"> e </w:t>
      </w:r>
      <w:proofErr w:type="spellStart"/>
      <w:r>
        <w:t>menaxhmenteve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>.</w:t>
      </w:r>
    </w:p>
    <w:p w14:paraId="0BC4588E" w14:textId="77777777" w:rsidR="000E7BCB" w:rsidRDefault="000E7BCB"/>
    <w:p w14:paraId="0685FE3B" w14:textId="77777777" w:rsidR="000E7BCB" w:rsidRDefault="00A620E4">
      <w:pPr>
        <w:numPr>
          <w:ilvl w:val="3"/>
          <w:numId w:val="19"/>
        </w:numPr>
      </w:pPr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rolit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mbikëqyrës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ndërmarrjet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gëzon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me </w:t>
      </w:r>
      <w:proofErr w:type="spellStart"/>
      <w:r>
        <w:t>udhëzimet</w:t>
      </w:r>
      <w:proofErr w:type="spellEnd"/>
      <w:r>
        <w:t xml:space="preserve"> e OBZHE-</w:t>
      </w:r>
      <w:proofErr w:type="spellStart"/>
      <w:r>
        <w:t>së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qeverisjen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shtetërore</w:t>
      </w:r>
      <w:proofErr w:type="spellEnd"/>
      <w:r>
        <w:t xml:space="preserve">, </w:t>
      </w:r>
      <w:proofErr w:type="spellStart"/>
      <w:r>
        <w:t>Fondi</w:t>
      </w:r>
      <w:proofErr w:type="spellEnd"/>
      <w:r>
        <w:t xml:space="preserve">,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agjensioneve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veta</w:t>
      </w:r>
      <w:proofErr w:type="spellEnd"/>
      <w:r>
        <w:t>:</w:t>
      </w:r>
    </w:p>
    <w:p w14:paraId="5D76CB37" w14:textId="77777777" w:rsidR="000E7BCB" w:rsidRDefault="000E7BCB"/>
    <w:p w14:paraId="315ED625" w14:textId="77777777" w:rsidR="000E7BCB" w:rsidRDefault="00A620E4">
      <w:pPr>
        <w:numPr>
          <w:ilvl w:val="4"/>
          <w:numId w:val="19"/>
        </w:numPr>
      </w:pPr>
      <w:proofErr w:type="spellStart"/>
      <w:r>
        <w:t>Vendos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zabton</w:t>
      </w:r>
      <w:proofErr w:type="spellEnd"/>
      <w:r>
        <w:t xml:space="preserve"> </w:t>
      </w:r>
      <w:proofErr w:type="spellStart"/>
      <w:r>
        <w:t>procedurat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përzgjedhjen</w:t>
      </w:r>
      <w:proofErr w:type="spellEnd"/>
      <w:r>
        <w:t xml:space="preserve">, </w:t>
      </w:r>
      <w:proofErr w:type="spellStart"/>
      <w:r>
        <w:t>nominimin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emërimin</w:t>
      </w:r>
      <w:proofErr w:type="spellEnd"/>
      <w:r>
        <w:t xml:space="preserve"> e </w:t>
      </w:r>
      <w:proofErr w:type="spellStart"/>
      <w:r>
        <w:t>anëtarëve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Bordeve</w:t>
      </w:r>
      <w:proofErr w:type="spellEnd"/>
      <w:r>
        <w:t xml:space="preserve"> </w:t>
      </w:r>
      <w:proofErr w:type="spellStart"/>
      <w:r>
        <w:t>Mbikëqyrëse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gëzon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shumicë</w:t>
      </w:r>
      <w:proofErr w:type="spellEnd"/>
      <w:r>
        <w:t>.</w:t>
      </w:r>
    </w:p>
    <w:p w14:paraId="1E4A2921" w14:textId="77777777" w:rsidR="000E7BCB" w:rsidRDefault="000E7BCB"/>
    <w:p w14:paraId="1E1888BE" w14:textId="77777777" w:rsidR="000E7BCB" w:rsidRDefault="00A620E4">
      <w:pPr>
        <w:numPr>
          <w:ilvl w:val="4"/>
          <w:numId w:val="19"/>
        </w:numPr>
      </w:pPr>
      <w:proofErr w:type="spellStart"/>
      <w:r>
        <w:t>Vendos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monitoron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mandateve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objektivave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, duke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objektivat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</w:t>
      </w:r>
      <w:proofErr w:type="spellStart"/>
      <w:r>
        <w:t>objektivat</w:t>
      </w:r>
      <w:proofErr w:type="spellEnd"/>
      <w:r>
        <w:t xml:space="preserve"> e </w:t>
      </w:r>
      <w:proofErr w:type="spellStart"/>
      <w:r>
        <w:t>strukturës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kapitalit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nivelet</w:t>
      </w:r>
      <w:proofErr w:type="spellEnd"/>
      <w:r>
        <w:t xml:space="preserve"> e </w:t>
      </w:r>
      <w:proofErr w:type="spellStart"/>
      <w:r>
        <w:t>tolerancës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rrezikut</w:t>
      </w:r>
      <w:proofErr w:type="spellEnd"/>
      <w:r>
        <w:t>.</w:t>
      </w:r>
    </w:p>
    <w:p w14:paraId="2E42ABE1" w14:textId="77777777" w:rsidR="000E7BCB" w:rsidRDefault="000E7BCB"/>
    <w:p w14:paraId="4EC89BD2" w14:textId="77777777" w:rsidR="000E7BCB" w:rsidRDefault="00A620E4">
      <w:pPr>
        <w:numPr>
          <w:ilvl w:val="4"/>
          <w:numId w:val="19"/>
        </w:numPr>
      </w:pPr>
      <w:proofErr w:type="spellStart"/>
      <w:r>
        <w:t>Vendos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monitoron</w:t>
      </w:r>
      <w:proofErr w:type="spellEnd"/>
      <w:r>
        <w:t xml:space="preserve"> </w:t>
      </w:r>
      <w:proofErr w:type="spellStart"/>
      <w:r>
        <w:t>indikatorët</w:t>
      </w:r>
      <w:proofErr w:type="spellEnd"/>
      <w:r>
        <w:t xml:space="preserve"> </w:t>
      </w:r>
      <w:proofErr w:type="spellStart"/>
      <w:r>
        <w:t>kyç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performancës</w:t>
      </w:r>
      <w:proofErr w:type="spellEnd"/>
      <w:r>
        <w:t xml:space="preserve"> (IKP)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secilën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>.</w:t>
      </w:r>
    </w:p>
    <w:p w14:paraId="010EB344" w14:textId="77777777" w:rsidR="000E7BCB" w:rsidRDefault="000E7BCB"/>
    <w:p w14:paraId="2BFFE15D" w14:textId="77777777" w:rsidR="000E7BCB" w:rsidRDefault="00A620E4">
      <w:pPr>
        <w:numPr>
          <w:ilvl w:val="4"/>
          <w:numId w:val="19"/>
        </w:numPr>
      </w:pPr>
      <w:proofErr w:type="spellStart"/>
      <w:r>
        <w:t>Vendos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raportimit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mundësojnë</w:t>
      </w:r>
      <w:proofErr w:type="spellEnd"/>
      <w:r>
        <w:t xml:space="preserve"> </w:t>
      </w:r>
      <w:proofErr w:type="spellStart"/>
      <w:r>
        <w:t>monitorim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kontroll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vlerësim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performancën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pajtueshmërisë</w:t>
      </w:r>
      <w:proofErr w:type="spellEnd"/>
      <w:r>
        <w:t xml:space="preserve"> me </w:t>
      </w:r>
      <w:proofErr w:type="spellStart"/>
      <w:r>
        <w:t>standardet</w:t>
      </w:r>
      <w:proofErr w:type="spellEnd"/>
      <w:r>
        <w:t xml:space="preserve"> e </w:t>
      </w:r>
      <w:proofErr w:type="spellStart"/>
      <w:r>
        <w:t>qeverisjes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>.</w:t>
      </w:r>
    </w:p>
    <w:p w14:paraId="12758654" w14:textId="77777777" w:rsidR="000E7BCB" w:rsidRDefault="000E7BCB"/>
    <w:p w14:paraId="41AF05D1" w14:textId="77777777" w:rsidR="000E7BCB" w:rsidRDefault="00A620E4">
      <w:pPr>
        <w:numPr>
          <w:ilvl w:val="4"/>
          <w:numId w:val="19"/>
        </w:numPr>
      </w:pPr>
      <w:proofErr w:type="spellStart"/>
      <w:r>
        <w:t>Ushtron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aksionari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anëtari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p.sh </w:t>
      </w:r>
      <w:proofErr w:type="spellStart"/>
      <w:r>
        <w:t>paraqitja</w:t>
      </w:r>
      <w:proofErr w:type="spellEnd"/>
      <w:r>
        <w:t xml:space="preserve"> e </w:t>
      </w:r>
      <w:proofErr w:type="spellStart"/>
      <w:r>
        <w:t>kërkesave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auditime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>.</w:t>
      </w:r>
    </w:p>
    <w:p w14:paraId="727EF515" w14:textId="77777777" w:rsidR="000E7BCB" w:rsidRDefault="000E7BCB"/>
    <w:p w14:paraId="0B8D1A2C" w14:textId="77777777" w:rsidR="000E7BCB" w:rsidRDefault="00A620E4">
      <w:pPr>
        <w:numPr>
          <w:ilvl w:val="4"/>
          <w:numId w:val="19"/>
        </w:numPr>
      </w:pPr>
      <w:proofErr w:type="spellStart"/>
      <w:r>
        <w:t>Mban</w:t>
      </w:r>
      <w:proofErr w:type="spellEnd"/>
      <w:r>
        <w:t xml:space="preserve"> </w:t>
      </w:r>
      <w:proofErr w:type="spellStart"/>
      <w:r>
        <w:t>takime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diskutime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rregullta</w:t>
      </w:r>
      <w:proofErr w:type="spellEnd"/>
      <w:r>
        <w:t xml:space="preserve"> me </w:t>
      </w:r>
      <w:proofErr w:type="spellStart"/>
      <w:r>
        <w:t>ndërmarrjet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lëvizjet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>, IKP-</w:t>
      </w:r>
      <w:proofErr w:type="spellStart"/>
      <w:r>
        <w:t>të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çështjet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strategjike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problematike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ndërmarrjet</w:t>
      </w:r>
      <w:proofErr w:type="spellEnd"/>
      <w:r>
        <w:t>.</w:t>
      </w:r>
    </w:p>
    <w:p w14:paraId="3F31C10F" w14:textId="77777777" w:rsidR="000E7BCB" w:rsidRDefault="000E7BCB"/>
    <w:p w14:paraId="72C82354" w14:textId="77777777" w:rsidR="000E7BCB" w:rsidRDefault="00A620E4">
      <w:pPr>
        <w:numPr>
          <w:ilvl w:val="4"/>
          <w:numId w:val="19"/>
        </w:numPr>
      </w:pPr>
      <w:proofErr w:type="spellStart"/>
      <w:r>
        <w:t>Krijon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politikë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qartë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kompensimit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bordet</w:t>
      </w:r>
      <w:proofErr w:type="spellEnd"/>
      <w:r>
        <w:t xml:space="preserve"> e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përmbushë</w:t>
      </w:r>
      <w:proofErr w:type="spellEnd"/>
      <w:r>
        <w:t xml:space="preserve"> </w:t>
      </w:r>
      <w:proofErr w:type="spellStart"/>
      <w:r>
        <w:t>interesat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rekrutohen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mbahen</w:t>
      </w:r>
      <w:proofErr w:type="spellEnd"/>
      <w:r>
        <w:t xml:space="preserve"> </w:t>
      </w:r>
      <w:proofErr w:type="spellStart"/>
      <w:r>
        <w:t>profesionistë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kualifikuar</w:t>
      </w:r>
      <w:proofErr w:type="spellEnd"/>
      <w:r>
        <w:t>.</w:t>
      </w:r>
    </w:p>
    <w:p w14:paraId="03004747" w14:textId="77777777" w:rsidR="000E7BCB" w:rsidRDefault="000E7BCB"/>
    <w:p w14:paraId="3CBB28B7" w14:textId="77777777" w:rsidR="000E7BCB" w:rsidRDefault="00A620E4">
      <w:pPr>
        <w:numPr>
          <w:ilvl w:val="4"/>
          <w:numId w:val="19"/>
        </w:numPr>
      </w:pPr>
      <w:proofErr w:type="spellStart"/>
      <w:r>
        <w:lastRenderedPageBreak/>
        <w:t>Fondi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përmbahet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ndërhyrja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shmangë</w:t>
      </w:r>
      <w:proofErr w:type="spellEnd"/>
      <w:r>
        <w:t xml:space="preserve"> </w:t>
      </w:r>
      <w:proofErr w:type="spellStart"/>
      <w:r>
        <w:t>ripërcaktimin</w:t>
      </w:r>
      <w:proofErr w:type="spellEnd"/>
      <w:r>
        <w:t xml:space="preserve"> e </w:t>
      </w:r>
      <w:proofErr w:type="spellStart"/>
      <w:r>
        <w:t>objektivave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jo </w:t>
      </w:r>
      <w:proofErr w:type="spellStart"/>
      <w:r>
        <w:t>transparente</w:t>
      </w:r>
      <w:proofErr w:type="spellEnd"/>
      <w:r>
        <w:t>.</w:t>
      </w:r>
    </w:p>
    <w:p w14:paraId="7315B79E" w14:textId="77777777" w:rsidR="000E7BCB" w:rsidRDefault="000E7BCB"/>
    <w:p w14:paraId="23320FA7" w14:textId="77777777" w:rsidR="000E7BCB" w:rsidRDefault="00A620E4">
      <w:pPr>
        <w:numPr>
          <w:ilvl w:val="4"/>
          <w:numId w:val="19"/>
        </w:numPr>
      </w:pPr>
      <w:proofErr w:type="spellStart"/>
      <w:r>
        <w:t>Fondi</w:t>
      </w:r>
      <w:proofErr w:type="spellEnd"/>
      <w:r>
        <w:t xml:space="preserve"> do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lërë</w:t>
      </w:r>
      <w:proofErr w:type="spellEnd"/>
      <w:r>
        <w:t xml:space="preserve"> </w:t>
      </w:r>
      <w:proofErr w:type="spellStart"/>
      <w:r>
        <w:t>bordet</w:t>
      </w:r>
      <w:proofErr w:type="spellEnd"/>
      <w:r>
        <w:t xml:space="preserve"> e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ushtrojnë</w:t>
      </w:r>
      <w:proofErr w:type="spellEnd"/>
      <w:r>
        <w:t xml:space="preserve"> </w:t>
      </w:r>
      <w:proofErr w:type="spellStart"/>
      <w:r>
        <w:t>përgjegjësitë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duke e </w:t>
      </w:r>
      <w:proofErr w:type="spellStart"/>
      <w:r>
        <w:t>respektuar</w:t>
      </w:r>
      <w:proofErr w:type="spellEnd"/>
      <w:r>
        <w:t xml:space="preserve"> </w:t>
      </w:r>
      <w:proofErr w:type="spellStart"/>
      <w:r>
        <w:t>pavarësinë</w:t>
      </w:r>
      <w:proofErr w:type="spellEnd"/>
      <w:r>
        <w:t xml:space="preserve"> e </w:t>
      </w:r>
      <w:proofErr w:type="spellStart"/>
      <w:r>
        <w:t>tyre</w:t>
      </w:r>
      <w:proofErr w:type="spellEnd"/>
      <w:r>
        <w:t>.</w:t>
      </w:r>
    </w:p>
    <w:p w14:paraId="528F38D5" w14:textId="77777777" w:rsidR="000E7BCB" w:rsidRDefault="000E7BCB"/>
    <w:p w14:paraId="5B8421F0" w14:textId="77777777" w:rsidR="000E7BCB" w:rsidRDefault="00A620E4">
      <w:pPr>
        <w:numPr>
          <w:ilvl w:val="3"/>
          <w:numId w:val="19"/>
        </w:numPr>
      </w:pPr>
      <w:proofErr w:type="spellStart"/>
      <w:r>
        <w:t>Në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jashtëzakonshme</w:t>
      </w:r>
      <w:proofErr w:type="spellEnd"/>
      <w:r>
        <w:t xml:space="preserve">,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situata</w:t>
      </w:r>
      <w:proofErr w:type="spellEnd"/>
      <w:r>
        <w:t xml:space="preserve"> </w:t>
      </w:r>
      <w:proofErr w:type="spellStart"/>
      <w:r>
        <w:t>aktuale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imanente</w:t>
      </w:r>
      <w:proofErr w:type="spellEnd"/>
      <w:r>
        <w:t xml:space="preserve"> e </w:t>
      </w:r>
      <w:proofErr w:type="spellStart"/>
      <w:r>
        <w:t>insolvencës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ndërmarrjes</w:t>
      </w:r>
      <w:proofErr w:type="spellEnd"/>
      <w:r>
        <w:t xml:space="preserve">, e </w:t>
      </w:r>
      <w:proofErr w:type="spellStart"/>
      <w:r>
        <w:t>nisjes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procesit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falimentimit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/</w:t>
      </w:r>
      <w:proofErr w:type="spellStart"/>
      <w:r>
        <w:t>ose</w:t>
      </w:r>
      <w:proofErr w:type="spellEnd"/>
      <w:r>
        <w:t xml:space="preserve"> </w:t>
      </w:r>
      <w:proofErr w:type="spellStart"/>
      <w:r>
        <w:t>likuidimit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ndërmarrjes</w:t>
      </w:r>
      <w:proofErr w:type="spellEnd"/>
      <w:r>
        <w:t xml:space="preserve">, e </w:t>
      </w:r>
      <w:proofErr w:type="spellStart"/>
      <w:r>
        <w:t>performansës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vazhdueshme</w:t>
      </w:r>
      <w:proofErr w:type="spellEnd"/>
      <w:r>
        <w:t xml:space="preserve"> negative </w:t>
      </w:r>
      <w:proofErr w:type="spellStart"/>
      <w:r>
        <w:t>financiare</w:t>
      </w:r>
      <w:proofErr w:type="spellEnd"/>
      <w:r>
        <w:t xml:space="preserve">, e </w:t>
      </w:r>
      <w:proofErr w:type="spellStart"/>
      <w:r>
        <w:t>veprimeve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agjentëve</w:t>
      </w:r>
      <w:proofErr w:type="spellEnd"/>
      <w:r>
        <w:t xml:space="preserve"> </w:t>
      </w:r>
      <w:proofErr w:type="spellStart"/>
      <w:r>
        <w:t>përfaqësues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e </w:t>
      </w:r>
      <w:proofErr w:type="spellStart"/>
      <w:r>
        <w:t>menaxhmentit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forma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bëjnë</w:t>
      </w:r>
      <w:proofErr w:type="spellEnd"/>
      <w:r>
        <w:t xml:space="preserve"> </w:t>
      </w:r>
      <w:proofErr w:type="spellStart"/>
      <w:r>
        <w:t>dëm</w:t>
      </w:r>
      <w:proofErr w:type="spellEnd"/>
      <w:r>
        <w:t xml:space="preserve"> </w:t>
      </w:r>
      <w:proofErr w:type="spellStart"/>
      <w:r>
        <w:t>substancial</w:t>
      </w:r>
      <w:proofErr w:type="spellEnd"/>
      <w:r>
        <w:t xml:space="preserve"> </w:t>
      </w:r>
      <w:proofErr w:type="spellStart"/>
      <w:r>
        <w:t>interesave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shkaqe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jashtëzakonshme</w:t>
      </w:r>
      <w:proofErr w:type="spellEnd"/>
      <w:r>
        <w:t xml:space="preserve">,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administrim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tillë</w:t>
      </w:r>
      <w:proofErr w:type="spellEnd"/>
      <w:r>
        <w:t xml:space="preserve">,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ushtron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ndërmjetës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funksionet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autorizimet</w:t>
      </w:r>
      <w:proofErr w:type="spellEnd"/>
      <w:r>
        <w:t xml:space="preserve"> </w:t>
      </w:r>
      <w:proofErr w:type="spellStart"/>
      <w:r>
        <w:t>rolin</w:t>
      </w:r>
      <w:proofErr w:type="spellEnd"/>
      <w:r>
        <w:t xml:space="preserve"> e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ndërmarrjes</w:t>
      </w:r>
      <w:proofErr w:type="spellEnd"/>
      <w:r>
        <w:t xml:space="preserve">. </w:t>
      </w:r>
    </w:p>
    <w:p w14:paraId="7716D6DD" w14:textId="77777777" w:rsidR="000E7BCB" w:rsidRDefault="000E7BCB"/>
    <w:p w14:paraId="423DE4F4" w14:textId="77777777" w:rsidR="000E7BCB" w:rsidRDefault="00A620E4">
      <w:pPr>
        <w:numPr>
          <w:ilvl w:val="4"/>
          <w:numId w:val="19"/>
        </w:numPr>
      </w:pP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veprim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tillë</w:t>
      </w:r>
      <w:proofErr w:type="spellEnd"/>
      <w:r>
        <w:t xml:space="preserve">, </w:t>
      </w:r>
      <w:proofErr w:type="spellStart"/>
      <w:r>
        <w:t>Shefi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dërgojë</w:t>
      </w:r>
      <w:proofErr w:type="spellEnd"/>
      <w:r>
        <w:t xml:space="preserve"> </w:t>
      </w:r>
      <w:proofErr w:type="spellStart"/>
      <w:r>
        <w:t>kërkesë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autorizojë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refuzojë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masë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tillë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autorizimit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mase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tillë</w:t>
      </w:r>
      <w:proofErr w:type="spellEnd"/>
      <w:r>
        <w:t xml:space="preserve">,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shkarkon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anëtarët</w:t>
      </w:r>
      <w:proofErr w:type="spellEnd"/>
      <w:r>
        <w:t xml:space="preserve"> e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rolin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 e </w:t>
      </w:r>
      <w:proofErr w:type="spellStart"/>
      <w:r>
        <w:t>ushtron</w:t>
      </w:r>
      <w:proofErr w:type="spellEnd"/>
      <w:r>
        <w:t xml:space="preserve"> </w:t>
      </w:r>
      <w:proofErr w:type="spellStart"/>
      <w:r>
        <w:t>përkohësisht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>.</w:t>
      </w:r>
    </w:p>
    <w:p w14:paraId="5B854A78" w14:textId="77777777" w:rsidR="000E7BCB" w:rsidRDefault="000E7BCB"/>
    <w:p w14:paraId="2386B1AA" w14:textId="77777777" w:rsidR="000E7BCB" w:rsidRDefault="00A620E4">
      <w:pPr>
        <w:numPr>
          <w:ilvl w:val="4"/>
          <w:numId w:val="19"/>
        </w:numPr>
      </w:pPr>
      <w:proofErr w:type="spellStart"/>
      <w:r>
        <w:t>Në</w:t>
      </w:r>
      <w:proofErr w:type="spellEnd"/>
      <w:r>
        <w:t xml:space="preserve"> </w:t>
      </w:r>
      <w:proofErr w:type="spellStart"/>
      <w:r>
        <w:t>asnjë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, </w:t>
      </w:r>
      <w:proofErr w:type="spellStart"/>
      <w:r>
        <w:t>marrja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administrim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ndërmarrjes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domethënë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marrje</w:t>
      </w:r>
      <w:proofErr w:type="spellEnd"/>
      <w:r>
        <w:t xml:space="preserve"> </w:t>
      </w:r>
      <w:proofErr w:type="spellStart"/>
      <w:r>
        <w:t>përsipër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obligimeve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detyrimeve</w:t>
      </w:r>
      <w:proofErr w:type="spellEnd"/>
      <w:r>
        <w:t xml:space="preserve"> </w:t>
      </w:r>
      <w:proofErr w:type="spellStart"/>
      <w:r>
        <w:t>kontraktuale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ndërmarrjes</w:t>
      </w:r>
      <w:proofErr w:type="spellEnd"/>
      <w:r>
        <w:t xml:space="preserve">, as </w:t>
      </w:r>
      <w:proofErr w:type="spellStart"/>
      <w:r>
        <w:t>i</w:t>
      </w:r>
      <w:proofErr w:type="spellEnd"/>
      <w:r>
        <w:t xml:space="preserve"> </w:t>
      </w:r>
      <w:proofErr w:type="spellStart"/>
      <w:r>
        <w:t>dhëniës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garancive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obligime</w:t>
      </w:r>
      <w:proofErr w:type="spellEnd"/>
      <w:r>
        <w:t xml:space="preserve">. </w:t>
      </w:r>
    </w:p>
    <w:p w14:paraId="015A98F5" w14:textId="77777777" w:rsidR="000E7BCB" w:rsidRDefault="000E7BCB"/>
    <w:p w14:paraId="0BAAAC73" w14:textId="77777777" w:rsidR="000E7BCB" w:rsidRDefault="00A620E4">
      <w:pPr>
        <w:numPr>
          <w:ilvl w:val="4"/>
          <w:numId w:val="19"/>
        </w:numPr>
      </w:pPr>
      <w:proofErr w:type="spellStart"/>
      <w:r>
        <w:t>Një</w:t>
      </w:r>
      <w:proofErr w:type="spellEnd"/>
      <w:r>
        <w:t xml:space="preserve"> </w:t>
      </w:r>
      <w:proofErr w:type="spellStart"/>
      <w:r>
        <w:t>masë</w:t>
      </w:r>
      <w:proofErr w:type="spellEnd"/>
      <w:r>
        <w:t xml:space="preserve"> e </w:t>
      </w:r>
      <w:proofErr w:type="spellStart"/>
      <w:r>
        <w:t>tillë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kohëzgjatje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, </w:t>
      </w:r>
      <w:proofErr w:type="spellStart"/>
      <w:r>
        <w:t>përveç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rinovimit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mandatit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administrimit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Mbikëqryes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ndërmarrjen</w:t>
      </w:r>
      <w:proofErr w:type="spellEnd"/>
      <w:r>
        <w:t xml:space="preserve"> e </w:t>
      </w:r>
      <w:proofErr w:type="spellStart"/>
      <w:r>
        <w:t>administruar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emërohet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pas jo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r>
        <w:t>gjashtë</w:t>
      </w:r>
      <w:proofErr w:type="spellEnd"/>
      <w:r>
        <w:t xml:space="preserve"> (6) </w:t>
      </w:r>
      <w:proofErr w:type="spellStart"/>
      <w:r>
        <w:t>muaj</w:t>
      </w:r>
      <w:proofErr w:type="spellEnd"/>
      <w:r>
        <w:t xml:space="preserve">. </w:t>
      </w:r>
      <w:proofErr w:type="spellStart"/>
      <w:r>
        <w:t>Rinovimi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mandatit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gjashtë</w:t>
      </w:r>
      <w:proofErr w:type="spellEnd"/>
      <w:r>
        <w:t xml:space="preserve"> (6)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jo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r>
        <w:lastRenderedPageBreak/>
        <w:t>dymbëdhjetë</w:t>
      </w:r>
      <w:proofErr w:type="spellEnd"/>
      <w:r>
        <w:t xml:space="preserve"> (12)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total, pas </w:t>
      </w:r>
      <w:proofErr w:type="spellStart"/>
      <w:r>
        <w:t>së</w:t>
      </w:r>
      <w:proofErr w:type="spellEnd"/>
      <w:r>
        <w:t xml:space="preserve"> </w:t>
      </w:r>
      <w:proofErr w:type="spellStart"/>
      <w:r>
        <w:t>cilës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emërohet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ndërmarrja</w:t>
      </w:r>
      <w:proofErr w:type="spellEnd"/>
      <w:r>
        <w:t xml:space="preserve"> </w:t>
      </w:r>
      <w:proofErr w:type="spellStart"/>
      <w:r>
        <w:t>shkon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likuidim</w:t>
      </w:r>
      <w:proofErr w:type="spellEnd"/>
      <w:r>
        <w:t>.</w:t>
      </w:r>
    </w:p>
    <w:p w14:paraId="2DA66928" w14:textId="77777777" w:rsidR="000E7BCB" w:rsidRDefault="000E7BCB"/>
    <w:p w14:paraId="641CFD68" w14:textId="77777777" w:rsidR="000E7BCB" w:rsidRDefault="00A620E4">
      <w:pPr>
        <w:numPr>
          <w:ilvl w:val="3"/>
          <w:numId w:val="19"/>
        </w:numPr>
      </w:pPr>
      <w:proofErr w:type="spellStart"/>
      <w:r>
        <w:t>Aspektet</w:t>
      </w:r>
      <w:proofErr w:type="spellEnd"/>
      <w:r>
        <w:t xml:space="preserve"> </w:t>
      </w:r>
      <w:proofErr w:type="spellStart"/>
      <w:r>
        <w:t>tranzitore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transferimit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pronësisë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aktuale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Fondi</w:t>
      </w:r>
      <w:proofErr w:type="spellEnd"/>
      <w:r>
        <w:t>:</w:t>
      </w:r>
    </w:p>
    <w:p w14:paraId="4732671E" w14:textId="77777777" w:rsidR="000E7BCB" w:rsidRDefault="000E7BCB"/>
    <w:p w14:paraId="73AAD472" w14:textId="77777777" w:rsidR="000E7BCB" w:rsidRDefault="00A620E4">
      <w:pPr>
        <w:numPr>
          <w:ilvl w:val="4"/>
          <w:numId w:val="19"/>
        </w:numPr>
      </w:pPr>
      <w:proofErr w:type="spellStart"/>
      <w:r>
        <w:t>Qeveria</w:t>
      </w:r>
      <w:proofErr w:type="spellEnd"/>
      <w:r>
        <w:t xml:space="preserve">, </w:t>
      </w:r>
      <w:proofErr w:type="spellStart"/>
      <w:r>
        <w:t>respektivisht</w:t>
      </w:r>
      <w:proofErr w:type="spellEnd"/>
      <w:r>
        <w:t xml:space="preserve"> </w:t>
      </w:r>
      <w:proofErr w:type="spellStart"/>
      <w:r>
        <w:t>Ministria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 xml:space="preserve">, </w:t>
      </w:r>
      <w:proofErr w:type="spellStart"/>
      <w:r>
        <w:t>organizon</w:t>
      </w:r>
      <w:proofErr w:type="spellEnd"/>
      <w:r>
        <w:t xml:space="preserve"> </w:t>
      </w:r>
      <w:proofErr w:type="spellStart"/>
      <w:r>
        <w:t>auditimin</w:t>
      </w:r>
      <w:proofErr w:type="spellEnd"/>
      <w:r>
        <w:t xml:space="preserve">, </w:t>
      </w:r>
      <w:proofErr w:type="spellStart"/>
      <w:r>
        <w:t>inspektimin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ri-vlerësimin</w:t>
      </w:r>
      <w:proofErr w:type="spellEnd"/>
      <w:r>
        <w:t xml:space="preserve"> e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bëhen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asetore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>.</w:t>
      </w:r>
    </w:p>
    <w:p w14:paraId="7BA4FE7D" w14:textId="77777777" w:rsidR="000E7BCB" w:rsidRDefault="000E7BCB"/>
    <w:p w14:paraId="03C402F7" w14:textId="77777777" w:rsidR="000E7BCB" w:rsidRDefault="00A620E4">
      <w:pPr>
        <w:numPr>
          <w:ilvl w:val="4"/>
          <w:numId w:val="19"/>
        </w:numPr>
      </w:pPr>
      <w:proofErr w:type="spellStart"/>
      <w:r>
        <w:t>Qeveria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kontraktojë</w:t>
      </w:r>
      <w:proofErr w:type="spellEnd"/>
      <w:r>
        <w:t xml:space="preserve"> </w:t>
      </w:r>
      <w:proofErr w:type="spellStart"/>
      <w:r>
        <w:t>kompani</w:t>
      </w:r>
      <w:proofErr w:type="spellEnd"/>
      <w:r>
        <w:t xml:space="preserve"> </w:t>
      </w:r>
      <w:proofErr w:type="spellStart"/>
      <w:r>
        <w:t>konsulente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auditimin</w:t>
      </w:r>
      <w:proofErr w:type="spellEnd"/>
      <w:r>
        <w:t xml:space="preserve"> e </w:t>
      </w:r>
      <w:proofErr w:type="spellStart"/>
      <w:r>
        <w:t>përgjithshëm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identifikuara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potencialisht</w:t>
      </w:r>
      <w:proofErr w:type="spellEnd"/>
      <w:r>
        <w:t xml:space="preserve"> asset-</w:t>
      </w:r>
      <w:proofErr w:type="spellStart"/>
      <w:r>
        <w:t>bërëse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>.</w:t>
      </w:r>
    </w:p>
    <w:p w14:paraId="11B27375" w14:textId="77777777" w:rsidR="000E7BCB" w:rsidRDefault="000E7BCB"/>
    <w:p w14:paraId="06040C0D" w14:textId="77777777" w:rsidR="000E7BCB" w:rsidRDefault="00A620E4">
      <w:pPr>
        <w:numPr>
          <w:ilvl w:val="4"/>
          <w:numId w:val="19"/>
        </w:numPr>
      </w:pPr>
      <w:r>
        <w:t xml:space="preserve">Brenda </w:t>
      </w:r>
      <w:proofErr w:type="spellStart"/>
      <w:r>
        <w:t>gjashtë</w:t>
      </w:r>
      <w:proofErr w:type="spellEnd"/>
      <w:r>
        <w:t xml:space="preserve"> (6) </w:t>
      </w:r>
      <w:proofErr w:type="spellStart"/>
      <w:r>
        <w:t>muajve</w:t>
      </w:r>
      <w:proofErr w:type="spellEnd"/>
      <w:r>
        <w:t xml:space="preserve">,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nxjerr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gjendjen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dërgon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>.</w:t>
      </w:r>
    </w:p>
    <w:p w14:paraId="644EF935" w14:textId="77777777" w:rsidR="000E7BCB" w:rsidRDefault="000E7BCB"/>
    <w:p w14:paraId="44BB3FB8" w14:textId="77777777" w:rsidR="000E7BCB" w:rsidRDefault="00A620E4">
      <w:pPr>
        <w:numPr>
          <w:ilvl w:val="4"/>
          <w:numId w:val="19"/>
        </w:numPr>
      </w:pPr>
      <w:proofErr w:type="spellStart"/>
      <w:r>
        <w:t>Qeveria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koordinim</w:t>
      </w:r>
      <w:proofErr w:type="spellEnd"/>
      <w:r>
        <w:t xml:space="preserve"> me </w:t>
      </w:r>
      <w:proofErr w:type="spellStart"/>
      <w:r>
        <w:t>Fondin</w:t>
      </w:r>
      <w:proofErr w:type="spellEnd"/>
      <w:r>
        <w:t xml:space="preserve">, </w:t>
      </w:r>
      <w:proofErr w:type="spellStart"/>
      <w:r>
        <w:t>fillon</w:t>
      </w:r>
      <w:proofErr w:type="spellEnd"/>
      <w:r>
        <w:t xml:space="preserve"> </w:t>
      </w:r>
      <w:proofErr w:type="spellStart"/>
      <w:r>
        <w:t>ekzekutimin</w:t>
      </w:r>
      <w:proofErr w:type="spellEnd"/>
      <w:r>
        <w:t xml:space="preserve"> e </w:t>
      </w:r>
      <w:proofErr w:type="spellStart"/>
      <w:r>
        <w:t>rekomandimeve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raportit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auditimit</w:t>
      </w:r>
      <w:proofErr w:type="spellEnd"/>
      <w:r>
        <w:t xml:space="preserve"> duke </w:t>
      </w:r>
      <w:proofErr w:type="spellStart"/>
      <w:r>
        <w:t>i</w:t>
      </w:r>
      <w:proofErr w:type="spellEnd"/>
      <w:r>
        <w:t xml:space="preserve"> </w:t>
      </w:r>
      <w:proofErr w:type="spellStart"/>
      <w:r>
        <w:t>ristrukturuar</w:t>
      </w:r>
      <w:proofErr w:type="spellEnd"/>
      <w:r>
        <w:t xml:space="preserve">, </w:t>
      </w:r>
      <w:proofErr w:type="spellStart"/>
      <w:r>
        <w:t>thjeshtëzuar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modeluar</w:t>
      </w:r>
      <w:proofErr w:type="spellEnd"/>
      <w:r>
        <w:t xml:space="preserve"> </w:t>
      </w:r>
      <w:proofErr w:type="spellStart"/>
      <w:r>
        <w:t>ndërmarrjet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fillimin</w:t>
      </w:r>
      <w:proofErr w:type="spellEnd"/>
      <w:r>
        <w:t xml:space="preserve"> e </w:t>
      </w:r>
      <w:proofErr w:type="spellStart"/>
      <w:r>
        <w:t>shndërrimit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entiteteve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pronësore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>.</w:t>
      </w:r>
    </w:p>
    <w:p w14:paraId="5E884B09" w14:textId="77777777" w:rsidR="000E7BCB" w:rsidRDefault="000E7BCB"/>
    <w:p w14:paraId="2DB38644" w14:textId="77777777" w:rsidR="000E7BCB" w:rsidRDefault="00A620E4">
      <w:pPr>
        <w:numPr>
          <w:ilvl w:val="4"/>
          <w:numId w:val="19"/>
        </w:numPr>
      </w:pPr>
      <w:proofErr w:type="spellStart"/>
      <w:r>
        <w:t>Qeveria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me </w:t>
      </w:r>
      <w:proofErr w:type="spellStart"/>
      <w:r>
        <w:t>Fondin</w:t>
      </w:r>
      <w:proofErr w:type="spellEnd"/>
      <w:r>
        <w:t xml:space="preserve">,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ndjekin</w:t>
      </w:r>
      <w:proofErr w:type="spellEnd"/>
      <w:r>
        <w:t xml:space="preserve"> </w:t>
      </w:r>
      <w:proofErr w:type="spellStart"/>
      <w:r>
        <w:t>parimet</w:t>
      </w:r>
      <w:proofErr w:type="spellEnd"/>
      <w:r>
        <w:t xml:space="preserve"> </w:t>
      </w:r>
      <w:proofErr w:type="spellStart"/>
      <w:r>
        <w:t>rigoroze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ndërmarrin</w:t>
      </w:r>
      <w:proofErr w:type="spellEnd"/>
      <w:r>
        <w:t xml:space="preserve"> </w:t>
      </w:r>
      <w:proofErr w:type="spellStart"/>
      <w:r>
        <w:t>ristrukturimin</w:t>
      </w:r>
      <w:proofErr w:type="spellEnd"/>
      <w:r>
        <w:t xml:space="preserve"> e </w:t>
      </w:r>
      <w:proofErr w:type="spellStart"/>
      <w:r>
        <w:t>ish-ndërmarrjeve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para,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pas </w:t>
      </w:r>
      <w:proofErr w:type="spellStart"/>
      <w:r>
        <w:t>transferit</w:t>
      </w:r>
      <w:proofErr w:type="spellEnd"/>
      <w:r>
        <w:t xml:space="preserve"> </w:t>
      </w:r>
      <w:proofErr w:type="spellStart"/>
      <w:r>
        <w:t>pronësor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. </w:t>
      </w:r>
      <w:proofErr w:type="spellStart"/>
      <w:r>
        <w:t>Ndër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parime</w:t>
      </w:r>
      <w:proofErr w:type="spellEnd"/>
      <w:r>
        <w:t xml:space="preserve"> </w:t>
      </w:r>
      <w:proofErr w:type="spellStart"/>
      <w:r>
        <w:t>janë</w:t>
      </w:r>
      <w:proofErr w:type="spellEnd"/>
      <w:r>
        <w:t>:</w:t>
      </w:r>
    </w:p>
    <w:p w14:paraId="5B32AB0E" w14:textId="77777777" w:rsidR="000E7BCB" w:rsidRDefault="000E7BCB"/>
    <w:p w14:paraId="41D91572" w14:textId="77777777" w:rsidR="000E7BCB" w:rsidRDefault="00A620E4">
      <w:pPr>
        <w:numPr>
          <w:ilvl w:val="5"/>
          <w:numId w:val="19"/>
        </w:numPr>
      </w:pPr>
      <w:proofErr w:type="spellStart"/>
      <w:r>
        <w:t>Efiçenca</w:t>
      </w:r>
      <w:proofErr w:type="spellEnd"/>
      <w:r>
        <w:t xml:space="preserve"> </w:t>
      </w:r>
      <w:proofErr w:type="spellStart"/>
      <w:r>
        <w:t>organizative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operacionale</w:t>
      </w:r>
      <w:proofErr w:type="spellEnd"/>
      <w:r>
        <w:t xml:space="preserve"> e </w:t>
      </w:r>
      <w:proofErr w:type="spellStart"/>
      <w:r>
        <w:t>ndërmarrjes</w:t>
      </w:r>
      <w:proofErr w:type="spellEnd"/>
      <w:r>
        <w:t>.</w:t>
      </w:r>
    </w:p>
    <w:p w14:paraId="40189CB1" w14:textId="77777777" w:rsidR="000E7BCB" w:rsidRDefault="000E7BCB"/>
    <w:p w14:paraId="0B4009D2" w14:textId="77777777" w:rsidR="000E7BCB" w:rsidRDefault="00A620E4">
      <w:pPr>
        <w:numPr>
          <w:ilvl w:val="5"/>
          <w:numId w:val="19"/>
        </w:numPr>
      </w:pPr>
      <w:proofErr w:type="spellStart"/>
      <w:r>
        <w:t>Kostoja</w:t>
      </w:r>
      <w:proofErr w:type="spellEnd"/>
      <w:r>
        <w:t xml:space="preserve"> </w:t>
      </w:r>
      <w:proofErr w:type="spellStart"/>
      <w:r>
        <w:t>operacionale</w:t>
      </w:r>
      <w:proofErr w:type="spellEnd"/>
      <w:r>
        <w:t xml:space="preserve"> e </w:t>
      </w:r>
      <w:proofErr w:type="spellStart"/>
      <w:r>
        <w:t>ndërmarrjes</w:t>
      </w:r>
      <w:proofErr w:type="spellEnd"/>
      <w:r>
        <w:t>.</w:t>
      </w:r>
    </w:p>
    <w:p w14:paraId="32C576C3" w14:textId="77777777" w:rsidR="000E7BCB" w:rsidRDefault="000E7BCB"/>
    <w:p w14:paraId="5C69D687" w14:textId="77777777" w:rsidR="000E7BCB" w:rsidRDefault="00A620E4">
      <w:pPr>
        <w:numPr>
          <w:ilvl w:val="5"/>
          <w:numId w:val="19"/>
        </w:numPr>
      </w:pPr>
      <w:proofErr w:type="spellStart"/>
      <w:r>
        <w:t>Vlera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(</w:t>
      </w:r>
      <w:r>
        <w:rPr>
          <w:i/>
        </w:rPr>
        <w:t>book value</w:t>
      </w:r>
      <w:r>
        <w:t xml:space="preserve">) e </w:t>
      </w:r>
      <w:proofErr w:type="spellStart"/>
      <w:r>
        <w:t>ndërmarrjes</w:t>
      </w:r>
      <w:proofErr w:type="spellEnd"/>
      <w:r>
        <w:t>.</w:t>
      </w:r>
    </w:p>
    <w:p w14:paraId="6357E204" w14:textId="77777777" w:rsidR="000E7BCB" w:rsidRDefault="000E7BCB"/>
    <w:p w14:paraId="3D869FA6" w14:textId="77777777" w:rsidR="000E7BCB" w:rsidRDefault="00A620E4">
      <w:pPr>
        <w:numPr>
          <w:ilvl w:val="5"/>
          <w:numId w:val="19"/>
        </w:numPr>
      </w:pPr>
      <w:proofErr w:type="spellStart"/>
      <w:r>
        <w:t>Nevojat</w:t>
      </w:r>
      <w:proofErr w:type="spellEnd"/>
      <w:r>
        <w:t xml:space="preserve"> </w:t>
      </w:r>
      <w:proofErr w:type="spellStart"/>
      <w:r>
        <w:t>shërbyese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ndërmarrjes</w:t>
      </w:r>
      <w:proofErr w:type="spellEnd"/>
      <w:r>
        <w:t>.</w:t>
      </w:r>
    </w:p>
    <w:p w14:paraId="70A7883B" w14:textId="77777777" w:rsidR="000E7BCB" w:rsidRDefault="000E7BCB"/>
    <w:p w14:paraId="662232F9" w14:textId="77777777" w:rsidR="000E7BCB" w:rsidRDefault="00A620E4">
      <w:pPr>
        <w:numPr>
          <w:ilvl w:val="5"/>
          <w:numId w:val="19"/>
        </w:numPr>
      </w:pPr>
      <w:r>
        <w:t>Ri-</w:t>
      </w:r>
      <w:proofErr w:type="spellStart"/>
      <w:r>
        <w:t>vlerësimi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personelit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nevojat</w:t>
      </w:r>
      <w:proofErr w:type="spellEnd"/>
      <w:r>
        <w:t xml:space="preserve"> e </w:t>
      </w:r>
      <w:proofErr w:type="spellStart"/>
      <w:r>
        <w:t>identifikuara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efiçencë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shpenzime</w:t>
      </w:r>
      <w:proofErr w:type="spellEnd"/>
      <w:r>
        <w:t>.</w:t>
      </w:r>
    </w:p>
    <w:p w14:paraId="490A57E4" w14:textId="77777777" w:rsidR="000E7BCB" w:rsidRDefault="000E7BCB"/>
    <w:p w14:paraId="2CDAB313" w14:textId="77777777" w:rsidR="000E7BCB" w:rsidRDefault="00A620E4">
      <w:pPr>
        <w:numPr>
          <w:ilvl w:val="5"/>
          <w:numId w:val="19"/>
        </w:numPr>
      </w:pPr>
      <w:r>
        <w:t>Ri-</w:t>
      </w:r>
      <w:proofErr w:type="spellStart"/>
      <w:r>
        <w:t>vlerësim</w:t>
      </w:r>
      <w:proofErr w:type="spellEnd"/>
      <w:r>
        <w:t xml:space="preserve"> total </w:t>
      </w:r>
      <w:proofErr w:type="spellStart"/>
      <w:r>
        <w:t>i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strukturimi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Fondit</w:t>
      </w:r>
      <w:proofErr w:type="spellEnd"/>
      <w:r>
        <w:t>.</w:t>
      </w:r>
    </w:p>
    <w:p w14:paraId="5D14B34C" w14:textId="77777777" w:rsidR="000E7BCB" w:rsidRDefault="000E7BCB"/>
    <w:p w14:paraId="7E2F4AD0" w14:textId="77777777" w:rsidR="000E7BCB" w:rsidRDefault="00A620E4">
      <w:pPr>
        <w:numPr>
          <w:ilvl w:val="5"/>
          <w:numId w:val="19"/>
        </w:numPr>
      </w:pPr>
      <w:proofErr w:type="spellStart"/>
      <w:r>
        <w:t>Financializimi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“Stock”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ri-vlerësimi</w:t>
      </w:r>
      <w:proofErr w:type="spellEnd"/>
      <w:r>
        <w:t xml:space="preserve"> </w:t>
      </w:r>
      <w:proofErr w:type="spellStart"/>
      <w:r>
        <w:t>komercial</w:t>
      </w:r>
      <w:proofErr w:type="spellEnd"/>
      <w:r>
        <w:t xml:space="preserve"> </w:t>
      </w:r>
      <w:proofErr w:type="spellStart"/>
      <w:r>
        <w:t>produkt-për-produkt</w:t>
      </w:r>
      <w:proofErr w:type="spellEnd"/>
      <w:r>
        <w:t>.</w:t>
      </w:r>
    </w:p>
    <w:p w14:paraId="77561674" w14:textId="77777777" w:rsidR="000E7BCB" w:rsidRDefault="000E7BCB"/>
    <w:p w14:paraId="3CA85AF3" w14:textId="77777777" w:rsidR="000E7BCB" w:rsidRDefault="00A620E4">
      <w:pPr>
        <w:numPr>
          <w:ilvl w:val="5"/>
          <w:numId w:val="19"/>
        </w:numPr>
      </w:pPr>
      <w:proofErr w:type="spellStart"/>
      <w:r>
        <w:t>Fondi</w:t>
      </w:r>
      <w:proofErr w:type="spellEnd"/>
      <w:r>
        <w:t xml:space="preserve"> </w:t>
      </w:r>
      <w:proofErr w:type="spellStart"/>
      <w:r>
        <w:t>ndërton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metriks</w:t>
      </w:r>
      <w:proofErr w:type="spellEnd"/>
      <w:r>
        <w:t xml:space="preserve"> </w:t>
      </w:r>
      <w:proofErr w:type="spellStart"/>
      <w:r>
        <w:t>efiçient</w:t>
      </w:r>
      <w:proofErr w:type="spellEnd"/>
      <w:r>
        <w:t xml:space="preserve">, </w:t>
      </w:r>
      <w:proofErr w:type="spellStart"/>
      <w:r>
        <w:t>rigoroz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dinamik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gjendjes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performansës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>.</w:t>
      </w:r>
    </w:p>
    <w:p w14:paraId="21B5EB07" w14:textId="77777777" w:rsidR="000E7BCB" w:rsidRDefault="000E7BCB"/>
    <w:p w14:paraId="5B0641B6" w14:textId="77777777" w:rsidR="000E7BCB" w:rsidRDefault="00A620E4">
      <w:pPr>
        <w:numPr>
          <w:ilvl w:val="5"/>
          <w:numId w:val="19"/>
        </w:numPr>
      </w:pPr>
      <w:proofErr w:type="spellStart"/>
      <w:r>
        <w:t>Fondi</w:t>
      </w:r>
      <w:proofErr w:type="spellEnd"/>
      <w:r>
        <w:t xml:space="preserve"> </w:t>
      </w:r>
      <w:proofErr w:type="spellStart"/>
      <w:r>
        <w:t>krijon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lidership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>.</w:t>
      </w:r>
    </w:p>
    <w:p w14:paraId="1A13B89D" w14:textId="77777777" w:rsidR="000E7BCB" w:rsidRDefault="000E7BCB"/>
    <w:p w14:paraId="019E1C2E" w14:textId="77777777" w:rsidR="000E7BCB" w:rsidRDefault="00A620E4">
      <w:pPr>
        <w:numPr>
          <w:ilvl w:val="5"/>
          <w:numId w:val="19"/>
        </w:numPr>
      </w:pPr>
      <w:proofErr w:type="spellStart"/>
      <w:r>
        <w:t>Ndërmarrjet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nënshtrohen</w:t>
      </w:r>
      <w:proofErr w:type="spellEnd"/>
      <w:r>
        <w:t xml:space="preserve"> </w:t>
      </w:r>
      <w:proofErr w:type="spellStart"/>
      <w:r>
        <w:t>modelit</w:t>
      </w:r>
      <w:proofErr w:type="spellEnd"/>
      <w:r>
        <w:t xml:space="preserve"> </w:t>
      </w:r>
      <w:proofErr w:type="spellStart"/>
      <w:r>
        <w:t>vertikal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orientuarit</w:t>
      </w:r>
      <w:proofErr w:type="spellEnd"/>
      <w:r>
        <w:t xml:space="preserve"> me </w:t>
      </w:r>
      <w:proofErr w:type="spellStart"/>
      <w:r>
        <w:t>drejtime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, </w:t>
      </w:r>
      <w:proofErr w:type="spellStart"/>
      <w:r>
        <w:t>strategjike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 xml:space="preserve">,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ndërvarësi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Fondit</w:t>
      </w:r>
      <w:proofErr w:type="spellEnd"/>
      <w:r>
        <w:t>.</w:t>
      </w:r>
    </w:p>
    <w:p w14:paraId="29ABCC95" w14:textId="77777777" w:rsidR="000E7BCB" w:rsidRDefault="000E7BCB"/>
    <w:p w14:paraId="3ED428A0" w14:textId="77777777" w:rsidR="000E7BCB" w:rsidRDefault="00A620E4">
      <w:pPr>
        <w:numPr>
          <w:ilvl w:val="4"/>
          <w:numId w:val="19"/>
        </w:numPr>
      </w:pPr>
      <w:proofErr w:type="spellStart"/>
      <w:r>
        <w:t>Parimet</w:t>
      </w:r>
      <w:proofErr w:type="spellEnd"/>
      <w:r>
        <w:t xml:space="preserve"> e </w:t>
      </w:r>
      <w:proofErr w:type="spellStart"/>
      <w:r>
        <w:t>mësipërme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vlejnë</w:t>
      </w:r>
      <w:proofErr w:type="spellEnd"/>
      <w:r>
        <w:t xml:space="preserve"> </w:t>
      </w:r>
      <w:proofErr w:type="spellStart"/>
      <w:r>
        <w:t>përgjithësisht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asetet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transferon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burime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,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p.sh. </w:t>
      </w:r>
      <w:proofErr w:type="spellStart"/>
      <w:r>
        <w:t>asete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menaxhimin</w:t>
      </w:r>
      <w:proofErr w:type="spellEnd"/>
      <w:r>
        <w:t xml:space="preserve"> e </w:t>
      </w:r>
      <w:proofErr w:type="spellStart"/>
      <w:r>
        <w:t>Agjensisë</w:t>
      </w:r>
      <w:proofErr w:type="spellEnd"/>
      <w:r>
        <w:t xml:space="preserve"> </w:t>
      </w:r>
      <w:proofErr w:type="spellStart"/>
      <w:r>
        <w:t>Kosovare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Privatizimit</w:t>
      </w:r>
      <w:proofErr w:type="spellEnd"/>
      <w:r>
        <w:t xml:space="preserve"> (AKP).</w:t>
      </w:r>
    </w:p>
    <w:p w14:paraId="6C2765D1" w14:textId="77777777" w:rsidR="000E7BCB" w:rsidRDefault="000E7BCB"/>
    <w:p w14:paraId="3E79E36F" w14:textId="77777777" w:rsidR="000E7BCB" w:rsidRDefault="000E7BCB"/>
    <w:p w14:paraId="6516F15D" w14:textId="77777777" w:rsidR="000E7BCB" w:rsidRDefault="00A620E4">
      <w:pPr>
        <w:numPr>
          <w:ilvl w:val="0"/>
          <w:numId w:val="19"/>
        </w:numPr>
      </w:pPr>
      <w:proofErr w:type="spellStart"/>
      <w:r>
        <w:t>Themelimi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ndërmarrjeve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reja</w:t>
      </w:r>
      <w:proofErr w:type="spellEnd"/>
    </w:p>
    <w:p w14:paraId="3C366709" w14:textId="77777777" w:rsidR="000E7BCB" w:rsidRDefault="000E7BCB"/>
    <w:p w14:paraId="0E1B8D7A" w14:textId="77777777" w:rsidR="000E7BCB" w:rsidRDefault="00A620E4">
      <w:pPr>
        <w:numPr>
          <w:ilvl w:val="3"/>
          <w:numId w:val="19"/>
        </w:numPr>
      </w:pPr>
      <w:proofErr w:type="spellStart"/>
      <w:r>
        <w:t>Fondi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themelojë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jashtë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, me </w:t>
      </w:r>
      <w:proofErr w:type="spellStart"/>
      <w:r>
        <w:t>kapital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vetin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bashkë-investitor</w:t>
      </w:r>
      <w:proofErr w:type="spellEnd"/>
      <w:r>
        <w:t xml:space="preserve">,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reja</w:t>
      </w:r>
      <w:proofErr w:type="spellEnd"/>
      <w:r>
        <w:t xml:space="preserve">. </w:t>
      </w:r>
      <w:proofErr w:type="spellStart"/>
      <w:r>
        <w:t>Themelimi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re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Strategjisë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aprovuar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. </w:t>
      </w:r>
      <w:proofErr w:type="spellStart"/>
      <w:r>
        <w:t>Themelimi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re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vije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kërkesë</w:t>
      </w:r>
      <w:proofErr w:type="spellEnd"/>
      <w:r>
        <w:t xml:space="preserve"> e </w:t>
      </w:r>
      <w:proofErr w:type="spellStart"/>
      <w:r>
        <w:t>Qeverisë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me </w:t>
      </w:r>
      <w:proofErr w:type="spellStart"/>
      <w:r>
        <w:t>ç’rast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jep</w:t>
      </w:r>
      <w:proofErr w:type="spellEnd"/>
      <w:r>
        <w:t xml:space="preserve"> </w:t>
      </w:r>
      <w:proofErr w:type="spellStart"/>
      <w:r>
        <w:t>arsyetimin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nevojën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ndërmarrjen</w:t>
      </w:r>
      <w:proofErr w:type="spellEnd"/>
      <w:r>
        <w:t xml:space="preserve"> e re, </w:t>
      </w:r>
      <w:proofErr w:type="spellStart"/>
      <w:r>
        <w:t>bashkë</w:t>
      </w:r>
      <w:proofErr w:type="spellEnd"/>
      <w:r>
        <w:t xml:space="preserve"> me </w:t>
      </w:r>
      <w:proofErr w:type="spellStart"/>
      <w:r>
        <w:t>përllogaritjen</w:t>
      </w:r>
      <w:proofErr w:type="spellEnd"/>
      <w:r>
        <w:t xml:space="preserve"> e </w:t>
      </w:r>
      <w:proofErr w:type="spellStart"/>
      <w:r>
        <w:t>kostove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burimet</w:t>
      </w:r>
      <w:proofErr w:type="spellEnd"/>
      <w:r>
        <w:t xml:space="preserve"> e </w:t>
      </w:r>
      <w:proofErr w:type="spellStart"/>
      <w:r>
        <w:t>financimit</w:t>
      </w:r>
      <w:proofErr w:type="spellEnd"/>
      <w:r>
        <w:t>.</w:t>
      </w:r>
    </w:p>
    <w:p w14:paraId="520F468E" w14:textId="77777777" w:rsidR="000E7BCB" w:rsidRDefault="000E7BCB"/>
    <w:p w14:paraId="2F128922" w14:textId="77777777" w:rsidR="000E7BCB" w:rsidRDefault="00A620E4">
      <w:pPr>
        <w:numPr>
          <w:ilvl w:val="3"/>
          <w:numId w:val="19"/>
        </w:numPr>
      </w:pPr>
      <w:proofErr w:type="spellStart"/>
      <w:r>
        <w:lastRenderedPageBreak/>
        <w:t>Për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re </w:t>
      </w:r>
      <w:proofErr w:type="spellStart"/>
      <w:r>
        <w:t>si</w:t>
      </w:r>
      <w:proofErr w:type="spellEnd"/>
      <w:r>
        <w:t xml:space="preserve"> </w:t>
      </w:r>
      <w:proofErr w:type="spellStart"/>
      <w:r>
        <w:t>sh.a</w:t>
      </w:r>
      <w:proofErr w:type="spellEnd"/>
      <w:r>
        <w:t xml:space="preserve">., me </w:t>
      </w:r>
      <w:proofErr w:type="spellStart"/>
      <w:r>
        <w:t>Fondin</w:t>
      </w:r>
      <w:proofErr w:type="spellEnd"/>
      <w:r>
        <w:t xml:space="preserve"> </w:t>
      </w:r>
      <w:proofErr w:type="spellStart"/>
      <w:r>
        <w:t>pronar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pjesshëm</w:t>
      </w:r>
      <w:proofErr w:type="spellEnd"/>
      <w:r>
        <w:t xml:space="preserve">,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dërgon</w:t>
      </w:r>
      <w:proofErr w:type="spellEnd"/>
      <w:r>
        <w:t xml:space="preserve"> </w:t>
      </w:r>
      <w:proofErr w:type="spellStart"/>
      <w:r>
        <w:t>notë</w:t>
      </w:r>
      <w:proofErr w:type="spellEnd"/>
      <w:r>
        <w:t xml:space="preserve"> </w:t>
      </w:r>
      <w:proofErr w:type="spellStart"/>
      <w:r>
        <w:t>informuese</w:t>
      </w:r>
      <w:proofErr w:type="spellEnd"/>
      <w:r>
        <w:t xml:space="preserve"> 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Financave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Ekonomisë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përfshihet</w:t>
      </w:r>
      <w:proofErr w:type="spellEnd"/>
      <w:r>
        <w:t xml:space="preserve"> </w:t>
      </w:r>
      <w:proofErr w:type="spellStart"/>
      <w:r>
        <w:t>arsyetimi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ndërmarrjes</w:t>
      </w:r>
      <w:proofErr w:type="spellEnd"/>
      <w:r>
        <w:t xml:space="preserve">, </w:t>
      </w:r>
      <w:proofErr w:type="spellStart"/>
      <w:r>
        <w:t>modeli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qeverisjes</w:t>
      </w:r>
      <w:proofErr w:type="spellEnd"/>
      <w:r>
        <w:t xml:space="preserve">, </w:t>
      </w:r>
      <w:proofErr w:type="spellStart"/>
      <w:r>
        <w:t>përllogaritjet</w:t>
      </w:r>
      <w:proofErr w:type="spellEnd"/>
      <w:r>
        <w:t xml:space="preserve"> e </w:t>
      </w:r>
      <w:proofErr w:type="spellStart"/>
      <w:r>
        <w:t>kostove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nismës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burimet</w:t>
      </w:r>
      <w:proofErr w:type="spellEnd"/>
      <w:r>
        <w:t xml:space="preserve"> e </w:t>
      </w:r>
      <w:proofErr w:type="spellStart"/>
      <w:r>
        <w:t>financimit</w:t>
      </w:r>
      <w:proofErr w:type="spellEnd"/>
      <w:r>
        <w:t xml:space="preserve">. Nota </w:t>
      </w:r>
      <w:proofErr w:type="spellStart"/>
      <w:r>
        <w:t>informuese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rastet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themelimi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ndërmarrjes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re </w:t>
      </w:r>
      <w:proofErr w:type="spellStart"/>
      <w:r>
        <w:t>vjen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kërkesës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rastet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, </w:t>
      </w:r>
      <w:proofErr w:type="spellStart"/>
      <w:r>
        <w:t>Ministria</w:t>
      </w:r>
      <w:proofErr w:type="spellEnd"/>
      <w:r>
        <w:t xml:space="preserve"> e </w:t>
      </w:r>
      <w:proofErr w:type="spellStart"/>
      <w:r>
        <w:t>Financave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ajo e </w:t>
      </w:r>
      <w:proofErr w:type="spellStart"/>
      <w:r>
        <w:t>Ekonomisë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dyjat</w:t>
      </w:r>
      <w:proofErr w:type="spellEnd"/>
      <w:r>
        <w:t xml:space="preserve">,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kundërshtojnë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</w:t>
      </w:r>
      <w:proofErr w:type="spellStart"/>
      <w:r>
        <w:t>ndërmarrjes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re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propozuar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tillë</w:t>
      </w:r>
      <w:proofErr w:type="spellEnd"/>
      <w:r>
        <w:t xml:space="preserve">, </w:t>
      </w:r>
      <w:proofErr w:type="spellStart"/>
      <w:r>
        <w:t>Ministria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dërgon</w:t>
      </w:r>
      <w:proofErr w:type="spellEnd"/>
      <w:r>
        <w:t xml:space="preserve"> </w:t>
      </w:r>
      <w:proofErr w:type="spellStart"/>
      <w:r>
        <w:t>refuzimin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arsyetimin</w:t>
      </w:r>
      <w:proofErr w:type="spellEnd"/>
      <w:r>
        <w:t xml:space="preserve"> e vet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mblidhet</w:t>
      </w:r>
      <w:proofErr w:type="spellEnd"/>
      <w:r>
        <w:t xml:space="preserve"> </w:t>
      </w:r>
      <w:proofErr w:type="spellStart"/>
      <w:r>
        <w:t>enkas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shqyrtimin</w:t>
      </w:r>
      <w:proofErr w:type="spellEnd"/>
      <w:r>
        <w:t xml:space="preserve"> e </w:t>
      </w:r>
      <w:proofErr w:type="spellStart"/>
      <w:r>
        <w:t>çështjes</w:t>
      </w:r>
      <w:proofErr w:type="spellEnd"/>
      <w:r>
        <w:t xml:space="preserve">.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vlerësojë</w:t>
      </w:r>
      <w:proofErr w:type="spellEnd"/>
      <w:r>
        <w:t xml:space="preserve"> </w:t>
      </w:r>
      <w:proofErr w:type="spellStart"/>
      <w:r>
        <w:t>kundërshtitë</w:t>
      </w:r>
      <w:proofErr w:type="spellEnd"/>
      <w:r>
        <w:t xml:space="preserve"> e 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Ministrive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vendos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vazhdohet</w:t>
      </w:r>
      <w:proofErr w:type="spellEnd"/>
      <w:r>
        <w:t xml:space="preserve"> me </w:t>
      </w:r>
      <w:proofErr w:type="spellStart"/>
      <w:r>
        <w:t>themelimin</w:t>
      </w:r>
      <w:proofErr w:type="spellEnd"/>
      <w:r>
        <w:t xml:space="preserve"> e </w:t>
      </w:r>
      <w:proofErr w:type="spellStart"/>
      <w:r>
        <w:t>ndërmarrjes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re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strategjinë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>.</w:t>
      </w:r>
    </w:p>
    <w:p w14:paraId="7523A521" w14:textId="77777777" w:rsidR="000E7BCB" w:rsidRDefault="000E7BCB"/>
    <w:p w14:paraId="7382E3A3" w14:textId="77777777" w:rsidR="000E7BCB" w:rsidRDefault="00A620E4">
      <w:pPr>
        <w:numPr>
          <w:ilvl w:val="3"/>
          <w:numId w:val="19"/>
        </w:numPr>
      </w:pPr>
      <w:proofErr w:type="spellStart"/>
      <w:r>
        <w:t>Kjo</w:t>
      </w:r>
      <w:proofErr w:type="spellEnd"/>
      <w:r>
        <w:t xml:space="preserve"> </w:t>
      </w:r>
      <w:proofErr w:type="spellStart"/>
      <w:r>
        <w:t>procedurë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vlen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entitetet</w:t>
      </w:r>
      <w:proofErr w:type="spellEnd"/>
      <w:r>
        <w:t xml:space="preserve"> </w:t>
      </w:r>
      <w:proofErr w:type="spellStart"/>
      <w:r>
        <w:t>juridike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përkohshme</w:t>
      </w:r>
      <w:proofErr w:type="spellEnd"/>
      <w:r>
        <w:t xml:space="preserve"> me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kohëgjatësi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kufizuar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themeluara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ekzekutimit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transaksioneve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qëllime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kufizuara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entitete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krijuara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investuese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vetëvete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kryejnë</w:t>
      </w:r>
      <w:proofErr w:type="spellEnd"/>
      <w:r>
        <w:t xml:space="preserve"> </w:t>
      </w:r>
      <w:proofErr w:type="spellStart"/>
      <w:r>
        <w:t>veprimtari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pavarur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. </w:t>
      </w:r>
    </w:p>
    <w:p w14:paraId="7F63DFC5" w14:textId="77777777" w:rsidR="000E7BCB" w:rsidRDefault="000E7BCB"/>
    <w:p w14:paraId="358C76A3" w14:textId="77777777" w:rsidR="000E7BCB" w:rsidRDefault="00A620E4">
      <w:pPr>
        <w:numPr>
          <w:ilvl w:val="3"/>
          <w:numId w:val="19"/>
        </w:numPr>
      </w:pPr>
      <w:proofErr w:type="spellStart"/>
      <w:r>
        <w:t>Kjo</w:t>
      </w:r>
      <w:proofErr w:type="spellEnd"/>
      <w:r>
        <w:t xml:space="preserve"> </w:t>
      </w:r>
      <w:proofErr w:type="spellStart"/>
      <w:r>
        <w:t>procedurë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vlen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investimet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ekuitete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korporatave</w:t>
      </w:r>
      <w:proofErr w:type="spellEnd"/>
      <w:r>
        <w:t xml:space="preserve"> </w:t>
      </w:r>
      <w:proofErr w:type="spellStart"/>
      <w:r>
        <w:t>ekzistuese</w:t>
      </w:r>
      <w:proofErr w:type="spellEnd"/>
      <w:r>
        <w:t>.</w:t>
      </w:r>
    </w:p>
    <w:p w14:paraId="68B01E9C" w14:textId="77777777" w:rsidR="000E7BCB" w:rsidRDefault="000E7BCB"/>
    <w:p w14:paraId="479326E1" w14:textId="77777777" w:rsidR="000E7BCB" w:rsidRDefault="000E7BCB"/>
    <w:p w14:paraId="73476844" w14:textId="77777777" w:rsidR="000E7BCB" w:rsidRDefault="00A620E4">
      <w:pPr>
        <w:numPr>
          <w:ilvl w:val="0"/>
          <w:numId w:val="19"/>
        </w:numPr>
      </w:pPr>
      <w:proofErr w:type="spellStart"/>
      <w:r>
        <w:t>Dividenta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Rezervë</w:t>
      </w:r>
      <w:proofErr w:type="spellEnd"/>
    </w:p>
    <w:p w14:paraId="1577F370" w14:textId="77777777" w:rsidR="000E7BCB" w:rsidRDefault="000E7BCB"/>
    <w:p w14:paraId="35C2D78B" w14:textId="77777777" w:rsidR="000E7BCB" w:rsidRDefault="00A620E4">
      <w:pPr>
        <w:numPr>
          <w:ilvl w:val="3"/>
          <w:numId w:val="19"/>
        </w:numPr>
      </w:pPr>
      <w:proofErr w:type="spellStart"/>
      <w:r>
        <w:t>Dividenta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llogaritet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kthimit</w:t>
      </w:r>
      <w:proofErr w:type="spellEnd"/>
      <w:r>
        <w:t xml:space="preserve"> </w:t>
      </w:r>
      <w:proofErr w:type="spellStart"/>
      <w:r>
        <w:t>vjetor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, </w:t>
      </w:r>
      <w:proofErr w:type="spellStart"/>
      <w:r>
        <w:t>hiq</w:t>
      </w:r>
      <w:proofErr w:type="spellEnd"/>
      <w:r>
        <w:t xml:space="preserve"> </w:t>
      </w:r>
      <w:proofErr w:type="spellStart"/>
      <w:r>
        <w:t>shpenzimet</w:t>
      </w:r>
      <w:proofErr w:type="spellEnd"/>
      <w:r>
        <w:t xml:space="preserve"> operative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kompenzimet</w:t>
      </w:r>
      <w:proofErr w:type="spellEnd"/>
      <w:r>
        <w:t xml:space="preserve"> e </w:t>
      </w:r>
      <w:proofErr w:type="spellStart"/>
      <w:r>
        <w:t>oficerëve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>.</w:t>
      </w:r>
    </w:p>
    <w:p w14:paraId="0ED3D0C2" w14:textId="77777777" w:rsidR="000E7BCB" w:rsidRDefault="000E7BCB"/>
    <w:p w14:paraId="6EFC4D1C" w14:textId="77777777" w:rsidR="000E7BCB" w:rsidRDefault="00A620E4">
      <w:pPr>
        <w:numPr>
          <w:ilvl w:val="3"/>
          <w:numId w:val="19"/>
        </w:numPr>
      </w:pPr>
      <w:proofErr w:type="spellStart"/>
      <w:r>
        <w:t>Pagesa</w:t>
      </w:r>
      <w:proofErr w:type="spellEnd"/>
      <w:r>
        <w:t xml:space="preserve"> e </w:t>
      </w:r>
      <w:proofErr w:type="spellStart"/>
      <w:r>
        <w:t>dividentës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përqindjes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kthimit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paguhet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dividentë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aksionarit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me </w:t>
      </w:r>
      <w:proofErr w:type="spellStart"/>
      <w:r>
        <w:t>vendim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. </w:t>
      </w:r>
      <w:proofErr w:type="spellStart"/>
      <w:r>
        <w:t>Pjesën</w:t>
      </w:r>
      <w:proofErr w:type="spellEnd"/>
      <w:r>
        <w:t xml:space="preserve"> e </w:t>
      </w:r>
      <w:proofErr w:type="spellStart"/>
      <w:r>
        <w:t>papaguar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dividentës</w:t>
      </w:r>
      <w:proofErr w:type="spellEnd"/>
      <w:r>
        <w:t xml:space="preserve">,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ta </w:t>
      </w:r>
      <w:proofErr w:type="spellStart"/>
      <w:r>
        <w:t>vendos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</w:t>
      </w:r>
      <w:proofErr w:type="spellStart"/>
      <w:r>
        <w:t>Rezervë</w:t>
      </w:r>
      <w:proofErr w:type="spellEnd"/>
      <w:r>
        <w:t>.</w:t>
      </w:r>
    </w:p>
    <w:p w14:paraId="60271292" w14:textId="77777777" w:rsidR="000E7BCB" w:rsidRDefault="000E7BCB"/>
    <w:p w14:paraId="56005E5A" w14:textId="77777777" w:rsidR="000E7BCB" w:rsidRDefault="00A620E4">
      <w:pPr>
        <w:numPr>
          <w:ilvl w:val="3"/>
          <w:numId w:val="19"/>
        </w:numPr>
      </w:pP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, me </w:t>
      </w:r>
      <w:proofErr w:type="spellStart"/>
      <w:r>
        <w:t>rekomandim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, </w:t>
      </w:r>
      <w:proofErr w:type="spellStart"/>
      <w:r>
        <w:t>vendos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pagesën</w:t>
      </w:r>
      <w:proofErr w:type="spellEnd"/>
      <w:r>
        <w:t xml:space="preserve"> e </w:t>
      </w:r>
      <w:proofErr w:type="spellStart"/>
      <w:r>
        <w:t>dividentës</w:t>
      </w:r>
      <w:proofErr w:type="spellEnd"/>
      <w:r>
        <w:t xml:space="preserve"> duke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lastRenderedPageBreak/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qëndrueshmërinë</w:t>
      </w:r>
      <w:proofErr w:type="spellEnd"/>
      <w:r>
        <w:t xml:space="preserve"> </w:t>
      </w:r>
      <w:proofErr w:type="spellStart"/>
      <w:r>
        <w:t>afatgjatë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ruajtjen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solide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>.</w:t>
      </w:r>
    </w:p>
    <w:p w14:paraId="67309170" w14:textId="77777777" w:rsidR="000E7BCB" w:rsidRDefault="000E7BCB"/>
    <w:p w14:paraId="4D48615C" w14:textId="77777777" w:rsidR="000E7BCB" w:rsidRDefault="00A620E4">
      <w:pPr>
        <w:numPr>
          <w:ilvl w:val="3"/>
          <w:numId w:val="19"/>
        </w:numPr>
      </w:pPr>
      <w:proofErr w:type="spellStart"/>
      <w:r>
        <w:t>Dividenta</w:t>
      </w:r>
      <w:proofErr w:type="spellEnd"/>
      <w:r>
        <w:t xml:space="preserve"> e </w:t>
      </w:r>
      <w:proofErr w:type="spellStart"/>
      <w:r>
        <w:t>paguar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transferohet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, </w:t>
      </w:r>
      <w:proofErr w:type="spellStart"/>
      <w:r>
        <w:t>përkatësisht</w:t>
      </w:r>
      <w:proofErr w:type="spellEnd"/>
      <w:r>
        <w:t xml:space="preserve"> 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Financave</w:t>
      </w:r>
      <w:proofErr w:type="spellEnd"/>
      <w:r>
        <w:t>.</w:t>
      </w:r>
    </w:p>
    <w:p w14:paraId="6CCBE0EF" w14:textId="77777777" w:rsidR="000E7BCB" w:rsidRDefault="000E7BCB"/>
    <w:p w14:paraId="64811AD9" w14:textId="77777777" w:rsidR="000E7BCB" w:rsidRDefault="00A620E4">
      <w:pPr>
        <w:numPr>
          <w:ilvl w:val="3"/>
          <w:numId w:val="19"/>
        </w:numPr>
      </w:pPr>
      <w:proofErr w:type="spellStart"/>
      <w:r>
        <w:t>Pavarësisht</w:t>
      </w:r>
      <w:proofErr w:type="spellEnd"/>
      <w:r>
        <w:t xml:space="preserve"> </w:t>
      </w:r>
      <w:proofErr w:type="spellStart"/>
      <w:r>
        <w:t>pagesës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dividentës</w:t>
      </w:r>
      <w:proofErr w:type="spellEnd"/>
      <w:r>
        <w:t xml:space="preserve">,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</w:t>
      </w:r>
      <w:proofErr w:type="spellStart"/>
      <w:r>
        <w:t>dhjetë</w:t>
      </w:r>
      <w:proofErr w:type="spellEnd"/>
      <w:r>
        <w:t xml:space="preserve"> (10) </w:t>
      </w:r>
      <w:proofErr w:type="spellStart"/>
      <w:r>
        <w:t>përqind</w:t>
      </w:r>
      <w:proofErr w:type="spellEnd"/>
      <w:r>
        <w:t xml:space="preserve"> e </w:t>
      </w:r>
      <w:proofErr w:type="spellStart"/>
      <w:r>
        <w:t>dividentës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</w:t>
      </w:r>
      <w:proofErr w:type="spellStart"/>
      <w:r>
        <w:t>derdhet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</w:t>
      </w:r>
      <w:proofErr w:type="spellStart"/>
      <w:r>
        <w:t>Rezervë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menaxhuar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.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Rezervë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ta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formën</w:t>
      </w:r>
      <w:proofErr w:type="spellEnd"/>
      <w:r>
        <w:t xml:space="preserve"> e </w:t>
      </w:r>
      <w:proofErr w:type="spellStart"/>
      <w:r>
        <w:t>keshit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deponuar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bankë</w:t>
      </w:r>
      <w:proofErr w:type="spellEnd"/>
      <w:r>
        <w:t xml:space="preserve"> apo </w:t>
      </w:r>
      <w:proofErr w:type="spellStart"/>
      <w:r>
        <w:t>investimeve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instrumente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me </w:t>
      </w:r>
      <w:proofErr w:type="spellStart"/>
      <w:r>
        <w:t>likuiditet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risk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ulët</w:t>
      </w:r>
      <w:proofErr w:type="spellEnd"/>
      <w:r>
        <w:t xml:space="preserve"> (bono </w:t>
      </w:r>
      <w:proofErr w:type="spellStart"/>
      <w:r>
        <w:t>vendore</w:t>
      </w:r>
      <w:proofErr w:type="spellEnd"/>
      <w:r>
        <w:t xml:space="preserve"> e </w:t>
      </w:r>
      <w:proofErr w:type="spellStart"/>
      <w:r>
        <w:t>ndërkombëtare</w:t>
      </w:r>
      <w:proofErr w:type="spellEnd"/>
      <w:r>
        <w:t xml:space="preserve">, money markets, </w:t>
      </w:r>
      <w:proofErr w:type="spellStart"/>
      <w:r>
        <w:t>etj</w:t>
      </w:r>
      <w:proofErr w:type="spellEnd"/>
      <w:r>
        <w:t xml:space="preserve">.).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Rezervë</w:t>
      </w:r>
      <w:proofErr w:type="spellEnd"/>
      <w:r>
        <w:t xml:space="preserve"> </w:t>
      </w:r>
      <w:proofErr w:type="spellStart"/>
      <w:r>
        <w:t>shërben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ndërmarrjen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planifikimin</w:t>
      </w:r>
      <w:proofErr w:type="spellEnd"/>
      <w:r>
        <w:t xml:space="preserve"> e </w:t>
      </w:r>
      <w:proofErr w:type="spellStart"/>
      <w:r>
        <w:t>investimeve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reja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. </w:t>
      </w:r>
      <w:proofErr w:type="spellStart"/>
      <w:r>
        <w:t>Shitblerjet</w:t>
      </w:r>
      <w:proofErr w:type="spellEnd"/>
      <w:r>
        <w:t xml:space="preserve"> </w:t>
      </w:r>
      <w:proofErr w:type="spellStart"/>
      <w:r>
        <w:t>aktive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portfolit</w:t>
      </w:r>
      <w:proofErr w:type="spellEnd"/>
      <w:r>
        <w:t xml:space="preserve"> </w:t>
      </w:r>
      <w:proofErr w:type="spellStart"/>
      <w:r>
        <w:t>ekzistues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hyrat</w:t>
      </w:r>
      <w:proofErr w:type="spellEnd"/>
      <w:r>
        <w:t xml:space="preserve"> </w:t>
      </w:r>
      <w:proofErr w:type="spellStart"/>
      <w:r>
        <w:t>derdhën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</w:t>
      </w:r>
      <w:proofErr w:type="spellStart"/>
      <w:r>
        <w:t>Operativ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bëjnë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llogaritë</w:t>
      </w:r>
      <w:proofErr w:type="spellEnd"/>
      <w:r>
        <w:t xml:space="preserve"> </w:t>
      </w:r>
      <w:proofErr w:type="spellStart"/>
      <w:r>
        <w:t>rrjedhëse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. </w:t>
      </w:r>
    </w:p>
    <w:p w14:paraId="47EFD192" w14:textId="77777777" w:rsidR="000E7BCB" w:rsidRDefault="000E7BCB"/>
    <w:p w14:paraId="5647A69A" w14:textId="77777777" w:rsidR="000E7BCB" w:rsidRDefault="00A620E4">
      <w:pPr>
        <w:numPr>
          <w:ilvl w:val="3"/>
          <w:numId w:val="19"/>
        </w:numPr>
      </w:pPr>
      <w:r>
        <w:t xml:space="preserve">Me </w:t>
      </w:r>
      <w:proofErr w:type="spellStart"/>
      <w:r>
        <w:t>kërkesë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Financave</w:t>
      </w:r>
      <w:proofErr w:type="spellEnd"/>
      <w:r>
        <w:t xml:space="preserve">,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kërkojë</w:t>
      </w:r>
      <w:proofErr w:type="spellEnd"/>
      <w:r>
        <w:t xml:space="preserve"> </w:t>
      </w:r>
      <w:proofErr w:type="spellStart"/>
      <w:r>
        <w:t>transferimin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Rezervë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Sovran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llogaritë</w:t>
      </w:r>
      <w:proofErr w:type="spellEnd"/>
      <w:r>
        <w:t xml:space="preserve"> e </w:t>
      </w:r>
      <w:proofErr w:type="spellStart"/>
      <w:r>
        <w:t>Qeverisë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ekzekutimin</w:t>
      </w:r>
      <w:proofErr w:type="spellEnd"/>
      <w:r>
        <w:t xml:space="preserve"> e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kërkese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aprovimi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mblidhet</w:t>
      </w:r>
      <w:proofErr w:type="spellEnd"/>
      <w:r>
        <w:t xml:space="preserve"> </w:t>
      </w:r>
      <w:proofErr w:type="spellStart"/>
      <w:r>
        <w:t>enkas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çështje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aprovimi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aktit</w:t>
      </w:r>
      <w:proofErr w:type="spellEnd"/>
      <w:r>
        <w:t xml:space="preserve"> </w:t>
      </w:r>
      <w:proofErr w:type="spellStart"/>
      <w:r>
        <w:t>buxhetor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Kuvendi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cilin</w:t>
      </w:r>
      <w:proofErr w:type="spellEnd"/>
      <w:r>
        <w:t xml:space="preserve"> </w:t>
      </w:r>
      <w:proofErr w:type="spellStart"/>
      <w:r>
        <w:t>përfshihen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burim</w:t>
      </w:r>
      <w:proofErr w:type="spellEnd"/>
      <w:r>
        <w:t xml:space="preserve"> </w:t>
      </w:r>
      <w:proofErr w:type="spellStart"/>
      <w:r>
        <w:t>mjetet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Rezervë</w:t>
      </w:r>
      <w:proofErr w:type="spellEnd"/>
      <w:r>
        <w:t xml:space="preserve">, pas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cilit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transferon</w:t>
      </w:r>
      <w:proofErr w:type="spellEnd"/>
      <w:r>
        <w:t xml:space="preserve"> </w:t>
      </w:r>
      <w:proofErr w:type="spellStart"/>
      <w:r>
        <w:t>asetet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Rezervë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llogaritë</w:t>
      </w:r>
      <w:proofErr w:type="spellEnd"/>
      <w:r>
        <w:t xml:space="preserve"> e </w:t>
      </w:r>
      <w:proofErr w:type="spellStart"/>
      <w:r>
        <w:t>Qeverisë</w:t>
      </w:r>
      <w:proofErr w:type="spellEnd"/>
      <w:r>
        <w:t xml:space="preserve">. </w:t>
      </w:r>
    </w:p>
    <w:p w14:paraId="15CF569D" w14:textId="77777777" w:rsidR="000E7BCB" w:rsidRDefault="000E7BCB"/>
    <w:p w14:paraId="4E3A7164" w14:textId="77777777" w:rsidR="000E7BCB" w:rsidRDefault="00A620E4">
      <w:pPr>
        <w:numPr>
          <w:ilvl w:val="3"/>
          <w:numId w:val="19"/>
        </w:numPr>
      </w:pPr>
      <w:proofErr w:type="spellStart"/>
      <w:r>
        <w:t>Qeveria</w:t>
      </w:r>
      <w:proofErr w:type="spellEnd"/>
      <w:r>
        <w:t xml:space="preserve"> </w:t>
      </w:r>
      <w:proofErr w:type="spellStart"/>
      <w:r>
        <w:t>zotohet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mjetet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Rezervë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përdorë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ekziston</w:t>
      </w:r>
      <w:proofErr w:type="spellEnd"/>
      <w:r>
        <w:t xml:space="preserve"> </w:t>
      </w:r>
      <w:proofErr w:type="spellStart"/>
      <w:r>
        <w:t>nevoja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financim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jashtëzakonshëm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shpenzimeve</w:t>
      </w:r>
      <w:proofErr w:type="spellEnd"/>
      <w:r>
        <w:t xml:space="preserve"> </w:t>
      </w:r>
      <w:proofErr w:type="spellStart"/>
      <w:r>
        <w:t>qeveritare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jo </w:t>
      </w:r>
      <w:proofErr w:type="spellStart"/>
      <w:r>
        <w:t>si</w:t>
      </w:r>
      <w:proofErr w:type="spellEnd"/>
      <w:r>
        <w:t xml:space="preserve"> </w:t>
      </w:r>
      <w:proofErr w:type="spellStart"/>
      <w:r>
        <w:t>burim</w:t>
      </w:r>
      <w:proofErr w:type="spellEnd"/>
      <w:r>
        <w:t xml:space="preserve"> </w:t>
      </w:r>
      <w:proofErr w:type="spellStart"/>
      <w:r>
        <w:t>fiskal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shpenzimet</w:t>
      </w:r>
      <w:proofErr w:type="spellEnd"/>
      <w:r>
        <w:t xml:space="preserve"> e </w:t>
      </w:r>
      <w:proofErr w:type="spellStart"/>
      <w:r>
        <w:t>rregullta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Qeverisë</w:t>
      </w:r>
      <w:proofErr w:type="spellEnd"/>
      <w:r>
        <w:t xml:space="preserve">. </w:t>
      </w:r>
      <w:proofErr w:type="spellStart"/>
      <w:r>
        <w:t>Caktimi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kushteve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ekzekutojë</w:t>
      </w:r>
      <w:proofErr w:type="spellEnd"/>
      <w:r>
        <w:t xml:space="preserve"> </w:t>
      </w:r>
      <w:proofErr w:type="spellStart"/>
      <w:r>
        <w:t>kërkesën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transferin</w:t>
      </w:r>
      <w:proofErr w:type="spellEnd"/>
      <w:r>
        <w:t xml:space="preserve"> e </w:t>
      </w:r>
      <w:proofErr w:type="spellStart"/>
      <w:r>
        <w:t>parasë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Rezervë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përfshijë</w:t>
      </w:r>
      <w:proofErr w:type="spellEnd"/>
      <w:r>
        <w:t xml:space="preserve"> </w:t>
      </w:r>
      <w:proofErr w:type="spellStart"/>
      <w:r>
        <w:t>situata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: </w:t>
      </w:r>
      <w:proofErr w:type="spellStart"/>
      <w:r>
        <w:t>recesion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thellë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zgjat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r>
        <w:t>gjashtë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, </w:t>
      </w:r>
      <w:proofErr w:type="spellStart"/>
      <w:r>
        <w:t>insolvencë</w:t>
      </w:r>
      <w:proofErr w:type="spellEnd"/>
      <w:r>
        <w:t xml:space="preserve"> e </w:t>
      </w:r>
      <w:proofErr w:type="spellStart"/>
      <w:r>
        <w:t>paparashikuar</w:t>
      </w:r>
      <w:proofErr w:type="spellEnd"/>
      <w:r>
        <w:t xml:space="preserve"> </w:t>
      </w:r>
      <w:proofErr w:type="spellStart"/>
      <w:r>
        <w:t>fiskale</w:t>
      </w:r>
      <w:proofErr w:type="spellEnd"/>
      <w:r>
        <w:t xml:space="preserve">, </w:t>
      </w:r>
      <w:proofErr w:type="spellStart"/>
      <w:r>
        <w:t>insolvencë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sistemit</w:t>
      </w:r>
      <w:proofErr w:type="spellEnd"/>
      <w:r>
        <w:t xml:space="preserve"> </w:t>
      </w:r>
      <w:proofErr w:type="spellStart"/>
      <w:r>
        <w:t>bankar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shkallën</w:t>
      </w:r>
      <w:proofErr w:type="spellEnd"/>
      <w:r>
        <w:t xml:space="preserve"> e </w:t>
      </w:r>
      <w:proofErr w:type="spellStart"/>
      <w:r>
        <w:t>rrezikut</w:t>
      </w:r>
      <w:proofErr w:type="spellEnd"/>
      <w:r>
        <w:t xml:space="preserve"> </w:t>
      </w:r>
      <w:proofErr w:type="spellStart"/>
      <w:r>
        <w:t>sistemik</w:t>
      </w:r>
      <w:proofErr w:type="spellEnd"/>
      <w:r>
        <w:t xml:space="preserve">, </w:t>
      </w:r>
      <w:proofErr w:type="spellStart"/>
      <w:r>
        <w:t>financimi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strategjike</w:t>
      </w:r>
      <w:proofErr w:type="spellEnd"/>
      <w:r>
        <w:t xml:space="preserve"> </w:t>
      </w:r>
      <w:proofErr w:type="spellStart"/>
      <w:r>
        <w:t>infrastukturore</w:t>
      </w:r>
      <w:proofErr w:type="spellEnd"/>
      <w:r>
        <w:t xml:space="preserve">, </w:t>
      </w:r>
      <w:proofErr w:type="spellStart"/>
      <w:r>
        <w:t>financimi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veprimeve</w:t>
      </w:r>
      <w:proofErr w:type="spellEnd"/>
      <w:r>
        <w:t xml:space="preserve"> </w:t>
      </w:r>
      <w:proofErr w:type="spellStart"/>
      <w:r>
        <w:t>qeveritare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gjendjes</w:t>
      </w:r>
      <w:proofErr w:type="spellEnd"/>
      <w:r>
        <w:t xml:space="preserve"> </w:t>
      </w:r>
      <w:proofErr w:type="spellStart"/>
      <w:r>
        <w:t>emergjente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situata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jashtëzakonshme</w:t>
      </w:r>
      <w:proofErr w:type="spellEnd"/>
      <w:r>
        <w:t>.</w:t>
      </w:r>
    </w:p>
    <w:p w14:paraId="331CF78C" w14:textId="77777777" w:rsidR="000E7BCB" w:rsidRDefault="000E7BCB"/>
    <w:p w14:paraId="7951971D" w14:textId="77777777" w:rsidR="000E7BCB" w:rsidRDefault="00A620E4">
      <w:pPr>
        <w:numPr>
          <w:ilvl w:val="0"/>
          <w:numId w:val="19"/>
        </w:numPr>
      </w:pPr>
      <w:proofErr w:type="spellStart"/>
      <w:r>
        <w:t>Akademia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Sovran</w:t>
      </w:r>
    </w:p>
    <w:p w14:paraId="4A1F2AE5" w14:textId="77777777" w:rsidR="000E7BCB" w:rsidRDefault="000E7BCB"/>
    <w:p w14:paraId="28BD7AAB" w14:textId="77777777" w:rsidR="000E7BCB" w:rsidRDefault="00A620E4">
      <w:pPr>
        <w:numPr>
          <w:ilvl w:val="3"/>
          <w:numId w:val="19"/>
        </w:numPr>
      </w:pPr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,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planifikohet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mundësive</w:t>
      </w:r>
      <w:proofErr w:type="spellEnd"/>
      <w:r>
        <w:t xml:space="preserve"> </w:t>
      </w:r>
      <w:proofErr w:type="spellStart"/>
      <w:r>
        <w:t>buxhetore</w:t>
      </w:r>
      <w:proofErr w:type="spellEnd"/>
      <w:r>
        <w:t xml:space="preserve"> </w:t>
      </w:r>
      <w:proofErr w:type="spellStart"/>
      <w:r>
        <w:t>themelimi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njësi</w:t>
      </w:r>
      <w:proofErr w:type="spellEnd"/>
      <w:r>
        <w:t xml:space="preserve"> e </w:t>
      </w:r>
      <w:proofErr w:type="spellStart"/>
      <w:r>
        <w:t>veçantë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Akademisë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Sovran. </w:t>
      </w:r>
      <w:proofErr w:type="spellStart"/>
      <w:r>
        <w:t>Akademia</w:t>
      </w:r>
      <w:proofErr w:type="spellEnd"/>
      <w:r>
        <w:t xml:space="preserve"> do ta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trajnimin</w:t>
      </w:r>
      <w:proofErr w:type="spellEnd"/>
      <w:r>
        <w:t xml:space="preserve"> e </w:t>
      </w:r>
      <w:proofErr w:type="spellStart"/>
      <w:r>
        <w:t>kuadrave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kultivimin</w:t>
      </w:r>
      <w:proofErr w:type="spellEnd"/>
      <w:r>
        <w:t xml:space="preserve"> e </w:t>
      </w:r>
      <w:proofErr w:type="spellStart"/>
      <w:r>
        <w:t>marrëdhënie</w:t>
      </w:r>
      <w:proofErr w:type="spellEnd"/>
      <w:r>
        <w:t xml:space="preserve"> me </w:t>
      </w:r>
      <w:proofErr w:type="spellStart"/>
      <w:r>
        <w:t>institucionet</w:t>
      </w:r>
      <w:proofErr w:type="spellEnd"/>
      <w:r>
        <w:t xml:space="preserve"> </w:t>
      </w:r>
      <w:proofErr w:type="spellStart"/>
      <w:r>
        <w:t>arsimore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jashtë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rekrutimit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talentit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trajnimit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kandidatëve</w:t>
      </w:r>
      <w:proofErr w:type="spellEnd"/>
      <w:r>
        <w:t xml:space="preserve"> </w:t>
      </w:r>
      <w:proofErr w:type="spellStart"/>
      <w:r>
        <w:t>sidomos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fushat</w:t>
      </w:r>
      <w:proofErr w:type="spellEnd"/>
      <w:r>
        <w:t xml:space="preserve"> </w:t>
      </w:r>
      <w:proofErr w:type="spellStart"/>
      <w:r>
        <w:t>defiçitare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tregut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. </w:t>
      </w:r>
      <w:proofErr w:type="spellStart"/>
      <w:r>
        <w:t>Akademia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përfshijë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studentë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dalluar</w:t>
      </w:r>
      <w:proofErr w:type="spellEnd"/>
      <w:r>
        <w:t xml:space="preserve"> </w:t>
      </w:r>
      <w:proofErr w:type="spellStart"/>
      <w:r>
        <w:t>kosovarë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fushat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ftohen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praktikë</w:t>
      </w:r>
      <w:proofErr w:type="spellEnd"/>
      <w:r>
        <w:t xml:space="preserve"> (</w:t>
      </w:r>
      <w:r>
        <w:rPr>
          <w:i/>
        </w:rPr>
        <w:t>internship</w:t>
      </w:r>
      <w:r>
        <w:t xml:space="preserve">) </w:t>
      </w:r>
      <w:proofErr w:type="spellStart"/>
      <w:r>
        <w:t>në</w:t>
      </w:r>
      <w:proofErr w:type="spellEnd"/>
      <w:r>
        <w:t xml:space="preserve"> Fond, apo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institucione</w:t>
      </w:r>
      <w:proofErr w:type="spellEnd"/>
      <w:r>
        <w:t xml:space="preserve"> </w:t>
      </w:r>
      <w:proofErr w:type="spellStart"/>
      <w:r>
        <w:t>homologe</w:t>
      </w:r>
      <w:proofErr w:type="spellEnd"/>
      <w:r>
        <w:t xml:space="preserve"> </w:t>
      </w:r>
      <w:proofErr w:type="spellStart"/>
      <w:r>
        <w:t>jashtë</w:t>
      </w:r>
      <w:proofErr w:type="spellEnd"/>
      <w:r>
        <w:t xml:space="preserve"> </w:t>
      </w:r>
      <w:proofErr w:type="spellStart"/>
      <w:r>
        <w:t>vendit</w:t>
      </w:r>
      <w:proofErr w:type="spellEnd"/>
      <w:r>
        <w:t xml:space="preserve">. </w:t>
      </w:r>
    </w:p>
    <w:p w14:paraId="0817C60B" w14:textId="77777777" w:rsidR="000E7BCB" w:rsidRDefault="000E7BCB"/>
    <w:p w14:paraId="13155842" w14:textId="77777777" w:rsidR="000E7BCB" w:rsidRDefault="00A620E4">
      <w:pPr>
        <w:numPr>
          <w:ilvl w:val="3"/>
          <w:numId w:val="19"/>
        </w:numPr>
      </w:pPr>
      <w:proofErr w:type="spellStart"/>
      <w:r>
        <w:t>Akademia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organizojë</w:t>
      </w:r>
      <w:proofErr w:type="spellEnd"/>
      <w:r>
        <w:t xml:space="preserve"> </w:t>
      </w:r>
      <w:proofErr w:type="spellStart"/>
      <w:r>
        <w:t>aktivitete</w:t>
      </w:r>
      <w:proofErr w:type="spellEnd"/>
      <w:r>
        <w:t xml:space="preserve"> </w:t>
      </w:r>
      <w:proofErr w:type="spellStart"/>
      <w:r>
        <w:t>trajnuese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stafin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,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avancimit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marrjes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njohurive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reja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fushës</w:t>
      </w:r>
      <w:proofErr w:type="spellEnd"/>
      <w:r>
        <w:t xml:space="preserve">. </w:t>
      </w:r>
    </w:p>
    <w:p w14:paraId="34E7A1A9" w14:textId="77777777" w:rsidR="000E7BCB" w:rsidRDefault="000E7BCB"/>
    <w:p w14:paraId="3531A763" w14:textId="77777777" w:rsidR="000E7BCB" w:rsidRDefault="00A620E4">
      <w:pPr>
        <w:numPr>
          <w:ilvl w:val="3"/>
          <w:numId w:val="19"/>
        </w:numPr>
      </w:pPr>
      <w:proofErr w:type="spellStart"/>
      <w:r>
        <w:t>Sipas</w:t>
      </w:r>
      <w:proofErr w:type="spellEnd"/>
      <w:r>
        <w:t xml:space="preserve"> </w:t>
      </w:r>
      <w:proofErr w:type="spellStart"/>
      <w:r>
        <w:t>mundësive</w:t>
      </w:r>
      <w:proofErr w:type="spellEnd"/>
      <w:r>
        <w:t xml:space="preserve">, </w:t>
      </w:r>
      <w:proofErr w:type="spellStart"/>
      <w:r>
        <w:t>Akademia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menaxhojë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Program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Avancimit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,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veçantë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ndarë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konkurrente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financojë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bursave</w:t>
      </w:r>
      <w:proofErr w:type="spellEnd"/>
      <w:r>
        <w:t xml:space="preserve"> </w:t>
      </w:r>
      <w:proofErr w:type="spellStart"/>
      <w:r>
        <w:t>studimet</w:t>
      </w:r>
      <w:proofErr w:type="spellEnd"/>
      <w:r>
        <w:t xml:space="preserve"> e </w:t>
      </w:r>
      <w:proofErr w:type="spellStart"/>
      <w:r>
        <w:t>larta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fushat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</w:t>
      </w:r>
      <w:proofErr w:type="spellStart"/>
      <w:r>
        <w:t>menaxheriale</w:t>
      </w:r>
      <w:proofErr w:type="spellEnd"/>
      <w:r>
        <w:t xml:space="preserve">,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qëndrueshmërisë</w:t>
      </w:r>
      <w:proofErr w:type="spellEnd"/>
      <w:r>
        <w:t xml:space="preserve"> </w:t>
      </w:r>
      <w:proofErr w:type="spellStart"/>
      <w:r>
        <w:t>ambientale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nivelit</w:t>
      </w:r>
      <w:proofErr w:type="spellEnd"/>
      <w:r>
        <w:t xml:space="preserve"> Master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)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universitete</w:t>
      </w:r>
      <w:proofErr w:type="spellEnd"/>
      <w:r>
        <w:t xml:space="preserve"> me </w:t>
      </w:r>
      <w:proofErr w:type="spellStart"/>
      <w:r>
        <w:t>renome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kandidatë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pas </w:t>
      </w:r>
      <w:proofErr w:type="spellStart"/>
      <w:r>
        <w:t>përfundimit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studimeve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obligohen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kontribojnë</w:t>
      </w:r>
      <w:proofErr w:type="spellEnd"/>
      <w:r>
        <w:t xml:space="preserve"> apo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Fond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entitetet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periudhë</w:t>
      </w:r>
      <w:proofErr w:type="spellEnd"/>
      <w:r>
        <w:t xml:space="preserve"> jo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shkurtër</w:t>
      </w:r>
      <w:proofErr w:type="spellEnd"/>
      <w:r>
        <w:t xml:space="preserve"> se </w:t>
      </w:r>
      <w:proofErr w:type="spellStart"/>
      <w:r>
        <w:t>pesë</w:t>
      </w:r>
      <w:proofErr w:type="spellEnd"/>
      <w:r>
        <w:t xml:space="preserve"> </w:t>
      </w:r>
      <w:proofErr w:type="spellStart"/>
      <w:r>
        <w:t>vite</w:t>
      </w:r>
      <w:proofErr w:type="spellEnd"/>
      <w:r>
        <w:t>.</w:t>
      </w:r>
    </w:p>
    <w:p w14:paraId="4CEF5662" w14:textId="77777777" w:rsidR="000E7BCB" w:rsidRDefault="000E7BCB"/>
    <w:p w14:paraId="14D1CA24" w14:textId="77777777" w:rsidR="000E7BCB" w:rsidRDefault="00A620E4">
      <w:pPr>
        <w:numPr>
          <w:ilvl w:val="3"/>
          <w:numId w:val="19"/>
        </w:numPr>
      </w:pPr>
      <w:r>
        <w:t xml:space="preserve">Si </w:t>
      </w:r>
      <w:proofErr w:type="spellStart"/>
      <w:r>
        <w:t>njësi</w:t>
      </w:r>
      <w:proofErr w:type="spellEnd"/>
      <w:r>
        <w:t xml:space="preserve"> e </w:t>
      </w:r>
      <w:proofErr w:type="spellStart"/>
      <w:r>
        <w:t>veçantë</w:t>
      </w:r>
      <w:proofErr w:type="spellEnd"/>
      <w:r>
        <w:t xml:space="preserve">, </w:t>
      </w:r>
      <w:proofErr w:type="spellStart"/>
      <w:r>
        <w:t>Akademia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udhëhiqet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Drejtor</w:t>
      </w:r>
      <w:proofErr w:type="spellEnd"/>
      <w:r>
        <w:t xml:space="preserve"> me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>.</w:t>
      </w:r>
    </w:p>
    <w:p w14:paraId="4F448711" w14:textId="77777777" w:rsidR="000E7BCB" w:rsidRDefault="000E7BCB"/>
    <w:p w14:paraId="12FE75AA" w14:textId="77777777" w:rsidR="000E7BCB" w:rsidRDefault="00A620E4">
      <w:pPr>
        <w:numPr>
          <w:ilvl w:val="0"/>
          <w:numId w:val="19"/>
        </w:numPr>
      </w:pPr>
      <w:proofErr w:type="spellStart"/>
      <w:r>
        <w:t>Provizione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</w:p>
    <w:p w14:paraId="46F4B01B" w14:textId="77777777" w:rsidR="000E7BCB" w:rsidRDefault="000E7BCB"/>
    <w:p w14:paraId="3414E23D" w14:textId="77777777" w:rsidR="000E7BCB" w:rsidRDefault="00A620E4">
      <w:pPr>
        <w:numPr>
          <w:ilvl w:val="3"/>
          <w:numId w:val="19"/>
        </w:numPr>
      </w:pPr>
      <w:proofErr w:type="spellStart"/>
      <w:r>
        <w:t>Në</w:t>
      </w:r>
      <w:proofErr w:type="spellEnd"/>
      <w:r>
        <w:t xml:space="preserve"> </w:t>
      </w:r>
      <w:proofErr w:type="spellStart"/>
      <w:r>
        <w:t>asnjë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, </w:t>
      </w:r>
      <w:proofErr w:type="spellStart"/>
      <w:r>
        <w:t>Qeveria</w:t>
      </w:r>
      <w:proofErr w:type="spellEnd"/>
      <w:r>
        <w:t xml:space="preserve">, </w:t>
      </w:r>
      <w:proofErr w:type="spellStart"/>
      <w:r>
        <w:t>Kuvendi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asnjë</w:t>
      </w:r>
      <w:proofErr w:type="spellEnd"/>
      <w:r>
        <w:t xml:space="preserve"> </w:t>
      </w:r>
      <w:proofErr w:type="spellStart"/>
      <w:r>
        <w:t>agjension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Republikës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ofrojë</w:t>
      </w:r>
      <w:proofErr w:type="spellEnd"/>
      <w:r>
        <w:t xml:space="preserve"> apo </w:t>
      </w:r>
      <w:proofErr w:type="spellStart"/>
      <w:r>
        <w:t>japë</w:t>
      </w:r>
      <w:proofErr w:type="spellEnd"/>
      <w:r>
        <w:t xml:space="preserve"> </w:t>
      </w:r>
      <w:proofErr w:type="spellStart"/>
      <w:r>
        <w:t>asetet</w:t>
      </w:r>
      <w:proofErr w:type="spellEnd"/>
      <w:r>
        <w:t xml:space="preserve"> e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hipotekë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çfarëdo</w:t>
      </w:r>
      <w:proofErr w:type="spellEnd"/>
      <w:r>
        <w:t xml:space="preserve"> </w:t>
      </w:r>
      <w:proofErr w:type="spellStart"/>
      <w:r>
        <w:t>marrëveshje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</w:t>
      </w:r>
      <w:proofErr w:type="spellStart"/>
      <w:r>
        <w:t>kredi</w:t>
      </w:r>
      <w:proofErr w:type="spellEnd"/>
      <w:r>
        <w:t xml:space="preserve">, </w:t>
      </w:r>
      <w:proofErr w:type="spellStart"/>
      <w:r>
        <w:t>pagesë</w:t>
      </w:r>
      <w:proofErr w:type="spellEnd"/>
      <w:r>
        <w:t xml:space="preserve">, </w:t>
      </w:r>
      <w:proofErr w:type="spellStart"/>
      <w:r>
        <w:t>shlyerje</w:t>
      </w:r>
      <w:proofErr w:type="spellEnd"/>
      <w:r>
        <w:t xml:space="preserve"> </w:t>
      </w:r>
      <w:proofErr w:type="spellStart"/>
      <w:r>
        <w:t>borxhi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transaksion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, </w:t>
      </w:r>
      <w:proofErr w:type="spellStart"/>
      <w:r>
        <w:t>qoftë</w:t>
      </w:r>
      <w:proofErr w:type="spellEnd"/>
      <w:r>
        <w:t xml:space="preserve"> me </w:t>
      </w:r>
      <w:proofErr w:type="spellStart"/>
      <w:r>
        <w:t>palë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brendshme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jashtme</w:t>
      </w:r>
      <w:proofErr w:type="spellEnd"/>
      <w:r>
        <w:t>.</w:t>
      </w:r>
    </w:p>
    <w:p w14:paraId="2037FD41" w14:textId="77777777" w:rsidR="000E7BCB" w:rsidRDefault="000E7BCB"/>
    <w:p w14:paraId="1EFB57D8" w14:textId="77777777" w:rsidR="000E7BCB" w:rsidRDefault="00A620E4">
      <w:pPr>
        <w:numPr>
          <w:ilvl w:val="3"/>
          <w:numId w:val="19"/>
        </w:numPr>
      </w:pPr>
      <w:proofErr w:type="spellStart"/>
      <w:r>
        <w:t>Në</w:t>
      </w:r>
      <w:proofErr w:type="spellEnd"/>
      <w:r>
        <w:t xml:space="preserve"> </w:t>
      </w:r>
      <w:proofErr w:type="spellStart"/>
      <w:r>
        <w:t>asnjë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bëjë</w:t>
      </w:r>
      <w:proofErr w:type="spellEnd"/>
      <w:r>
        <w:t xml:space="preserve"> </w:t>
      </w:r>
      <w:proofErr w:type="spellStart"/>
      <w:r>
        <w:t>transaksione</w:t>
      </w:r>
      <w:proofErr w:type="spellEnd"/>
      <w:r>
        <w:t xml:space="preserve"> as </w:t>
      </w:r>
      <w:proofErr w:type="spellStart"/>
      <w:r>
        <w:t>nënshkruajë</w:t>
      </w:r>
      <w:proofErr w:type="spellEnd"/>
      <w:r>
        <w:t xml:space="preserve"> </w:t>
      </w:r>
      <w:proofErr w:type="spellStart"/>
      <w:r>
        <w:t>kontratë</w:t>
      </w:r>
      <w:proofErr w:type="spellEnd"/>
      <w:r>
        <w:t xml:space="preserve">, p.sh., </w:t>
      </w:r>
      <w:proofErr w:type="spellStart"/>
      <w:r>
        <w:t>marrje</w:t>
      </w:r>
      <w:proofErr w:type="spellEnd"/>
      <w:r>
        <w:t xml:space="preserve"> </w:t>
      </w:r>
      <w:proofErr w:type="spellStart"/>
      <w:r>
        <w:t>kredie</w:t>
      </w:r>
      <w:proofErr w:type="spellEnd"/>
      <w:r>
        <w:t xml:space="preserve"> apo </w:t>
      </w:r>
      <w:proofErr w:type="spellStart"/>
      <w:r>
        <w:t>ofrimin</w:t>
      </w:r>
      <w:proofErr w:type="spellEnd"/>
      <w:r>
        <w:t xml:space="preserve"> e </w:t>
      </w:r>
      <w:proofErr w:type="spellStart"/>
      <w:r>
        <w:lastRenderedPageBreak/>
        <w:t>garancave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</w:t>
      </w:r>
      <w:proofErr w:type="spellStart"/>
      <w:r>
        <w:t>kusht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cilës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dhënia</w:t>
      </w:r>
      <w:proofErr w:type="spellEnd"/>
      <w:r>
        <w:t xml:space="preserve"> e </w:t>
      </w:r>
      <w:proofErr w:type="spellStart"/>
      <w:r>
        <w:t>aseteve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peng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hipotekë</w:t>
      </w:r>
      <w:proofErr w:type="spellEnd"/>
      <w:r>
        <w:t xml:space="preserve">.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transaksion</w:t>
      </w:r>
      <w:proofErr w:type="spellEnd"/>
      <w:r>
        <w:t xml:space="preserve"> me </w:t>
      </w:r>
      <w:proofErr w:type="spellStart"/>
      <w:r>
        <w:t>palë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treta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garanca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bazën</w:t>
      </w:r>
      <w:proofErr w:type="spellEnd"/>
      <w:r>
        <w:t xml:space="preserve"> e </w:t>
      </w:r>
      <w:proofErr w:type="spellStart"/>
      <w:r>
        <w:t>vlerës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realizuar</w:t>
      </w:r>
      <w:proofErr w:type="spellEnd"/>
      <w:r>
        <w:t xml:space="preserve"> apo </w:t>
      </w:r>
      <w:proofErr w:type="spellStart"/>
      <w:r>
        <w:t>potenciale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kthimit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asete</w:t>
      </w:r>
      <w:proofErr w:type="spellEnd"/>
      <w:r>
        <w:t xml:space="preserve"> (p.sh., </w:t>
      </w:r>
      <w:proofErr w:type="spellStart"/>
      <w:r>
        <w:t>emetimit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bonove</w:t>
      </w:r>
      <w:proofErr w:type="spellEnd"/>
      <w:r>
        <w:t>).</w:t>
      </w:r>
    </w:p>
    <w:p w14:paraId="2B65B9E9" w14:textId="77777777" w:rsidR="000E7BCB" w:rsidRDefault="000E7BCB"/>
    <w:p w14:paraId="7899DB36" w14:textId="77777777" w:rsidR="000E7BCB" w:rsidRDefault="00A620E4">
      <w:pPr>
        <w:numPr>
          <w:ilvl w:val="3"/>
          <w:numId w:val="19"/>
        </w:numPr>
      </w:pPr>
      <w:proofErr w:type="spellStart"/>
      <w:r>
        <w:t>Sikur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sipër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asnjë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asnjë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shërben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garant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cilëndo</w:t>
      </w:r>
      <w:proofErr w:type="spellEnd"/>
      <w:r>
        <w:t xml:space="preserve"> </w:t>
      </w:r>
      <w:proofErr w:type="spellStart"/>
      <w:r>
        <w:t>ndërmarrje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e ka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. </w:t>
      </w:r>
      <w:proofErr w:type="spellStart"/>
      <w:r>
        <w:t>Ndërmarrjet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kërkojnë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dhënien</w:t>
      </w:r>
      <w:proofErr w:type="spellEnd"/>
      <w:r>
        <w:t xml:space="preserve"> e </w:t>
      </w:r>
      <w:proofErr w:type="spellStart"/>
      <w:r>
        <w:t>garancive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detyrimet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. Ky </w:t>
      </w:r>
      <w:proofErr w:type="spellStart"/>
      <w:r>
        <w:t>provizion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ndalon</w:t>
      </w:r>
      <w:proofErr w:type="spellEnd"/>
      <w:r>
        <w:t xml:space="preserve"> </w:t>
      </w:r>
      <w:proofErr w:type="spellStart"/>
      <w:r>
        <w:t>ndërmarrjet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detyrimet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mbështeten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garanci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palë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,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, </w:t>
      </w:r>
      <w:proofErr w:type="spellStart"/>
      <w:r>
        <w:t>institucionet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institucione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, </w:t>
      </w:r>
      <w:proofErr w:type="spellStart"/>
      <w:r>
        <w:t>përderisa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veprime</w:t>
      </w:r>
      <w:proofErr w:type="spellEnd"/>
      <w:r>
        <w:t xml:space="preserve"> </w:t>
      </w:r>
      <w:proofErr w:type="spellStart"/>
      <w:r>
        <w:t>mbështeten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strategjinë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korporative</w:t>
      </w:r>
      <w:proofErr w:type="spellEnd"/>
      <w:r>
        <w:t>.</w:t>
      </w:r>
    </w:p>
    <w:p w14:paraId="417B8FF7" w14:textId="77777777" w:rsidR="000E7BCB" w:rsidRDefault="000E7BCB"/>
    <w:p w14:paraId="3C4EDF8E" w14:textId="77777777" w:rsidR="000E7BCB" w:rsidRDefault="00A620E4">
      <w:pPr>
        <w:numPr>
          <w:ilvl w:val="3"/>
          <w:numId w:val="19"/>
        </w:numPr>
      </w:pPr>
      <w:proofErr w:type="spellStart"/>
      <w:r>
        <w:t>Përveç</w:t>
      </w:r>
      <w:proofErr w:type="spellEnd"/>
      <w:r>
        <w:t xml:space="preserve"> </w:t>
      </w:r>
      <w:proofErr w:type="spellStart"/>
      <w:r>
        <w:t>raportit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, </w:t>
      </w:r>
      <w:proofErr w:type="spellStart"/>
      <w:r>
        <w:t>Fondi</w:t>
      </w:r>
      <w:proofErr w:type="spellEnd"/>
      <w:r>
        <w:t xml:space="preserve"> Sovran </w:t>
      </w:r>
      <w:proofErr w:type="spellStart"/>
      <w:r>
        <w:t>i</w:t>
      </w:r>
      <w:proofErr w:type="spellEnd"/>
      <w:r>
        <w:t xml:space="preserve"> </w:t>
      </w:r>
      <w:proofErr w:type="spellStart"/>
      <w:r>
        <w:t>nënshtrohet</w:t>
      </w:r>
      <w:proofErr w:type="spellEnd"/>
      <w:r>
        <w:t xml:space="preserve"> </w:t>
      </w:r>
      <w:proofErr w:type="spellStart"/>
      <w:r>
        <w:t>auditimit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 xml:space="preserve"> </w:t>
      </w:r>
      <w:proofErr w:type="spellStart"/>
      <w:r>
        <w:t>periodik</w:t>
      </w:r>
      <w:proofErr w:type="spellEnd"/>
      <w:r>
        <w:t xml:space="preserve">. </w:t>
      </w:r>
      <w:proofErr w:type="spellStart"/>
      <w:r>
        <w:t>Raporti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auditimit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dërgohet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, </w:t>
      </w:r>
      <w:proofErr w:type="spellStart"/>
      <w:r>
        <w:t>Kryeministrit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Ministrit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Financave</w:t>
      </w:r>
      <w:proofErr w:type="spellEnd"/>
      <w:r>
        <w:t>.</w:t>
      </w:r>
    </w:p>
    <w:p w14:paraId="38E328D9" w14:textId="77777777" w:rsidR="000E7BCB" w:rsidRDefault="000E7BCB"/>
    <w:p w14:paraId="7DA2D3A3" w14:textId="77777777" w:rsidR="000E7BCB" w:rsidRDefault="00A620E4">
      <w:pPr>
        <w:numPr>
          <w:ilvl w:val="4"/>
          <w:numId w:val="19"/>
        </w:numPr>
      </w:pPr>
      <w:proofErr w:type="spellStart"/>
      <w:r>
        <w:t>Fondi</w:t>
      </w:r>
      <w:proofErr w:type="spellEnd"/>
      <w:r>
        <w:t xml:space="preserve"> </w:t>
      </w:r>
      <w:proofErr w:type="spellStart"/>
      <w:r>
        <w:t>mban</w:t>
      </w:r>
      <w:proofErr w:type="spellEnd"/>
      <w:r>
        <w:t xml:space="preserve"> </w:t>
      </w:r>
      <w:proofErr w:type="spellStart"/>
      <w:r>
        <w:t>llogaritë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librat</w:t>
      </w:r>
      <w:proofErr w:type="spellEnd"/>
      <w:r>
        <w:t xml:space="preserve"> </w:t>
      </w:r>
      <w:proofErr w:type="spellStart"/>
      <w:r>
        <w:t>financiarë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pajtim</w:t>
      </w:r>
      <w:proofErr w:type="spellEnd"/>
      <w:r>
        <w:t xml:space="preserve"> me </w:t>
      </w:r>
      <w:proofErr w:type="spellStart"/>
      <w:r>
        <w:t>Standardet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Raportimit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(SNRF)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shfaqur</w:t>
      </w:r>
      <w:proofErr w:type="spellEnd"/>
      <w:r>
        <w:t xml:space="preserve"> </w:t>
      </w:r>
      <w:proofErr w:type="spellStart"/>
      <w:r>
        <w:t>operacionet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gjendjen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tij</w:t>
      </w:r>
      <w:proofErr w:type="spellEnd"/>
      <w:r>
        <w:t>.</w:t>
      </w:r>
    </w:p>
    <w:p w14:paraId="6A9E0701" w14:textId="77777777" w:rsidR="000E7BCB" w:rsidRDefault="000E7BCB"/>
    <w:p w14:paraId="4B7F95B1" w14:textId="77777777" w:rsidR="000E7BCB" w:rsidRDefault="00A620E4">
      <w:pPr>
        <w:numPr>
          <w:ilvl w:val="4"/>
          <w:numId w:val="19"/>
        </w:numPr>
      </w:pPr>
      <w:proofErr w:type="spellStart"/>
      <w:r>
        <w:t>Pasqyrat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auditohen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publikohen</w:t>
      </w:r>
      <w:proofErr w:type="spellEnd"/>
      <w:r>
        <w:t xml:space="preserve"> jo </w:t>
      </w:r>
      <w:proofErr w:type="spellStart"/>
      <w:r>
        <w:t>më</w:t>
      </w:r>
      <w:proofErr w:type="spellEnd"/>
      <w:r>
        <w:t xml:space="preserve"> </w:t>
      </w:r>
      <w:proofErr w:type="spellStart"/>
      <w:r>
        <w:t>vonë</w:t>
      </w:r>
      <w:proofErr w:type="spellEnd"/>
      <w:r>
        <w:t xml:space="preserve"> se 30 </w:t>
      </w:r>
      <w:proofErr w:type="spellStart"/>
      <w:r>
        <w:t>qershor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</w:t>
      </w:r>
      <w:proofErr w:type="spellStart"/>
      <w:r>
        <w:t>paraprak</w:t>
      </w:r>
      <w:proofErr w:type="spellEnd"/>
      <w:r>
        <w:t>.</w:t>
      </w:r>
    </w:p>
    <w:p w14:paraId="789E8974" w14:textId="77777777" w:rsidR="000E7BCB" w:rsidRDefault="000E7BCB"/>
    <w:p w14:paraId="750C2564" w14:textId="77777777" w:rsidR="000E7BCB" w:rsidRDefault="00A620E4">
      <w:pPr>
        <w:numPr>
          <w:ilvl w:val="4"/>
          <w:numId w:val="19"/>
        </w:numPr>
      </w:pPr>
      <w:proofErr w:type="spellStart"/>
      <w:r>
        <w:t>Llogaritë</w:t>
      </w:r>
      <w:proofErr w:type="spellEnd"/>
      <w:r>
        <w:t xml:space="preserve">, </w:t>
      </w:r>
      <w:proofErr w:type="spellStart"/>
      <w:r>
        <w:t>librat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pasqyrat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auditohen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auditor </w:t>
      </w:r>
      <w:proofErr w:type="spellStart"/>
      <w:r>
        <w:t>i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pavarur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e </w:t>
      </w:r>
      <w:proofErr w:type="spellStart"/>
      <w:r>
        <w:t>aprovuar</w:t>
      </w:r>
      <w:proofErr w:type="spellEnd"/>
      <w:r>
        <w:t xml:space="preserve"> e </w:t>
      </w:r>
      <w:proofErr w:type="spellStart"/>
      <w:r>
        <w:t>auditorëve</w:t>
      </w:r>
      <w:proofErr w:type="spellEnd"/>
      <w:r>
        <w:t xml:space="preserve"> </w:t>
      </w:r>
      <w:proofErr w:type="spellStart"/>
      <w:r>
        <w:t>ligjor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firmave</w:t>
      </w:r>
      <w:proofErr w:type="spellEnd"/>
      <w:r>
        <w:t xml:space="preserve"> </w:t>
      </w:r>
      <w:proofErr w:type="spellStart"/>
      <w:r>
        <w:t>audituese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Këshillit</w:t>
      </w:r>
      <w:proofErr w:type="spellEnd"/>
      <w:r>
        <w:t xml:space="preserve"> Kosovar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Raportim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emëruar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. I </w:t>
      </w:r>
      <w:proofErr w:type="spellStart"/>
      <w:r>
        <w:t>njëjti</w:t>
      </w:r>
      <w:proofErr w:type="spellEnd"/>
      <w:r>
        <w:t xml:space="preserve"> auditor </w:t>
      </w:r>
      <w:proofErr w:type="spellStart"/>
      <w:r>
        <w:t>i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 xml:space="preserve"> apo </w:t>
      </w:r>
      <w:proofErr w:type="spellStart"/>
      <w:r>
        <w:t>firmë</w:t>
      </w:r>
      <w:proofErr w:type="spellEnd"/>
      <w:r>
        <w:t xml:space="preserve"> </w:t>
      </w:r>
      <w:proofErr w:type="spellStart"/>
      <w:r>
        <w:t>auditimi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angazhohet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r>
        <w:t>tre</w:t>
      </w:r>
      <w:proofErr w:type="spellEnd"/>
      <w:r>
        <w:t xml:space="preserve"> (3) </w:t>
      </w:r>
      <w:proofErr w:type="spellStart"/>
      <w:r>
        <w:t>vite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njëpasnjëshme</w:t>
      </w:r>
      <w:proofErr w:type="spellEnd"/>
      <w:r>
        <w:t>.</w:t>
      </w:r>
    </w:p>
    <w:p w14:paraId="6E037013" w14:textId="77777777" w:rsidR="000E7BCB" w:rsidRDefault="000E7BCB"/>
    <w:p w14:paraId="14EF87C2" w14:textId="77777777" w:rsidR="000E7BCB" w:rsidRDefault="00A620E4">
      <w:pPr>
        <w:numPr>
          <w:ilvl w:val="4"/>
          <w:numId w:val="19"/>
        </w:numPr>
      </w:pPr>
      <w:proofErr w:type="spellStart"/>
      <w:r>
        <w:t>Fondi</w:t>
      </w:r>
      <w:proofErr w:type="spellEnd"/>
      <w:r>
        <w:t xml:space="preserve">, </w:t>
      </w:r>
      <w:proofErr w:type="spellStart"/>
      <w:r>
        <w:t>respektivisht</w:t>
      </w:r>
      <w:proofErr w:type="spellEnd"/>
      <w:r>
        <w:t xml:space="preserve"> </w:t>
      </w:r>
      <w:proofErr w:type="spellStart"/>
      <w:r>
        <w:t>Shefi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,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dorëzojë</w:t>
      </w:r>
      <w:proofErr w:type="spellEnd"/>
      <w:r>
        <w:t xml:space="preserve"> </w:t>
      </w:r>
      <w:proofErr w:type="spellStart"/>
      <w:r>
        <w:t>pasqyrat</w:t>
      </w:r>
      <w:proofErr w:type="spellEnd"/>
      <w:r>
        <w:t xml:space="preserve"> e </w:t>
      </w:r>
      <w:proofErr w:type="spellStart"/>
      <w:r>
        <w:t>audituara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Mbikëqryes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aprovim</w:t>
      </w:r>
      <w:proofErr w:type="spellEnd"/>
      <w:r>
        <w:t>.</w:t>
      </w:r>
    </w:p>
    <w:p w14:paraId="4437E4E2" w14:textId="77777777" w:rsidR="000E7BCB" w:rsidRDefault="000E7BCB"/>
    <w:p w14:paraId="2F548FEA" w14:textId="77777777" w:rsidR="000E7BCB" w:rsidRDefault="00A620E4">
      <w:pPr>
        <w:numPr>
          <w:ilvl w:val="4"/>
          <w:numId w:val="19"/>
        </w:numPr>
      </w:pPr>
      <w:r>
        <w:t xml:space="preserve">Pas </w:t>
      </w:r>
      <w:proofErr w:type="spellStart"/>
      <w:r>
        <w:t>aprovimit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, </w:t>
      </w:r>
      <w:proofErr w:type="spellStart"/>
      <w:r>
        <w:t>raporti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auditimit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dërgohet</w:t>
      </w:r>
      <w:proofErr w:type="spellEnd"/>
      <w:r>
        <w:t xml:space="preserve"> </w:t>
      </w:r>
      <w:proofErr w:type="spellStart"/>
      <w:r>
        <w:t>Ministrit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përkatës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Kuvend</w:t>
      </w:r>
      <w:proofErr w:type="spellEnd"/>
      <w:r>
        <w:t>.</w:t>
      </w:r>
    </w:p>
    <w:p w14:paraId="5A21C75E" w14:textId="77777777" w:rsidR="000E7BCB" w:rsidRDefault="000E7BCB"/>
    <w:p w14:paraId="5CEA464D" w14:textId="77777777" w:rsidR="000E7BCB" w:rsidRDefault="00A620E4">
      <w:pPr>
        <w:numPr>
          <w:ilvl w:val="3"/>
          <w:numId w:val="19"/>
        </w:numPr>
      </w:pPr>
      <w:proofErr w:type="spellStart"/>
      <w:r>
        <w:t>Fondi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liruar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asnjë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detyrimet</w:t>
      </w:r>
      <w:proofErr w:type="spellEnd"/>
      <w:r>
        <w:t xml:space="preserve"> </w:t>
      </w:r>
      <w:proofErr w:type="spellStart"/>
      <w:r>
        <w:t>tatimore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rregullat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nënshtrohet</w:t>
      </w:r>
      <w:proofErr w:type="spellEnd"/>
      <w:r>
        <w:t xml:space="preserve"> </w:t>
      </w:r>
      <w:proofErr w:type="spellStart"/>
      <w:r>
        <w:t>subjektet</w:t>
      </w:r>
      <w:proofErr w:type="spellEnd"/>
      <w:r>
        <w:t xml:space="preserve"> </w:t>
      </w:r>
      <w:proofErr w:type="spellStart"/>
      <w:r>
        <w:t>afariste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Republikën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, </w:t>
      </w:r>
      <w:proofErr w:type="spellStart"/>
      <w:r>
        <w:t>përveç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rastet</w:t>
      </w:r>
      <w:proofErr w:type="spellEnd"/>
      <w:r>
        <w:t xml:space="preserve"> e </w:t>
      </w:r>
      <w:proofErr w:type="spellStart"/>
      <w:r>
        <w:t>caktuara</w:t>
      </w:r>
      <w:proofErr w:type="spellEnd"/>
      <w:r>
        <w:t xml:space="preserve"> me </w:t>
      </w:r>
      <w:proofErr w:type="spellStart"/>
      <w:r>
        <w:t>ligj</w:t>
      </w:r>
      <w:proofErr w:type="spellEnd"/>
      <w:r>
        <w:t>.</w:t>
      </w:r>
    </w:p>
    <w:p w14:paraId="2297DA0E" w14:textId="77777777" w:rsidR="000E7BCB" w:rsidRDefault="000E7BCB"/>
    <w:p w14:paraId="36951C02" w14:textId="77777777" w:rsidR="000E7BCB" w:rsidRDefault="00A620E4">
      <w:pPr>
        <w:numPr>
          <w:ilvl w:val="3"/>
          <w:numId w:val="19"/>
        </w:numPr>
      </w:pPr>
      <w:r>
        <w:t xml:space="preserve">Me </w:t>
      </w:r>
      <w:proofErr w:type="spellStart"/>
      <w:r>
        <w:t>miratimin</w:t>
      </w:r>
      <w:proofErr w:type="spellEnd"/>
      <w:r>
        <w:t xml:space="preserve"> e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Sovran, </w:t>
      </w:r>
      <w:proofErr w:type="spellStart"/>
      <w:r>
        <w:t>Kuvendi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nismën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themelimin</w:t>
      </w:r>
      <w:proofErr w:type="spellEnd"/>
      <w:r>
        <w:t xml:space="preserve"> e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Fondin</w:t>
      </w:r>
      <w:proofErr w:type="spellEnd"/>
      <w:r>
        <w:t xml:space="preserve"> Sovran,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bëjë</w:t>
      </w:r>
      <w:proofErr w:type="spellEnd"/>
      <w:r>
        <w:t xml:space="preserve"> </w:t>
      </w:r>
      <w:proofErr w:type="spellStart"/>
      <w:r>
        <w:t>rekomandimin</w:t>
      </w:r>
      <w:proofErr w:type="spellEnd"/>
      <w:r>
        <w:t xml:space="preserve"> e </w:t>
      </w:r>
      <w:proofErr w:type="spellStart"/>
      <w:r>
        <w:t>emërimeve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Bordin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Fondit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aprovohet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Kuvendi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do ta </w:t>
      </w:r>
      <w:proofErr w:type="spellStart"/>
      <w:r>
        <w:t>bëjë</w:t>
      </w:r>
      <w:proofErr w:type="spellEnd"/>
      <w:r>
        <w:t xml:space="preserve"> </w:t>
      </w:r>
      <w:proofErr w:type="spellStart"/>
      <w:r>
        <w:t>monitorimin</w:t>
      </w:r>
      <w:proofErr w:type="spellEnd"/>
      <w:r>
        <w:t xml:space="preserve"> e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mos-themelimit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Komisioni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tillë</w:t>
      </w:r>
      <w:proofErr w:type="spellEnd"/>
      <w:r>
        <w:t xml:space="preserve">,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punë</w:t>
      </w:r>
      <w:proofErr w:type="spellEnd"/>
      <w:r>
        <w:t xml:space="preserve"> do ta </w:t>
      </w:r>
      <w:proofErr w:type="spellStart"/>
      <w:r>
        <w:t>bëjë</w:t>
      </w:r>
      <w:proofErr w:type="spellEnd"/>
      <w:r>
        <w:t xml:space="preserve"> </w:t>
      </w:r>
      <w:proofErr w:type="spellStart"/>
      <w:r>
        <w:t>Komisioni</w:t>
      </w:r>
      <w:proofErr w:type="spellEnd"/>
      <w:r>
        <w:t xml:space="preserve"> relevant </w:t>
      </w:r>
      <w:proofErr w:type="spellStart"/>
      <w:r>
        <w:t>ekzistues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Kuvendit</w:t>
      </w:r>
      <w:proofErr w:type="spellEnd"/>
      <w:r>
        <w:t xml:space="preserve"> (p.sh. ai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Ekonomisë</w:t>
      </w:r>
      <w:proofErr w:type="spellEnd"/>
      <w:r>
        <w:t>).</w:t>
      </w:r>
    </w:p>
    <w:p w14:paraId="1160592A" w14:textId="77777777" w:rsidR="000E7BCB" w:rsidRDefault="000E7BCB"/>
    <w:p w14:paraId="38494AF8" w14:textId="77777777" w:rsidR="000E7BCB" w:rsidRDefault="00A620E4">
      <w:pPr>
        <w:numPr>
          <w:ilvl w:val="3"/>
          <w:numId w:val="19"/>
        </w:numPr>
      </w:pPr>
      <w:r>
        <w:t xml:space="preserve">Si person </w:t>
      </w:r>
      <w:proofErr w:type="spellStart"/>
      <w:r>
        <w:t>juridik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palë</w:t>
      </w:r>
      <w:proofErr w:type="spellEnd"/>
      <w:r>
        <w:t xml:space="preserve"> e </w:t>
      </w:r>
      <w:proofErr w:type="spellStart"/>
      <w:r>
        <w:t>lirë</w:t>
      </w:r>
      <w:proofErr w:type="spellEnd"/>
      <w:r>
        <w:t xml:space="preserve"> </w:t>
      </w:r>
      <w:proofErr w:type="spellStart"/>
      <w:r>
        <w:t>kontraktuese</w:t>
      </w:r>
      <w:proofErr w:type="spellEnd"/>
      <w:r>
        <w:t xml:space="preserve">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nevojat</w:t>
      </w:r>
      <w:proofErr w:type="spellEnd"/>
      <w:r>
        <w:t xml:space="preserve"> e </w:t>
      </w:r>
      <w:proofErr w:type="spellStart"/>
      <w:r>
        <w:t>veta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kontraktojë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përkohshme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përhershme</w:t>
      </w:r>
      <w:proofErr w:type="spellEnd"/>
      <w:r>
        <w:t xml:space="preserve">,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jashtë</w:t>
      </w:r>
      <w:proofErr w:type="spellEnd"/>
      <w:r>
        <w:t xml:space="preserve"> </w:t>
      </w:r>
      <w:proofErr w:type="spellStart"/>
      <w:r>
        <w:t>vendit</w:t>
      </w:r>
      <w:proofErr w:type="spellEnd"/>
      <w:r>
        <w:t xml:space="preserve">, </w:t>
      </w:r>
      <w:proofErr w:type="spellStart"/>
      <w:r>
        <w:t>shërbime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: </w:t>
      </w:r>
      <w:proofErr w:type="spellStart"/>
      <w:r>
        <w:t>ato</w:t>
      </w:r>
      <w:proofErr w:type="spellEnd"/>
      <w:r>
        <w:t xml:space="preserve"> </w:t>
      </w:r>
      <w:proofErr w:type="spellStart"/>
      <w:r>
        <w:t>bankare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konsulencës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hulumtimit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ndërmjetësimit</w:t>
      </w:r>
      <w:proofErr w:type="spellEnd"/>
      <w:r>
        <w:t xml:space="preserve"> (</w:t>
      </w:r>
      <w:r>
        <w:rPr>
          <w:i/>
        </w:rPr>
        <w:t>brokerage</w:t>
      </w:r>
      <w:r>
        <w:t xml:space="preserve">),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auditimit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menaxhimit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aseteve</w:t>
      </w:r>
      <w:proofErr w:type="spellEnd"/>
      <w:r>
        <w:t xml:space="preserve"> (</w:t>
      </w:r>
      <w:r>
        <w:rPr>
          <w:i/>
        </w:rPr>
        <w:t>asset management</w:t>
      </w:r>
      <w:r>
        <w:t xml:space="preserve">),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informativ</w:t>
      </w:r>
      <w:proofErr w:type="spellEnd"/>
      <w:r>
        <w:t xml:space="preserve"> e </w:t>
      </w:r>
      <w:proofErr w:type="spellStart"/>
      <w:r>
        <w:t>teknologjik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trajnimit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sigurisë</w:t>
      </w:r>
      <w:proofErr w:type="spellEnd"/>
      <w:r>
        <w:t xml:space="preserve"> </w:t>
      </w:r>
      <w:proofErr w:type="spellStart"/>
      <w:r>
        <w:t>fizike</w:t>
      </w:r>
      <w:proofErr w:type="spellEnd"/>
      <w:r>
        <w:t xml:space="preserve"> e </w:t>
      </w:r>
      <w:proofErr w:type="spellStart"/>
      <w:r>
        <w:t>kibernetike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kontabilitetit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marketingut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rekrutimit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stafit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transportit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udhëtimit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avokatisë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konsulencës</w:t>
      </w:r>
      <w:proofErr w:type="spellEnd"/>
      <w:r>
        <w:t xml:space="preserve"> </w:t>
      </w:r>
      <w:proofErr w:type="spellStart"/>
      <w:r>
        <w:t>juridike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>.</w:t>
      </w:r>
    </w:p>
    <w:p w14:paraId="6ECDD419" w14:textId="77777777" w:rsidR="000E7BCB" w:rsidRDefault="000E7BCB"/>
    <w:p w14:paraId="694EB246" w14:textId="77777777" w:rsidR="000E7BCB" w:rsidRDefault="00A620E4">
      <w:pPr>
        <w:numPr>
          <w:ilvl w:val="3"/>
          <w:numId w:val="19"/>
        </w:numPr>
      </w:pPr>
      <w:proofErr w:type="spellStart"/>
      <w:r>
        <w:t>Fondi</w:t>
      </w:r>
      <w:proofErr w:type="spellEnd"/>
      <w:r>
        <w:t xml:space="preserve">, </w:t>
      </w:r>
      <w:proofErr w:type="spellStart"/>
      <w:r>
        <w:t>respektivisht</w:t>
      </w:r>
      <w:proofErr w:type="spellEnd"/>
      <w:r>
        <w:t xml:space="preserve"> </w:t>
      </w:r>
      <w:proofErr w:type="spellStart"/>
      <w:r>
        <w:t>Bordi</w:t>
      </w:r>
      <w:proofErr w:type="spellEnd"/>
      <w:r>
        <w:t xml:space="preserve"> </w:t>
      </w:r>
      <w:proofErr w:type="spellStart"/>
      <w:r>
        <w:t>Ekzekutiv</w:t>
      </w:r>
      <w:proofErr w:type="spellEnd"/>
      <w:r>
        <w:t xml:space="preserve">,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zbaton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harton</w:t>
      </w:r>
      <w:proofErr w:type="spellEnd"/>
      <w:r>
        <w:t xml:space="preserve"> </w:t>
      </w:r>
      <w:proofErr w:type="spellStart"/>
      <w:r>
        <w:t>Vlerësimet</w:t>
      </w:r>
      <w:proofErr w:type="spellEnd"/>
      <w:r>
        <w:t xml:space="preserve"> e </w:t>
      </w:r>
      <w:proofErr w:type="spellStart"/>
      <w:r>
        <w:t>Impaktit</w:t>
      </w:r>
      <w:proofErr w:type="spellEnd"/>
      <w:r>
        <w:t xml:space="preserve"> (“Impact Assessments”) </w:t>
      </w:r>
      <w:proofErr w:type="spellStart"/>
      <w:r>
        <w:t>për</w:t>
      </w:r>
      <w:proofErr w:type="spellEnd"/>
      <w:r>
        <w:t xml:space="preserve"> ta </w:t>
      </w:r>
      <w:proofErr w:type="spellStart"/>
      <w:r>
        <w:t>vlerësuar</w:t>
      </w:r>
      <w:proofErr w:type="spellEnd"/>
      <w:r>
        <w:t xml:space="preserve"> </w:t>
      </w:r>
      <w:proofErr w:type="spellStart"/>
      <w:r>
        <w:t>efektivitetin</w:t>
      </w:r>
      <w:proofErr w:type="spellEnd"/>
      <w:r>
        <w:t xml:space="preserve"> e </w:t>
      </w:r>
      <w:proofErr w:type="spellStart"/>
      <w:r>
        <w:t>institucionit</w:t>
      </w:r>
      <w:proofErr w:type="spellEnd"/>
      <w:r>
        <w:t xml:space="preserve">, </w:t>
      </w:r>
      <w:proofErr w:type="spellStart"/>
      <w:r>
        <w:t>shtrirjen</w:t>
      </w:r>
      <w:proofErr w:type="spellEnd"/>
      <w:r>
        <w:t xml:space="preserve">, </w:t>
      </w:r>
      <w:proofErr w:type="spellStart"/>
      <w:r>
        <w:t>sfidat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rezultatet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themelimi</w:t>
      </w:r>
      <w:proofErr w:type="spellEnd"/>
      <w:r>
        <w:t xml:space="preserve">. </w:t>
      </w:r>
      <w:proofErr w:type="spellStart"/>
      <w:r>
        <w:t>Raporti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detajuar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VI </w:t>
      </w:r>
      <w:proofErr w:type="spellStart"/>
      <w:r>
        <w:t>i</w:t>
      </w:r>
      <w:proofErr w:type="spellEnd"/>
      <w:r>
        <w:t xml:space="preserve"> </w:t>
      </w:r>
      <w:proofErr w:type="spellStart"/>
      <w:r>
        <w:t>dorëzohet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Mbikëqyres</w:t>
      </w:r>
      <w:proofErr w:type="spellEnd"/>
      <w:r>
        <w:t>.</w:t>
      </w:r>
    </w:p>
    <w:p w14:paraId="0B1A168D" w14:textId="77777777" w:rsidR="000E7BCB" w:rsidRDefault="000E7BCB"/>
    <w:p w14:paraId="02DFE104" w14:textId="77777777" w:rsidR="000E7BCB" w:rsidRDefault="00A620E4">
      <w:pPr>
        <w:numPr>
          <w:ilvl w:val="3"/>
          <w:numId w:val="19"/>
        </w:numPr>
      </w:pP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ndërmarrjet</w:t>
      </w:r>
      <w:proofErr w:type="spellEnd"/>
      <w:r>
        <w:t xml:space="preserve"> e </w:t>
      </w:r>
      <w:proofErr w:type="spellStart"/>
      <w:r>
        <w:t>brendshme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gëzon</w:t>
      </w:r>
      <w:proofErr w:type="spellEnd"/>
      <w:r>
        <w:t xml:space="preserve"> </w:t>
      </w:r>
      <w:proofErr w:type="spellStart"/>
      <w:r>
        <w:t>pronësi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,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kërkohet</w:t>
      </w:r>
      <w:proofErr w:type="spellEnd"/>
      <w:r>
        <w:t xml:space="preserve"> </w:t>
      </w:r>
      <w:proofErr w:type="spellStart"/>
      <w:r>
        <w:t>ekzistimi</w:t>
      </w:r>
      <w:proofErr w:type="spellEnd"/>
      <w:r>
        <w:t xml:space="preserve"> </w:t>
      </w:r>
      <w:proofErr w:type="spellStart"/>
      <w:r>
        <w:t>funksional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Këshillit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Punëtorëve</w:t>
      </w:r>
      <w:proofErr w:type="spellEnd"/>
      <w:r>
        <w:t xml:space="preserve"> </w:t>
      </w:r>
      <w:proofErr w:type="spellStart"/>
      <w:r>
        <w:t>dhe</w:t>
      </w:r>
      <w:proofErr w:type="spellEnd"/>
      <w:r>
        <w:t>/</w:t>
      </w:r>
      <w:proofErr w:type="spellStart"/>
      <w:r>
        <w:t>ose</w:t>
      </w:r>
      <w:proofErr w:type="spellEnd"/>
      <w:r>
        <w:t xml:space="preserve"> </w:t>
      </w:r>
      <w:proofErr w:type="spellStart"/>
      <w:r>
        <w:t>organizimit</w:t>
      </w:r>
      <w:proofErr w:type="spellEnd"/>
      <w:r>
        <w:t xml:space="preserve"> </w:t>
      </w:r>
      <w:proofErr w:type="spellStart"/>
      <w:r>
        <w:t>përkatës</w:t>
      </w:r>
      <w:proofErr w:type="spellEnd"/>
      <w:r>
        <w:t xml:space="preserve"> </w:t>
      </w:r>
      <w:proofErr w:type="spellStart"/>
      <w:r>
        <w:t>sindikal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 xml:space="preserve"> </w:t>
      </w:r>
      <w:proofErr w:type="spellStart"/>
      <w:r>
        <w:t>kolektive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legjislacionit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, </w:t>
      </w:r>
      <w:proofErr w:type="spellStart"/>
      <w:r>
        <w:t>pjesëmarrja</w:t>
      </w:r>
      <w:proofErr w:type="spellEnd"/>
      <w:r>
        <w:t xml:space="preserve"> e </w:t>
      </w:r>
      <w:proofErr w:type="spellStart"/>
      <w:r>
        <w:t>barazpeshuar</w:t>
      </w:r>
      <w:proofErr w:type="spellEnd"/>
      <w:r>
        <w:t xml:space="preserve"> </w:t>
      </w:r>
      <w:proofErr w:type="spellStart"/>
      <w:r>
        <w:t>gjinore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borde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menaxhment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lastRenderedPageBreak/>
        <w:t>implementimi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dekarbonizimit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qëndrueshmërisë</w:t>
      </w:r>
      <w:proofErr w:type="spellEnd"/>
      <w:r>
        <w:t xml:space="preserve"> </w:t>
      </w:r>
      <w:proofErr w:type="spellStart"/>
      <w:r>
        <w:t>ambientale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veprimtarinë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planifikimin</w:t>
      </w:r>
      <w:proofErr w:type="spellEnd"/>
      <w:r>
        <w:t xml:space="preserve"> </w:t>
      </w:r>
      <w:proofErr w:type="spellStart"/>
      <w:r>
        <w:t>afarist</w:t>
      </w:r>
      <w:proofErr w:type="spellEnd"/>
      <w:r>
        <w:t>.</w:t>
      </w:r>
    </w:p>
    <w:p w14:paraId="61C7F5FF" w14:textId="77777777" w:rsidR="000E7BCB" w:rsidRDefault="00A620E4">
      <w:r>
        <w:br w:type="page"/>
      </w:r>
    </w:p>
    <w:p w14:paraId="4F352389" w14:textId="77777777" w:rsidR="004B4024" w:rsidRPr="00B75FD6" w:rsidRDefault="004B4024" w:rsidP="004B4024">
      <w:pPr>
        <w:pStyle w:val="Heading1"/>
      </w:pPr>
      <w:bookmarkStart w:id="42" w:name="_Toc93312405"/>
      <w:r>
        <w:rPr>
          <w:rStyle w:val="normaltextrun"/>
          <w:rFonts w:cs="Calibri"/>
          <w:bCs/>
          <w:color w:val="000000"/>
          <w:sz w:val="26"/>
          <w:szCs w:val="26"/>
        </w:rPr>
        <w:lastRenderedPageBreak/>
        <w:t xml:space="preserve">SHTOJCA 2: </w:t>
      </w:r>
      <w:r w:rsidRPr="00B75FD6">
        <w:rPr>
          <w:rStyle w:val="normaltextrun"/>
          <w:rFonts w:cs="Calibri"/>
          <w:bCs/>
          <w:color w:val="000000"/>
          <w:sz w:val="26"/>
          <w:szCs w:val="26"/>
        </w:rPr>
        <w:t>LISTË PËRMBLEDHËSE E NDËRMARRJEVE DHE ASETEVE SHOQËRORE</w:t>
      </w:r>
      <w:r w:rsidRPr="00B75FD6">
        <w:rPr>
          <w:rStyle w:val="eop"/>
          <w:rFonts w:cs="Calibri"/>
          <w:bCs/>
          <w:color w:val="000000"/>
          <w:sz w:val="26"/>
          <w:szCs w:val="26"/>
        </w:rPr>
        <w:t xml:space="preserve"> TË ADMINISTRUARA NGA AKP </w:t>
      </w:r>
      <w:r w:rsidRPr="00B75FD6">
        <w:rPr>
          <w:rStyle w:val="normaltextrun"/>
          <w:rFonts w:cs="Calibri"/>
          <w:bCs/>
          <w:color w:val="000000"/>
          <w:sz w:val="26"/>
          <w:szCs w:val="26"/>
        </w:rPr>
        <w:t>ME POTENCIAL KALIMI NË FONDIN SOVRAN</w:t>
      </w:r>
      <w:bookmarkEnd w:id="42"/>
    </w:p>
    <w:p w14:paraId="44A11ED4" w14:textId="77777777" w:rsidR="004B4024" w:rsidRPr="00B75FD6" w:rsidRDefault="004B4024" w:rsidP="004B4024">
      <w:pPr>
        <w:pStyle w:val="paragraph"/>
        <w:ind w:left="150"/>
        <w:textAlignment w:val="baseline"/>
        <w:rPr>
          <w:rFonts w:ascii="Book Antiqua" w:hAnsi="Book Antiqua"/>
          <w:color w:val="000000"/>
        </w:rPr>
      </w:pP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Sipas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t</w:t>
      </w:r>
      <w:r w:rsidRPr="00B75FD6">
        <w:rPr>
          <w:rStyle w:val="normaltextrun"/>
          <w:rFonts w:ascii="Book Antiqua" w:hAnsi="Book Antiqua" w:cs="Calibri"/>
          <w:color w:val="000000"/>
          <w:lang w:val="sq-AL"/>
        </w:rPr>
        <w:t>ë dhënave nga Agjensia Kosovare e Privatizimit (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tetor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2021),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janë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592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Ndërmarrje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>/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njësi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punuese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cilat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janë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nën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administrimin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e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Agjencisë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dhe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atë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>:</w:t>
      </w:r>
      <w:r w:rsidRPr="00B75FD6">
        <w:rPr>
          <w:rStyle w:val="eop"/>
          <w:rFonts w:ascii="Book Antiqua" w:hAnsi="Book Antiqua" w:cs="Calibri"/>
          <w:color w:val="000000"/>
        </w:rPr>
        <w:t> </w:t>
      </w:r>
    </w:p>
    <w:p w14:paraId="74287F9B" w14:textId="77777777" w:rsidR="004B4024" w:rsidRPr="00B75FD6" w:rsidRDefault="004B4024" w:rsidP="004B4024">
      <w:pPr>
        <w:pStyle w:val="paragraph"/>
        <w:numPr>
          <w:ilvl w:val="0"/>
          <w:numId w:val="28"/>
        </w:numPr>
        <w:textAlignment w:val="baseline"/>
        <w:rPr>
          <w:rStyle w:val="eop"/>
          <w:rFonts w:ascii="Book Antiqua" w:hAnsi="Book Antiqua"/>
          <w:color w:val="000000"/>
        </w:rPr>
      </w:pPr>
      <w:r w:rsidRPr="00B75FD6">
        <w:rPr>
          <w:rStyle w:val="normaltextrun"/>
          <w:rFonts w:ascii="Book Antiqua" w:hAnsi="Book Antiqua" w:cs="Calibri"/>
          <w:color w:val="000000"/>
        </w:rPr>
        <w:t xml:space="preserve">515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janë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gjithsej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Ndërmarrje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Shoqërore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dhe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Ndërmarrjeve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Reja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;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dhe</w:t>
      </w:r>
      <w:proofErr w:type="spellEnd"/>
    </w:p>
    <w:p w14:paraId="50B46048" w14:textId="77777777" w:rsidR="004B4024" w:rsidRPr="00B75FD6" w:rsidRDefault="004B4024" w:rsidP="004B4024">
      <w:pPr>
        <w:pStyle w:val="paragraph"/>
        <w:numPr>
          <w:ilvl w:val="0"/>
          <w:numId w:val="28"/>
        </w:numPr>
        <w:textAlignment w:val="baseline"/>
        <w:rPr>
          <w:rFonts w:ascii="Book Antiqua" w:hAnsi="Book Antiqua"/>
          <w:color w:val="000000"/>
        </w:rPr>
      </w:pPr>
      <w:r w:rsidRPr="00B75FD6">
        <w:rPr>
          <w:rStyle w:val="normaltextrun"/>
          <w:rFonts w:ascii="Book Antiqua" w:hAnsi="Book Antiqua" w:cs="Calibri"/>
          <w:color w:val="000000"/>
        </w:rPr>
        <w:t xml:space="preserve">77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janë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gjithsej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asete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>/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njësive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punuese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Kosovë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,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ku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selitë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e NSH-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ve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janë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jashtë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Kosovës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>.</w:t>
      </w:r>
      <w:r w:rsidRPr="00B75FD6">
        <w:rPr>
          <w:rStyle w:val="eop"/>
          <w:rFonts w:ascii="Book Antiqua" w:hAnsi="Book Antiqua" w:cs="Calibri"/>
          <w:color w:val="000000"/>
        </w:rPr>
        <w:t> </w:t>
      </w:r>
    </w:p>
    <w:p w14:paraId="32DE977A" w14:textId="77777777" w:rsidR="004B4024" w:rsidRPr="00B75FD6" w:rsidRDefault="004B4024" w:rsidP="004B4024">
      <w:pPr>
        <w:pStyle w:val="paragraph"/>
        <w:ind w:left="105"/>
        <w:textAlignment w:val="baseline"/>
        <w:rPr>
          <w:rFonts w:ascii="Book Antiqua" w:hAnsi="Book Antiqua"/>
          <w:color w:val="000000"/>
        </w:rPr>
      </w:pP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Statusi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aktual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i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gjitha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ndërmarrjeve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>/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njësive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punuese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nën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administrim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Agjencisë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është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si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vijim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>:</w:t>
      </w:r>
      <w:r w:rsidRPr="00B75FD6">
        <w:rPr>
          <w:rStyle w:val="eop"/>
          <w:rFonts w:ascii="Book Antiqua" w:hAnsi="Book Antiqua" w:cs="Calibri"/>
          <w:color w:val="000000"/>
        </w:rPr>
        <w:t> </w:t>
      </w:r>
    </w:p>
    <w:p w14:paraId="2065FDB0" w14:textId="77777777" w:rsidR="004B4024" w:rsidRPr="00B75FD6" w:rsidRDefault="004B4024" w:rsidP="004B4024">
      <w:pPr>
        <w:pStyle w:val="paragraph"/>
        <w:numPr>
          <w:ilvl w:val="0"/>
          <w:numId w:val="27"/>
        </w:numPr>
        <w:ind w:left="1230" w:firstLine="0"/>
        <w:textAlignment w:val="baseline"/>
        <w:rPr>
          <w:rStyle w:val="eop"/>
          <w:rFonts w:ascii="Book Antiqua" w:hAnsi="Book Antiqua" w:cs="Calibri"/>
          <w:color w:val="000000"/>
        </w:rPr>
      </w:pPr>
      <w:r w:rsidRPr="00B75FD6">
        <w:rPr>
          <w:rStyle w:val="normaltextrun"/>
          <w:rFonts w:ascii="Book Antiqua" w:hAnsi="Book Antiqua" w:cs="Calibri"/>
          <w:color w:val="000000"/>
        </w:rPr>
        <w:t xml:space="preserve">579 NSH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vendosura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proofErr w:type="gramStart"/>
      <w:r w:rsidRPr="00B75FD6">
        <w:rPr>
          <w:rStyle w:val="normaltextrun"/>
          <w:rFonts w:ascii="Book Antiqua" w:hAnsi="Book Antiqua" w:cs="Calibri"/>
          <w:color w:val="000000"/>
        </w:rPr>
        <w:t>Likuidim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>;</w:t>
      </w:r>
      <w:proofErr w:type="gramEnd"/>
      <w:r w:rsidRPr="00B75FD6">
        <w:rPr>
          <w:rStyle w:val="eop"/>
          <w:rFonts w:ascii="Book Antiqua" w:hAnsi="Book Antiqua" w:cs="Calibri"/>
          <w:color w:val="000000"/>
        </w:rPr>
        <w:t> </w:t>
      </w:r>
    </w:p>
    <w:p w14:paraId="03C1FEAA" w14:textId="77777777" w:rsidR="004B4024" w:rsidRPr="00B75FD6" w:rsidRDefault="004B4024" w:rsidP="004B4024">
      <w:pPr>
        <w:pStyle w:val="paragraph"/>
        <w:numPr>
          <w:ilvl w:val="0"/>
          <w:numId w:val="27"/>
        </w:numPr>
        <w:ind w:left="1230" w:firstLine="0"/>
        <w:textAlignment w:val="baseline"/>
        <w:rPr>
          <w:rFonts w:ascii="Book Antiqua" w:hAnsi="Book Antiqua" w:cs="Calibri"/>
          <w:color w:val="000000"/>
        </w:rPr>
      </w:pPr>
      <w:r w:rsidRPr="00B75FD6">
        <w:rPr>
          <w:rStyle w:val="normaltextrun"/>
          <w:rFonts w:ascii="Book Antiqua" w:hAnsi="Book Antiqua" w:cs="Calibri"/>
          <w:color w:val="000000"/>
        </w:rPr>
        <w:t xml:space="preserve">544 NSH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ende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proces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proofErr w:type="gramStart"/>
      <w:r w:rsidRPr="00B75FD6">
        <w:rPr>
          <w:rStyle w:val="normaltextrun"/>
          <w:rFonts w:ascii="Book Antiqua" w:hAnsi="Book Antiqua" w:cs="Calibri"/>
          <w:color w:val="000000"/>
        </w:rPr>
        <w:t>Likuidimit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>;</w:t>
      </w:r>
      <w:proofErr w:type="gramEnd"/>
      <w:r w:rsidRPr="00B75FD6">
        <w:rPr>
          <w:rStyle w:val="eop"/>
          <w:rFonts w:ascii="Book Antiqua" w:hAnsi="Book Antiqua" w:cs="Calibri"/>
          <w:color w:val="000000"/>
        </w:rPr>
        <w:t> </w:t>
      </w:r>
    </w:p>
    <w:p w14:paraId="44537C4D" w14:textId="77777777" w:rsidR="004B4024" w:rsidRPr="00B75FD6" w:rsidRDefault="004B4024" w:rsidP="004B4024">
      <w:pPr>
        <w:pStyle w:val="paragraph"/>
        <w:numPr>
          <w:ilvl w:val="0"/>
          <w:numId w:val="27"/>
        </w:numPr>
        <w:ind w:left="1230" w:firstLine="0"/>
        <w:textAlignment w:val="baseline"/>
        <w:rPr>
          <w:rFonts w:ascii="Book Antiqua" w:hAnsi="Book Antiqua" w:cs="Calibri"/>
          <w:color w:val="000000"/>
        </w:rPr>
      </w:pPr>
      <w:r w:rsidRPr="00B75FD6">
        <w:rPr>
          <w:rStyle w:val="normaltextrun"/>
          <w:rFonts w:ascii="Book Antiqua" w:hAnsi="Book Antiqua" w:cs="Calibri"/>
          <w:color w:val="000000"/>
        </w:rPr>
        <w:t xml:space="preserve">35 NSH me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proces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përmbyllur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me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vendim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Dhomës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së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proofErr w:type="gramStart"/>
      <w:r w:rsidRPr="00B75FD6">
        <w:rPr>
          <w:rStyle w:val="normaltextrun"/>
          <w:rFonts w:ascii="Book Antiqua" w:hAnsi="Book Antiqua" w:cs="Calibri"/>
          <w:color w:val="000000"/>
        </w:rPr>
        <w:t>Posaçme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>;</w:t>
      </w:r>
      <w:proofErr w:type="gramEnd"/>
      <w:r w:rsidRPr="00B75FD6">
        <w:rPr>
          <w:rStyle w:val="eop"/>
          <w:rFonts w:ascii="Book Antiqua" w:hAnsi="Book Antiqua" w:cs="Calibri"/>
          <w:color w:val="000000"/>
        </w:rPr>
        <w:t> </w:t>
      </w:r>
    </w:p>
    <w:p w14:paraId="51D466D2" w14:textId="77777777" w:rsidR="004B4024" w:rsidRPr="00B75FD6" w:rsidRDefault="004B4024" w:rsidP="004B4024">
      <w:pPr>
        <w:pStyle w:val="paragraph"/>
        <w:numPr>
          <w:ilvl w:val="0"/>
          <w:numId w:val="27"/>
        </w:numPr>
        <w:ind w:left="1230" w:firstLine="0"/>
        <w:textAlignment w:val="baseline"/>
        <w:rPr>
          <w:rFonts w:ascii="Book Antiqua" w:hAnsi="Book Antiqua" w:cs="Calibri"/>
          <w:color w:val="000000"/>
        </w:rPr>
      </w:pPr>
      <w:r w:rsidRPr="00B75FD6">
        <w:rPr>
          <w:rStyle w:val="normaltextrun"/>
          <w:rFonts w:ascii="Book Antiqua" w:hAnsi="Book Antiqua" w:cs="Calibri"/>
          <w:color w:val="000000"/>
        </w:rPr>
        <w:t xml:space="preserve">15 NSH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tranzicion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,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cilat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ende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nuk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i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janë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nënshtruar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procesit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proofErr w:type="gramStart"/>
      <w:r w:rsidRPr="00B75FD6">
        <w:rPr>
          <w:rStyle w:val="normaltextrun"/>
          <w:rFonts w:ascii="Book Antiqua" w:hAnsi="Book Antiqua" w:cs="Calibri"/>
          <w:color w:val="000000"/>
        </w:rPr>
        <w:t>likuidimit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>;</w:t>
      </w:r>
      <w:proofErr w:type="gramEnd"/>
      <w:r w:rsidRPr="00B75FD6">
        <w:rPr>
          <w:rStyle w:val="eop"/>
          <w:rFonts w:ascii="Book Antiqua" w:hAnsi="Book Antiqua" w:cs="Calibri"/>
          <w:color w:val="000000"/>
        </w:rPr>
        <w:t> </w:t>
      </w:r>
    </w:p>
    <w:p w14:paraId="5C795FC1" w14:textId="77777777" w:rsidR="004B4024" w:rsidRPr="00B75FD6" w:rsidRDefault="004B4024" w:rsidP="004B4024">
      <w:pPr>
        <w:pStyle w:val="paragraph"/>
        <w:numPr>
          <w:ilvl w:val="0"/>
          <w:numId w:val="27"/>
        </w:numPr>
        <w:ind w:left="1230" w:firstLine="0"/>
        <w:textAlignment w:val="baseline"/>
        <w:rPr>
          <w:rFonts w:ascii="Book Antiqua" w:hAnsi="Book Antiqua" w:cs="Calibri"/>
          <w:color w:val="000000"/>
        </w:rPr>
      </w:pPr>
      <w:r w:rsidRPr="00B75FD6">
        <w:rPr>
          <w:rStyle w:val="normaltextrun"/>
          <w:rFonts w:ascii="Book Antiqua" w:hAnsi="Book Antiqua" w:cs="Calibri"/>
          <w:color w:val="000000"/>
        </w:rPr>
        <w:t xml:space="preserve">11 NSH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cilat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nuk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administrohen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nga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AKP, por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që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procesi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i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transferimit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tyre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ende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nuk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ka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përfunduar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me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institucionet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tjera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(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Kosovatransat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dhe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Ekonomitë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Pyjore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>).</w:t>
      </w:r>
      <w:r w:rsidRPr="00B75FD6">
        <w:rPr>
          <w:rStyle w:val="eop"/>
          <w:rFonts w:ascii="Book Antiqua" w:hAnsi="Book Antiqua" w:cs="Calibri"/>
          <w:color w:val="000000"/>
        </w:rPr>
        <w:t> </w:t>
      </w:r>
    </w:p>
    <w:p w14:paraId="375B444F" w14:textId="77777777" w:rsidR="004B4024" w:rsidRPr="00B75FD6" w:rsidRDefault="004B4024" w:rsidP="004B4024">
      <w:pPr>
        <w:pStyle w:val="paragraph"/>
        <w:ind w:left="30"/>
        <w:textAlignment w:val="baseline"/>
        <w:rPr>
          <w:rFonts w:ascii="Book Antiqua" w:hAnsi="Book Antiqua"/>
          <w:color w:val="000000"/>
        </w:rPr>
      </w:pPr>
      <w:r w:rsidRPr="00B75FD6">
        <w:rPr>
          <w:rStyle w:val="normaltextrun"/>
          <w:rFonts w:ascii="Book Antiqua" w:hAnsi="Book Antiqua" w:cs="Calibri"/>
          <w:color w:val="000000"/>
        </w:rPr>
        <w:t xml:space="preserve">2,364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asete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,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është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numri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total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i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aseteve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(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prej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cilave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815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asete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tjera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dhe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1,549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toka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)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pronësi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NSH-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ve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dhe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që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nuk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i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janë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nënshtruar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ende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procesit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transformimit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pronësor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(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shitje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apo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shpronësime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), e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që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administrohen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nga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Agjencia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>.</w:t>
      </w:r>
      <w:r w:rsidRPr="00B75FD6">
        <w:rPr>
          <w:rStyle w:val="eop"/>
          <w:rFonts w:ascii="Book Antiqua" w:hAnsi="Book Antiqua" w:cs="Calibri"/>
          <w:color w:val="000000"/>
        </w:rPr>
        <w:t> </w:t>
      </w:r>
    </w:p>
    <w:p w14:paraId="43585255" w14:textId="77777777" w:rsidR="004B4024" w:rsidRDefault="004B4024" w:rsidP="004B4024">
      <w:pPr>
        <w:pStyle w:val="paragraph"/>
        <w:textAlignment w:val="baseline"/>
        <w:rPr>
          <w:rStyle w:val="eop"/>
          <w:rFonts w:ascii="Book Antiqua" w:hAnsi="Book Antiqua" w:cs="Calibri"/>
          <w:color w:val="000000"/>
        </w:rPr>
      </w:pP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Më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poshtë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po e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paraqesim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një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normaltextrun"/>
          <w:rFonts w:ascii="Book Antiqua" w:hAnsi="Book Antiqua" w:cs="Calibri"/>
          <w:color w:val="000000"/>
        </w:rPr>
        <w:t>listë</w:t>
      </w:r>
      <w:proofErr w:type="spellEnd"/>
      <w:r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një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num</w:t>
      </w:r>
      <w:r>
        <w:rPr>
          <w:rStyle w:val="normaltextrun"/>
          <w:rFonts w:ascii="Book Antiqua" w:hAnsi="Book Antiqua" w:cs="Calibri"/>
          <w:color w:val="000000"/>
        </w:rPr>
        <w:t>i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këtyre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aseteve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cilat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normaltextrun"/>
          <w:rFonts w:ascii="Book Antiqua" w:hAnsi="Book Antiqua" w:cs="Calibri"/>
          <w:color w:val="000000"/>
        </w:rPr>
        <w:t>kanë</w:t>
      </w:r>
      <w:proofErr w:type="spellEnd"/>
      <w:r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potencial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apo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vlerë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më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madhe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,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ndara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sipas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zyrave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rajonale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Agjencisë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,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respektivisht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pesë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(5)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Zyrave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rajonale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që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vete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mbulojnë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territore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ndryshme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komunale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ku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janë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të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shtrira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këto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 xml:space="preserve"> </w:t>
      </w:r>
      <w:proofErr w:type="spellStart"/>
      <w:r w:rsidRPr="00B75FD6">
        <w:rPr>
          <w:rStyle w:val="normaltextrun"/>
          <w:rFonts w:ascii="Book Antiqua" w:hAnsi="Book Antiqua" w:cs="Calibri"/>
          <w:color w:val="000000"/>
        </w:rPr>
        <w:t>asete</w:t>
      </w:r>
      <w:proofErr w:type="spellEnd"/>
      <w:r w:rsidRPr="00B75FD6">
        <w:rPr>
          <w:rStyle w:val="normaltextrun"/>
          <w:rFonts w:ascii="Book Antiqua" w:hAnsi="Book Antiqua" w:cs="Calibri"/>
          <w:color w:val="000000"/>
        </w:rPr>
        <w:t>.</w:t>
      </w:r>
      <w:r w:rsidRPr="00B75FD6">
        <w:rPr>
          <w:rStyle w:val="eop"/>
          <w:rFonts w:ascii="Book Antiqua" w:hAnsi="Book Antiqua" w:cs="Calibri"/>
          <w:color w:val="000000"/>
        </w:rPr>
        <w:t> </w:t>
      </w:r>
    </w:p>
    <w:p w14:paraId="2E5B533B" w14:textId="77777777" w:rsidR="004B4024" w:rsidRDefault="004B4024" w:rsidP="004B4024">
      <w:pPr>
        <w:pStyle w:val="paragraph"/>
        <w:textAlignment w:val="baseline"/>
        <w:rPr>
          <w:rStyle w:val="eop"/>
          <w:rFonts w:ascii="Book Antiqua" w:hAnsi="Book Antiqua" w:cs="Calibri"/>
          <w:color w:val="000000"/>
        </w:rPr>
      </w:pPr>
      <w:proofErr w:type="spellStart"/>
      <w:r>
        <w:rPr>
          <w:rStyle w:val="eop"/>
          <w:rFonts w:ascii="Book Antiqua" w:hAnsi="Book Antiqua" w:cs="Calibri"/>
          <w:color w:val="000000"/>
        </w:rPr>
        <w:t>Siç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theksohet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në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pikën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4.3.6.3 </w:t>
      </w:r>
      <w:proofErr w:type="spellStart"/>
      <w:r>
        <w:rPr>
          <w:rStyle w:val="eop"/>
          <w:rFonts w:ascii="Book Antiqua" w:hAnsi="Book Antiqua" w:cs="Calibri"/>
          <w:color w:val="000000"/>
        </w:rPr>
        <w:t>të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Koncept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Dokumentit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, </w:t>
      </w:r>
      <w:proofErr w:type="spellStart"/>
      <w:r>
        <w:rPr>
          <w:rStyle w:val="eop"/>
          <w:rFonts w:ascii="Book Antiqua" w:hAnsi="Book Antiqua" w:cs="Calibri"/>
          <w:color w:val="000000"/>
        </w:rPr>
        <w:t>transferi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i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çdo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aseti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aktualisht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të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menaxhuar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nga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AKP </w:t>
      </w:r>
      <w:proofErr w:type="spellStart"/>
      <w:r>
        <w:rPr>
          <w:rStyle w:val="eop"/>
          <w:rFonts w:ascii="Book Antiqua" w:hAnsi="Book Antiqua" w:cs="Calibri"/>
          <w:color w:val="000000"/>
        </w:rPr>
        <w:t>kërkon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(1) </w:t>
      </w:r>
      <w:proofErr w:type="spellStart"/>
      <w:r>
        <w:rPr>
          <w:rStyle w:val="eop"/>
          <w:rFonts w:ascii="Book Antiqua" w:hAnsi="Book Antiqua" w:cs="Calibri"/>
          <w:color w:val="000000"/>
        </w:rPr>
        <w:t>likuidimin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e </w:t>
      </w:r>
      <w:proofErr w:type="spellStart"/>
      <w:r>
        <w:rPr>
          <w:rStyle w:val="eop"/>
          <w:rFonts w:ascii="Book Antiqua" w:hAnsi="Book Antiqua" w:cs="Calibri"/>
          <w:color w:val="000000"/>
        </w:rPr>
        <w:t>ndërmarrjes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ekzistuese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e </w:t>
      </w:r>
      <w:proofErr w:type="spellStart"/>
      <w:r>
        <w:rPr>
          <w:rStyle w:val="eop"/>
          <w:rFonts w:ascii="Book Antiqua" w:hAnsi="Book Antiqua" w:cs="Calibri"/>
          <w:color w:val="000000"/>
        </w:rPr>
        <w:t>cila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posedon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asetin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/et </w:t>
      </w:r>
      <w:proofErr w:type="spellStart"/>
      <w:r>
        <w:rPr>
          <w:rStyle w:val="eop"/>
          <w:rFonts w:ascii="Book Antiqua" w:hAnsi="Book Antiqua" w:cs="Calibri"/>
          <w:color w:val="000000"/>
        </w:rPr>
        <w:t>në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fjalë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, </w:t>
      </w:r>
      <w:proofErr w:type="spellStart"/>
      <w:r>
        <w:rPr>
          <w:rStyle w:val="eop"/>
          <w:rFonts w:ascii="Book Antiqua" w:hAnsi="Book Antiqua" w:cs="Calibri"/>
          <w:color w:val="000000"/>
        </w:rPr>
        <w:t>në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përputhje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me </w:t>
      </w:r>
      <w:proofErr w:type="spellStart"/>
      <w:r>
        <w:rPr>
          <w:rStyle w:val="eop"/>
          <w:rFonts w:ascii="Book Antiqua" w:hAnsi="Book Antiqua" w:cs="Calibri"/>
          <w:color w:val="000000"/>
        </w:rPr>
        <w:t>Ligjin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për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AKP; (2) </w:t>
      </w:r>
      <w:proofErr w:type="spellStart"/>
      <w:r>
        <w:rPr>
          <w:rStyle w:val="eop"/>
          <w:rFonts w:ascii="Book Antiqua" w:hAnsi="Book Antiqua" w:cs="Calibri"/>
          <w:color w:val="000000"/>
        </w:rPr>
        <w:t>organizimin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e </w:t>
      </w:r>
      <w:proofErr w:type="spellStart"/>
      <w:r>
        <w:rPr>
          <w:rStyle w:val="eop"/>
          <w:rFonts w:ascii="Book Antiqua" w:hAnsi="Book Antiqua" w:cs="Calibri"/>
          <w:color w:val="000000"/>
        </w:rPr>
        <w:t>asetit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në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kuadër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të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një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ndërmarrje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të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re </w:t>
      </w:r>
      <w:proofErr w:type="spellStart"/>
      <w:r>
        <w:rPr>
          <w:rStyle w:val="eop"/>
          <w:rFonts w:ascii="Book Antiqua" w:hAnsi="Book Antiqua" w:cs="Calibri"/>
          <w:color w:val="000000"/>
        </w:rPr>
        <w:t>të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specializuar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, </w:t>
      </w:r>
      <w:proofErr w:type="spellStart"/>
      <w:r>
        <w:rPr>
          <w:rStyle w:val="eop"/>
          <w:rFonts w:ascii="Book Antiqua" w:hAnsi="Book Antiqua" w:cs="Calibri"/>
          <w:color w:val="000000"/>
        </w:rPr>
        <w:t>nën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pronësinë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ose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bashkëpronësinë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e FSRK. </w:t>
      </w:r>
      <w:proofErr w:type="spellStart"/>
      <w:r>
        <w:rPr>
          <w:rStyle w:val="eop"/>
          <w:rFonts w:ascii="Book Antiqua" w:hAnsi="Book Antiqua" w:cs="Calibri"/>
          <w:color w:val="000000"/>
        </w:rPr>
        <w:t>Siç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nënvizohet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në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Koncept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Dokument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, FSRK </w:t>
      </w:r>
      <w:proofErr w:type="spellStart"/>
      <w:r>
        <w:rPr>
          <w:rStyle w:val="eop"/>
          <w:rFonts w:ascii="Book Antiqua" w:hAnsi="Book Antiqua" w:cs="Calibri"/>
          <w:color w:val="000000"/>
        </w:rPr>
        <w:t>në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asnjë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rast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nuk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merr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pronësi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direkte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mbi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asetet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fizike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të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trashëguara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të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ish-Ndërmarrjeve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Shoqërore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(</w:t>
      </w:r>
      <w:proofErr w:type="spellStart"/>
      <w:r>
        <w:rPr>
          <w:rStyle w:val="eop"/>
          <w:rFonts w:ascii="Book Antiqua" w:hAnsi="Book Antiqua" w:cs="Calibri"/>
          <w:color w:val="000000"/>
        </w:rPr>
        <w:t>tokat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, </w:t>
      </w:r>
      <w:proofErr w:type="spellStart"/>
      <w:r>
        <w:rPr>
          <w:rStyle w:val="eop"/>
          <w:rFonts w:ascii="Book Antiqua" w:hAnsi="Book Antiqua" w:cs="Calibri"/>
          <w:color w:val="000000"/>
        </w:rPr>
        <w:t>palujtshmëritë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, </w:t>
      </w:r>
      <w:proofErr w:type="spellStart"/>
      <w:r>
        <w:rPr>
          <w:rStyle w:val="eop"/>
          <w:rFonts w:ascii="Book Antiqua" w:hAnsi="Book Antiqua" w:cs="Calibri"/>
          <w:color w:val="000000"/>
        </w:rPr>
        <w:t>makineritë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etj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.), por </w:t>
      </w:r>
      <w:proofErr w:type="spellStart"/>
      <w:r>
        <w:rPr>
          <w:rStyle w:val="eop"/>
          <w:rFonts w:ascii="Book Antiqua" w:hAnsi="Book Antiqua" w:cs="Calibri"/>
          <w:color w:val="000000"/>
        </w:rPr>
        <w:t>vepron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vetëm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si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aksionar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dhe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investitor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financiar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në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ndërmarrjet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e </w:t>
      </w:r>
      <w:proofErr w:type="spellStart"/>
      <w:r>
        <w:rPr>
          <w:rStyle w:val="eop"/>
          <w:rFonts w:ascii="Book Antiqua" w:hAnsi="Book Antiqua" w:cs="Calibri"/>
          <w:color w:val="000000"/>
        </w:rPr>
        <w:t>reja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që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do </w:t>
      </w:r>
      <w:proofErr w:type="spellStart"/>
      <w:r>
        <w:rPr>
          <w:rStyle w:val="eop"/>
          <w:rFonts w:ascii="Book Antiqua" w:hAnsi="Book Antiqua" w:cs="Calibri"/>
          <w:color w:val="000000"/>
        </w:rPr>
        <w:t>të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kenë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pronësi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mbi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asetet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e </w:t>
      </w:r>
      <w:proofErr w:type="spellStart"/>
      <w:r>
        <w:rPr>
          <w:rStyle w:val="eop"/>
          <w:rFonts w:ascii="Book Antiqua" w:hAnsi="Book Antiqua" w:cs="Calibri"/>
          <w:color w:val="000000"/>
        </w:rPr>
        <w:t>këtij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lloji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dhe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që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do </w:t>
      </w:r>
      <w:proofErr w:type="spellStart"/>
      <w:r>
        <w:rPr>
          <w:rStyle w:val="eop"/>
          <w:rFonts w:ascii="Book Antiqua" w:hAnsi="Book Antiqua" w:cs="Calibri"/>
          <w:color w:val="000000"/>
        </w:rPr>
        <w:t>t’i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shfrytëzojnë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ato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për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qëllime</w:t>
      </w:r>
      <w:proofErr w:type="spellEnd"/>
      <w:r>
        <w:rPr>
          <w:rStyle w:val="eop"/>
          <w:rFonts w:ascii="Book Antiqua" w:hAnsi="Book Antiqua" w:cs="Calibri"/>
          <w:color w:val="000000"/>
        </w:rPr>
        <w:t xml:space="preserve"> </w:t>
      </w:r>
      <w:proofErr w:type="spellStart"/>
      <w:r>
        <w:rPr>
          <w:rStyle w:val="eop"/>
          <w:rFonts w:ascii="Book Antiqua" w:hAnsi="Book Antiqua" w:cs="Calibri"/>
          <w:color w:val="000000"/>
        </w:rPr>
        <w:t>komerciale</w:t>
      </w:r>
      <w:proofErr w:type="spellEnd"/>
      <w:r>
        <w:rPr>
          <w:rStyle w:val="eop"/>
          <w:rFonts w:ascii="Book Antiqua" w:hAnsi="Book Antiqua" w:cs="Calibri"/>
          <w:color w:val="000000"/>
        </w:rPr>
        <w:t>.</w:t>
      </w:r>
    </w:p>
    <w:p w14:paraId="0094DBCC" w14:textId="77777777" w:rsidR="004B4024" w:rsidRDefault="004B4024" w:rsidP="004B4024"/>
    <w:p w14:paraId="69C0E105" w14:textId="77777777" w:rsidR="004B4024" w:rsidRDefault="004B4024" w:rsidP="004B4024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160"/>
        <w:gridCol w:w="3775"/>
      </w:tblGrid>
      <w:tr w:rsidR="004B4024" w:rsidRPr="00627963" w14:paraId="5FDE3D83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27857AB3" w14:textId="77777777" w:rsidR="004B4024" w:rsidRPr="00627963" w:rsidRDefault="004B4024" w:rsidP="00B35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Nr. </w:t>
            </w:r>
            <w:proofErr w:type="spellStart"/>
            <w:r w:rsidRPr="006279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Rendor</w:t>
            </w:r>
            <w:proofErr w:type="spellEnd"/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46C0E9F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AKP Id.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71DC606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Emri</w:t>
            </w:r>
            <w:proofErr w:type="spellEnd"/>
            <w:r w:rsidRPr="006279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6279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NSH-</w:t>
            </w:r>
            <w:proofErr w:type="spellStart"/>
            <w:r w:rsidRPr="006279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së</w:t>
            </w:r>
            <w:proofErr w:type="spellEnd"/>
            <w:r w:rsidRPr="006279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2E6B27A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Koment</w:t>
            </w:r>
            <w:proofErr w:type="spellEnd"/>
            <w:r w:rsidRPr="0062796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4024" w:rsidRPr="00627963" w14:paraId="3378DC27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6BEABBBB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2730D96A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1811815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729AB0AD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7444BA66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3EA28F0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7D559E4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GJ1059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58A55C4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Jugoterm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5AD33929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099BBCAC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0BAFD97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743647D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616E603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626CF91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0E6FAE79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36A1CE8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787BF14B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GJ1064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45E4C08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73BC009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057C5ED1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6D85171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25D4DED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7275011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0DB8CC2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6FC04BB2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0F4E3452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4639F0B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GJ1170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37D3E4B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NewCo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XIM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Strezovci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56FAD4BD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19340AC0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3F24E13A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04E147C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518AC79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5417340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1AACCA5E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7C8D142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4B4C1DE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MIT023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4223DDB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Ivo Lola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Ribar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Leshak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74FCA0A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2418D2AE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71DC309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2740224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626F3A4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601BC31B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77115940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675717F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133ED51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MIT024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6C80B67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Prva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Petoletka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në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Leposaviq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20E472B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0E120166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6F99E1B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7D75E24D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2E77B1AA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40E78CD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2304DE6A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63CC66D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3393310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MIT028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30CDE132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Ivo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Llolla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Ribar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Zubin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Potok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6544FF59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73C0B872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0CD53D4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6B9BE20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563AB9E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25F99B1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15BCA352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4370D27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5A4806F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MIT036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183FE762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Javor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Zubin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Potok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669C502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28E928AC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00D2338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1B0F27A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2F71A75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362E4A6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6361E084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13CA292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4D99686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MIT048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114709D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Simpo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Zubin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Potok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6D514F7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6C49C52B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3CEF1DF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3C5D69CB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66B05B2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16A5A8C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2848AFF5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651DF6C2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49905F4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MIT050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42A4B2E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Zitoprodukt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Leposavic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436F84DB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3B4230C2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0793212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326B6BC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5E13456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245A678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25E4BDEC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75555B5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669E02C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MIT053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56DD74F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Kosvik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në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Zubin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Potok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08DD1E6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5DBDCB0B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5356D269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44D2F18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6B8839F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6424402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13929196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55234BA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4619F34D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MIT056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6C979C3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Vijak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Zubin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Potok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0F50387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51D63521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78E7D9F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71A2CF72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0DFD311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45510FC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2FFA8AAB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21C120E9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0918500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MITIOI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04C2FE0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Jugobanka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në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Mitrovicë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4798121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3335879A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39A69032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45F6B25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2424AE3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2E3B4792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35582528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279FF77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3EE44B0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PEJ007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571ED5A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Ereniku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Industria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54F77BE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05E0C644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11962EC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498D211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463B744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71E8AA79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1B99034B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1B22DE2C" w14:textId="77777777" w:rsidR="004B4024" w:rsidRPr="00627963" w:rsidRDefault="004B4024" w:rsidP="00B3560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23B1EBB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PEJ009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7BABB77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Ereniku-Virxhinia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05AB66F2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6CC41133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5820229F" w14:textId="77777777" w:rsidR="004B4024" w:rsidRPr="00627963" w:rsidRDefault="004B4024" w:rsidP="00B3560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63DD077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3173B0E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3E556302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579300E2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38D4CAB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15 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567090D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PEJ079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377145D9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Metaliku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0F916316" w14:textId="77777777" w:rsidR="004B4024" w:rsidRPr="00627963" w:rsidRDefault="004B4024" w:rsidP="00B35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NSH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nuk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është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në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likuidim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 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Masë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përkohshme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nga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Dhoma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ç</w:t>
            </w: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për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ç</w:t>
            </w: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ështje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statusore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 </w:t>
            </w:r>
          </w:p>
        </w:tc>
      </w:tr>
      <w:tr w:rsidR="004B4024" w:rsidRPr="00627963" w14:paraId="2A80963F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3D95B94A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33F227E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6BF1582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24CEBEF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40CC23CC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2210AF2D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751D255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7A2E6C32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61F9A21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4FE2162E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728621F9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1ED237A2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PEJ093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01AD042B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Boksitet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65858F9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7BDA1E38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2F79C56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6D966FA2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3F457FA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68400A5A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0149D7E0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79C6506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4806E48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PEJ116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4B79943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Jatex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1237C9EA" w14:textId="77777777" w:rsidR="004B4024" w:rsidRPr="00627963" w:rsidRDefault="004B4024" w:rsidP="00B356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NSH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nuk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është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në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likuidim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 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Masë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përkohshme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nga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Dhoma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Posa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ç</w:t>
            </w: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për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ç</w:t>
            </w: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ështje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statusore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4B4024" w:rsidRPr="00627963" w14:paraId="18D3C91F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08EB52E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46D7B63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5C773D7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657D73E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1EA6337F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0FD7753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57B7A4DA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PEJ166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3B3C270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Pushimorja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fëmijëve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0DB2C7C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0B8E32A3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691256B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7F94B00B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06329DD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5EDE271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2043E2E7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6939612B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5951932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PRN188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2987F60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JEDINSTVO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5FF6F5E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3C5F83BA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67647EC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156151D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518E91DB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657E611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37619C20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374D3E4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295AFD1D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PRN030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22AD1AC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Izolimi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65E9049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551E64A3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36AF42DB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7CA48D1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4FC6B5A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1532B38A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38318363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0A07A13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61BFEF2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PRN093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1B468BE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GËRMIA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7C71E37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2D0A90BD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5E8A375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777AF92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43B5052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129303E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153D6D7C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095F5CE2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2A7B02C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PRN174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4C253F8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MIM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Goleshi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4C02748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7F20584F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709DECF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75996F9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1A59D66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0384223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4C2CF520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16E8DCD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7E6CED9B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PRN180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33E45AC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DUNAV OSIGURANJE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5A7B6DB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3EE0F9B1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73C498D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5827CC7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09DAD33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2AE56F0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7913E654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57D7E43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105A5DC2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PRN103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75CB9E29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URATA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1F7F7E1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309495CB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0B781F6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1A5961B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7205DB1A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65B374C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09EE0FAD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4F4364D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67813D2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PRN136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64135329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JUGO AGRO BANK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546A37D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6D25FCDA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0CDC130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71D2A95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39B7587B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49CA337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5DD001A9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65622B1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021CAB0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PRN006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20D963C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SHPEZËTARIA E PESHKATARIA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4ED5093B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160A1597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0FDC9972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1CF7773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5CA559C9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4E7267E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47C098A1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1BEB0C9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234DA77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PRN054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751E27B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KOMEL BATUSE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20E68D1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45DFB85F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42AC456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65F0913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58FF8EF2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5F1BBAF2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4EA174EC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32B0E1EA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46D799D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PRN111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583579B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PËRPARIMI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168A31B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46DF8FB4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230F53D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1E10D56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06D75F8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0F79989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561F0E7C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0998C4B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44C019B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18A67A6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RILINDJA LIBRARE TREGTARE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45B1EEB2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1BC06A3D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007B938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1FD650E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7BEB22C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06A24F1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364D5C4A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3FB873F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30 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2244867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PRN098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39E8747A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MEKANIZIMI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25C94AF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49F93C22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50DA611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64CAAF6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4EB6ECC9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5AA6BEF9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15941059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7984D0D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774CEF4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PRN112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5D840D32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VIKTORIA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2DFB1CF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35A5A58F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6C43D22A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00E2791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0B4B328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5EDF3FF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45C5A815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2ECD315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10EBDBD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PRN150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435E524D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RTP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14882379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0638EC3F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4ACE004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5BED64A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3D3C4C9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4D530D7A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3AE28CA1" w14:textId="77777777" w:rsidTr="00B35609">
        <w:trPr>
          <w:trHeight w:val="38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CBE81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93342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PRN173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F43F9A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NEWCO GRAND HOTEL </w:t>
            </w:r>
          </w:p>
        </w:tc>
        <w:tc>
          <w:tcPr>
            <w:tcW w:w="3775" w:type="dxa"/>
            <w:shd w:val="clear" w:color="auto" w:fill="auto"/>
            <w:noWrap/>
            <w:vAlign w:val="bottom"/>
            <w:hideMark/>
          </w:tcPr>
          <w:p w14:paraId="4DCC8A4D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3B105F0E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2039E27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67B1D13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PRN066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2BB4DB1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ABC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Genci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5446CC1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099A8A8C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7E1B679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7C62CF7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75BE1BE9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1941BA7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2507C295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08C1DC4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102B505B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PRN149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68B6630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INA TRGOVINA ZAGREB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38014D8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282A1E69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35C08AB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3697993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70DD353B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7150145D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0DB44853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72DD67E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32E7E6E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PRN170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0591173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JUGOPETROL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2A3350E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3EBAC93C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584762C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45A5693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75C19B7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1F774C6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0034EC1A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1EC6D70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4D339496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PRN125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4ED81A0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BANKKOS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536C639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2E1A7A6E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095251ED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361DB89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2D3EF8E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63E0474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4AC1EC75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48D7A46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13CBDAF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GJ1063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0E9C08C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LOLA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Shtérpce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1308917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31F90A62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0C99170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6814345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6A27CEA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1430DF7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2C8A1F0E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3A100FA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1534EFB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GJ1092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2ADCA029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Inex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Sharr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Planina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Brezovica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6CF9219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NSH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nuk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ë</w:t>
            </w: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ë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ë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likuidim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Duhet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konsultime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Qeverin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ë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 </w:t>
            </w:r>
          </w:p>
        </w:tc>
      </w:tr>
      <w:tr w:rsidR="004B4024" w:rsidRPr="00627963" w14:paraId="45E04E79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49D6325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39559CFA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2474023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1185678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3A740A94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492F61E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39CBD4FA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PRZ014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5BB65089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IGK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Ballkan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7C3C902D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7668CE3C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10C6AFE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3156E61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6DC6E56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025AF4AA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10ABC3C0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2DBCC1A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3D5DAC6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PRZ018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4DAD01D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Unimont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012C044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75DDB90E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28814E9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03B0611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20897EF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55D8B67D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55A1F456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561135E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6D4F08B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PRZ026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0C0EF84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Farmakos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3556951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2A94345B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4127597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1D9F017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78091683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0FB19455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4FDD4140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12A958B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05BDD754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GJ1093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5EFA596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Hotel Junior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Brezovica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4543A9FE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24272550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761D1521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54C08DD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7A0F79A7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3EBAED1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216A7869" w14:textId="77777777" w:rsidTr="00B35609">
        <w:trPr>
          <w:trHeight w:val="380"/>
        </w:trPr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0CCF353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44 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14:paraId="043A7ACC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GJ1094 </w:t>
            </w:r>
          </w:p>
        </w:tc>
        <w:tc>
          <w:tcPr>
            <w:tcW w:w="3160" w:type="dxa"/>
            <w:vMerge w:val="restart"/>
            <w:shd w:val="clear" w:color="auto" w:fill="auto"/>
            <w:noWrap/>
            <w:vAlign w:val="bottom"/>
            <w:hideMark/>
          </w:tcPr>
          <w:p w14:paraId="52858D78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Hotel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Lahor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Brezovica</w:t>
            </w:r>
            <w:proofErr w:type="spellEnd"/>
            <w:r w:rsidRPr="0062796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5" w:type="dxa"/>
            <w:vMerge w:val="restart"/>
            <w:shd w:val="clear" w:color="auto" w:fill="auto"/>
            <w:noWrap/>
            <w:vAlign w:val="bottom"/>
            <w:hideMark/>
          </w:tcPr>
          <w:p w14:paraId="6891189F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B4024" w:rsidRPr="00627963" w14:paraId="1468B618" w14:textId="77777777" w:rsidTr="00B35609">
        <w:trPr>
          <w:trHeight w:val="380"/>
        </w:trPr>
        <w:tc>
          <w:tcPr>
            <w:tcW w:w="1300" w:type="dxa"/>
            <w:vMerge/>
            <w:vAlign w:val="center"/>
            <w:hideMark/>
          </w:tcPr>
          <w:p w14:paraId="0C9A1629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14:paraId="0E50D759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vMerge/>
            <w:vAlign w:val="center"/>
            <w:hideMark/>
          </w:tcPr>
          <w:p w14:paraId="4E622A80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  <w:vAlign w:val="center"/>
            <w:hideMark/>
          </w:tcPr>
          <w:p w14:paraId="2705610B" w14:textId="77777777" w:rsidR="004B4024" w:rsidRPr="00627963" w:rsidRDefault="004B4024" w:rsidP="00B356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101E7B0E" w14:textId="77777777" w:rsidR="004B4024" w:rsidRDefault="004B4024"/>
    <w:p w14:paraId="7C6394BC" w14:textId="77777777" w:rsidR="000E7BCB" w:rsidRDefault="000E7BCB"/>
    <w:sectPr w:rsidR="000E7BCB">
      <w:footerReference w:type="even" r:id="rId26"/>
      <w:footerReference w:type="default" r:id="rId2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1D8F" w14:textId="77777777" w:rsidR="00187196" w:rsidRDefault="00187196">
      <w:r>
        <w:separator/>
      </w:r>
    </w:p>
  </w:endnote>
  <w:endnote w:type="continuationSeparator" w:id="0">
    <w:p w14:paraId="1D7F9681" w14:textId="77777777" w:rsidR="00187196" w:rsidRDefault="001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4F6" w14:textId="77777777" w:rsidR="000E7BCB" w:rsidRDefault="00A620E4">
    <w:r>
      <w:fldChar w:fldCharType="begin"/>
    </w:r>
    <w:r>
      <w:instrText>PAGE</w:instrText>
    </w:r>
    <w:r w:rsidR="00B35609">
      <w:fldChar w:fldCharType="separate"/>
    </w:r>
    <w:r>
      <w:fldChar w:fldCharType="end"/>
    </w:r>
  </w:p>
  <w:p w14:paraId="473FC03B" w14:textId="77777777" w:rsidR="000E7BCB" w:rsidRDefault="00A620E4">
    <w:r>
      <w:fldChar w:fldCharType="begin"/>
    </w:r>
    <w:r>
      <w:instrText>PAGE</w:instrText>
    </w:r>
    <w:r w:rsidR="00B35609">
      <w:fldChar w:fldCharType="separate"/>
    </w:r>
    <w:r>
      <w:fldChar w:fldCharType="end"/>
    </w:r>
  </w:p>
  <w:p w14:paraId="73BE807C" w14:textId="77777777" w:rsidR="000E7BCB" w:rsidRDefault="000E7BCB"/>
  <w:p w14:paraId="6E53F8D9" w14:textId="77777777" w:rsidR="000E7BCB" w:rsidRDefault="000E7B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B7A3" w14:textId="77777777" w:rsidR="000E7BCB" w:rsidRDefault="00A620E4">
    <w:pPr>
      <w:jc w:val="center"/>
    </w:pPr>
    <w:r>
      <w:fldChar w:fldCharType="begin"/>
    </w:r>
    <w:r>
      <w:instrText>PAGE</w:instrText>
    </w:r>
    <w:r>
      <w:fldChar w:fldCharType="separate"/>
    </w:r>
    <w:r w:rsidR="00FA194A">
      <w:rPr>
        <w:noProof/>
      </w:rPr>
      <w:t>2</w:t>
    </w:r>
    <w:r>
      <w:fldChar w:fldCharType="end"/>
    </w:r>
  </w:p>
  <w:p w14:paraId="5033C8DF" w14:textId="77777777" w:rsidR="000E7BCB" w:rsidRDefault="000E7BCB"/>
  <w:p w14:paraId="6DADF8FD" w14:textId="77777777" w:rsidR="000E7BCB" w:rsidRDefault="000E7B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BB3E" w14:textId="77777777" w:rsidR="00187196" w:rsidRDefault="00187196">
      <w:r>
        <w:separator/>
      </w:r>
    </w:p>
  </w:footnote>
  <w:footnote w:type="continuationSeparator" w:id="0">
    <w:p w14:paraId="6983186B" w14:textId="77777777" w:rsidR="00187196" w:rsidRDefault="00187196">
      <w:r>
        <w:continuationSeparator/>
      </w:r>
    </w:p>
  </w:footnote>
  <w:footnote w:id="1">
    <w:p w14:paraId="6195ECB4" w14:textId="77777777" w:rsidR="000E7BCB" w:rsidRDefault="00A620E4">
      <w:r>
        <w:rPr>
          <w:rStyle w:val="FootnoteReference"/>
        </w:rPr>
        <w:footnoteRef/>
      </w:r>
      <w:r>
        <w:t xml:space="preserve"> </w:t>
      </w:r>
      <w:r>
        <w:rPr>
          <w:i/>
        </w:rPr>
        <w:t>Shih</w:t>
      </w:r>
      <w:r>
        <w:t xml:space="preserve"> </w:t>
      </w:r>
      <w:proofErr w:type="spellStart"/>
      <w:r>
        <w:t>Alhashel</w:t>
      </w:r>
      <w:proofErr w:type="spellEnd"/>
      <w:r>
        <w:t xml:space="preserve"> B. (2015), Sovereign Wealth Funds: A literature review, Journal of Economics and Business 78 (2015) 1-13. </w:t>
      </w:r>
    </w:p>
  </w:footnote>
  <w:footnote w:id="2">
    <w:p w14:paraId="4FA6AC73" w14:textId="77777777" w:rsidR="000E7BCB" w:rsidRDefault="00A620E4">
      <w:pPr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</w:t>
      </w:r>
      <w:r>
        <w:rPr>
          <w:i/>
          <w:color w:val="000000"/>
        </w:rPr>
        <w:t>Shih</w:t>
      </w:r>
      <w:r>
        <w:rPr>
          <w:color w:val="000000"/>
        </w:rPr>
        <w:t xml:space="preserve"> Sovereign Wealth Fund Institute Website: </w:t>
      </w:r>
      <w:hyperlink r:id="rId1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https://www.swfinstitute.org/research/sovereign-wealth-fund</w:t>
        </w:r>
      </w:hyperlink>
    </w:p>
  </w:footnote>
  <w:footnote w:id="3">
    <w:p w14:paraId="4832A9AB" w14:textId="77777777" w:rsidR="000E7BCB" w:rsidRDefault="00A620E4">
      <w:r>
        <w:rPr>
          <w:rStyle w:val="FootnoteReference"/>
        </w:rPr>
        <w:footnoteRef/>
      </w:r>
      <w:r>
        <w:t xml:space="preserve"> Blundell-</w:t>
      </w:r>
      <w:proofErr w:type="spellStart"/>
      <w:r>
        <w:t>Wignall</w:t>
      </w:r>
      <w:proofErr w:type="spellEnd"/>
      <w:r>
        <w:t xml:space="preserve">, A., Hu </w:t>
      </w:r>
      <w:proofErr w:type="gramStart"/>
      <w:r>
        <w:t>Y.</w:t>
      </w:r>
      <w:proofErr w:type="gramEnd"/>
      <w:r>
        <w:t xml:space="preserve"> and </w:t>
      </w:r>
      <w:proofErr w:type="spellStart"/>
      <w:r>
        <w:t>Yermo</w:t>
      </w:r>
      <w:proofErr w:type="spellEnd"/>
      <w:r>
        <w:t xml:space="preserve"> Y. (2008), Sovereign wealth and Pension Fund Issues, OECD Working Papers on Insurance and Private Pensions, No. 14, OECD Publishing. doi:10.1787/243287223503.</w:t>
      </w:r>
    </w:p>
  </w:footnote>
  <w:footnote w:id="4">
    <w:p w14:paraId="5AA3E28E" w14:textId="77777777" w:rsidR="000E7BCB" w:rsidRDefault="00A620E4">
      <w:pPr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</w:t>
      </w:r>
      <w:r>
        <w:rPr>
          <w:i/>
          <w:color w:val="000000"/>
        </w:rPr>
        <w:t>Shih</w:t>
      </w:r>
      <w:r>
        <w:rPr>
          <w:color w:val="000000"/>
        </w:rPr>
        <w:t xml:space="preserve"> Kuwait Investment Authority Website: </w:t>
      </w:r>
      <w:hyperlink r:id="rId2" w:anchor="maindate">
        <w:r>
          <w:rPr>
            <w:rFonts w:ascii="Times New Roman" w:eastAsia="Times New Roman" w:hAnsi="Times New Roman" w:cs="Times New Roman"/>
            <w:color w:val="0563C1"/>
            <w:u w:val="single"/>
          </w:rPr>
          <w:t>https://kia.gov.kw/about-kia/#maindate</w:t>
        </w:r>
      </w:hyperlink>
    </w:p>
  </w:footnote>
  <w:footnote w:id="5">
    <w:p w14:paraId="5C374ED4" w14:textId="77777777" w:rsidR="000E7BCB" w:rsidRDefault="00A620E4">
      <w:pPr>
        <w:rPr>
          <w:color w:val="00000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Buteică</w:t>
      </w:r>
      <w:proofErr w:type="spellEnd"/>
      <w:r>
        <w:t xml:space="preserve">, A. C.; </w:t>
      </w:r>
      <w:proofErr w:type="spellStart"/>
      <w:r>
        <w:t>Huidumac</w:t>
      </w:r>
      <w:proofErr w:type="spellEnd"/>
      <w:r>
        <w:t xml:space="preserve"> Petrescu, C. E. (2017), The Rise of Sovereign Wealth Funds: An Overview of the Challenges and Opportunities Ahead, Hyperion International Journal of </w:t>
      </w:r>
      <w:proofErr w:type="spellStart"/>
      <w:r>
        <w:t>Econophysics</w:t>
      </w:r>
      <w:proofErr w:type="spellEnd"/>
      <w:r>
        <w:t xml:space="preserve"> &amp; New Economy, (2017), Vol. 10 Issue 1, p147-158. 12p.</w:t>
      </w:r>
    </w:p>
  </w:footnote>
  <w:footnote w:id="6">
    <w:p w14:paraId="50D814C6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7">
    <w:p w14:paraId="0CA1D024" w14:textId="77777777" w:rsidR="000E7BCB" w:rsidRDefault="00A620E4">
      <w:pPr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Shih Sovereign Wealth Fund Institute Website: </w:t>
      </w:r>
      <w:hyperlink r:id="rId3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https://www.swfinstitute.org/profiles/sovereign-Wealth-fund</w:t>
        </w:r>
      </w:hyperlink>
    </w:p>
  </w:footnote>
  <w:footnote w:id="8">
    <w:p w14:paraId="36BAB13F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9">
    <w:p w14:paraId="332E9242" w14:textId="77777777" w:rsidR="000E7BCB" w:rsidRDefault="00A620E4">
      <w:r>
        <w:rPr>
          <w:rStyle w:val="FootnoteReference"/>
        </w:rPr>
        <w:footnoteRef/>
      </w:r>
      <w:r>
        <w:t xml:space="preserve"> International Monetary Fund (IMF), (2008), Sovereign Wealth Funds – A Work Agenda, Policy Papers, Vol. 2008 Issue 008. </w:t>
      </w:r>
      <w:proofErr w:type="spellStart"/>
      <w:r>
        <w:t>doi</w:t>
      </w:r>
      <w:proofErr w:type="spellEnd"/>
      <w:r>
        <w:t xml:space="preserve">: </w:t>
      </w:r>
      <w:hyperlink r:id="rId4">
        <w:r>
          <w:rPr>
            <w:rFonts w:ascii="Times New Roman" w:eastAsia="Times New Roman" w:hAnsi="Times New Roman" w:cs="Times New Roman"/>
            <w:color w:val="0563C1"/>
            <w:u w:val="single"/>
          </w:rPr>
          <w:t>https://doi.org/10.5089/9781498334907.007</w:t>
        </w:r>
      </w:hyperlink>
    </w:p>
  </w:footnote>
  <w:footnote w:id="10">
    <w:p w14:paraId="1CADB5AF" w14:textId="77777777" w:rsidR="000E7BCB" w:rsidRDefault="00A620E4">
      <w:r>
        <w:rPr>
          <w:rStyle w:val="FootnoteReference"/>
        </w:rPr>
        <w:footnoteRef/>
      </w:r>
      <w:r>
        <w:t xml:space="preserve"> Maire, J., </w:t>
      </w:r>
      <w:proofErr w:type="spellStart"/>
      <w:r>
        <w:t>Mazarei</w:t>
      </w:r>
      <w:proofErr w:type="spellEnd"/>
      <w:r>
        <w:t>, A., Truman, E.M., (2021), Sovereign Wealth Funds Are Growing More Slowly, and Governance Issues Remain, Policy Brief, Peterson Institute for International Economics, February 2021.</w:t>
      </w:r>
    </w:p>
  </w:footnote>
  <w:footnote w:id="11">
    <w:p w14:paraId="4F1FCDE5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12">
    <w:p w14:paraId="122AA36F" w14:textId="77777777" w:rsidR="000E7BCB" w:rsidRDefault="00A620E4">
      <w:r>
        <w:rPr>
          <w:rStyle w:val="FootnoteReference"/>
        </w:rPr>
        <w:footnoteRef/>
      </w:r>
      <w:r>
        <w:t xml:space="preserve"> Shih International Forum of Sovereign Wealth Funds Website: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https://www.ifswf.org/</w:t>
        </w:r>
      </w:hyperlink>
    </w:p>
  </w:footnote>
  <w:footnote w:id="13">
    <w:p w14:paraId="08CC999E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14">
    <w:p w14:paraId="2C2DF008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15">
    <w:p w14:paraId="795E2E22" w14:textId="77777777" w:rsidR="000E7BCB" w:rsidRDefault="00A620E4">
      <w:r>
        <w:rPr>
          <w:rStyle w:val="FootnoteReference"/>
        </w:rPr>
        <w:footnoteRef/>
      </w:r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modele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shihen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shembuj</w:t>
      </w:r>
      <w:proofErr w:type="spellEnd"/>
      <w:r>
        <w:t xml:space="preserve"> </w:t>
      </w:r>
      <w:proofErr w:type="spellStart"/>
      <w:r>
        <w:t>krahasues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mësohet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t’u</w:t>
      </w:r>
      <w:proofErr w:type="spellEnd"/>
      <w:r>
        <w:t xml:space="preserve"> </w:t>
      </w:r>
      <w:proofErr w:type="spellStart"/>
      <w:r>
        <w:t>krijuar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model </w:t>
      </w:r>
      <w:proofErr w:type="spellStart"/>
      <w:r>
        <w:t>unik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, e jo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modele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replikuar</w:t>
      </w:r>
      <w:proofErr w:type="spellEnd"/>
      <w:r>
        <w:t xml:space="preserve"> </w:t>
      </w:r>
      <w:proofErr w:type="spellStart"/>
      <w:r>
        <w:t>sepse</w:t>
      </w:r>
      <w:proofErr w:type="spellEnd"/>
      <w:r>
        <w:t xml:space="preserve"> </w:t>
      </w:r>
      <w:proofErr w:type="spellStart"/>
      <w:r>
        <w:t>ekzistojnë</w:t>
      </w:r>
      <w:proofErr w:type="spellEnd"/>
      <w:r>
        <w:t xml:space="preserve"> </w:t>
      </w:r>
      <w:proofErr w:type="spellStart"/>
      <w:r>
        <w:t>dallime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shumta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>.</w:t>
      </w:r>
    </w:p>
  </w:footnote>
  <w:footnote w:id="16">
    <w:p w14:paraId="2D1CB647" w14:textId="77777777" w:rsidR="000E7BCB" w:rsidRDefault="00A620E4">
      <w:pPr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Shih World Bank Database: </w:t>
      </w:r>
      <w:hyperlink r:id="rId6">
        <w:r>
          <w:rPr>
            <w:rFonts w:ascii="Times New Roman" w:eastAsia="Times New Roman" w:hAnsi="Times New Roman" w:cs="Times New Roman"/>
            <w:color w:val="0563C1"/>
            <w:u w:val="single"/>
          </w:rPr>
          <w:t>https://data.worldbank.org/</w:t>
        </w:r>
      </w:hyperlink>
    </w:p>
  </w:footnote>
  <w:footnote w:id="17">
    <w:p w14:paraId="4189993C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18">
    <w:p w14:paraId="56C86BA9" w14:textId="77777777" w:rsidR="000E7BCB" w:rsidRDefault="00A620E4">
      <w:pPr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Shih Temasek Review Website: </w:t>
      </w:r>
      <w:hyperlink r:id="rId7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https://www.temasekreview.com.sg/overview/temasek-portfolio-at-inception.html</w:t>
        </w:r>
      </w:hyperlink>
    </w:p>
  </w:footnote>
  <w:footnote w:id="19">
    <w:p w14:paraId="61D71C91" w14:textId="77777777" w:rsidR="000E7BCB" w:rsidRDefault="00A620E4">
      <w:pPr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Shih Temasek Website: </w:t>
      </w:r>
      <w:hyperlink r:id="rId8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https://www.temasek.com.sg/en/index</w:t>
        </w:r>
      </w:hyperlink>
    </w:p>
  </w:footnote>
  <w:footnote w:id="20">
    <w:p w14:paraId="146FCF47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21">
    <w:p w14:paraId="206FA026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22">
    <w:p w14:paraId="755FA4F9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23">
    <w:p w14:paraId="7148D61F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24">
    <w:p w14:paraId="124B523C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25">
    <w:p w14:paraId="6E9E7BB8" w14:textId="77777777" w:rsidR="000E7BCB" w:rsidRDefault="00A620E4">
      <w:pPr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Shih World Bank Database: </w:t>
      </w:r>
      <w:hyperlink r:id="rId9">
        <w:r>
          <w:rPr>
            <w:rFonts w:ascii="Times New Roman" w:eastAsia="Times New Roman" w:hAnsi="Times New Roman" w:cs="Times New Roman"/>
            <w:color w:val="0563C1"/>
            <w:u w:val="single"/>
          </w:rPr>
          <w:t>https://data.worldbank.org/</w:t>
        </w:r>
      </w:hyperlink>
    </w:p>
  </w:footnote>
  <w:footnote w:id="26">
    <w:p w14:paraId="50FD3D53" w14:textId="77777777" w:rsidR="000E7BCB" w:rsidRDefault="00A620E4"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</w:rPr>
        <w:t xml:space="preserve"> </w:t>
      </w:r>
      <w:r>
        <w:t>Shih Republic of Slovenia Statistical Office Website:</w:t>
      </w:r>
    </w:p>
    <w:p w14:paraId="1E26802E" w14:textId="77777777" w:rsidR="000E7BCB" w:rsidRDefault="00B35609">
      <w:pPr>
        <w:rPr>
          <w:color w:val="000000"/>
          <w:sz w:val="20"/>
          <w:szCs w:val="20"/>
        </w:rPr>
      </w:pPr>
      <w:hyperlink r:id="rId10" w:anchor=":~:text=Gross%20domestic%20product%20per%20capita,and%20in%201992%20by%205.5%25">
        <w:r w:rsidR="00A620E4">
          <w:rPr>
            <w:color w:val="0563C1"/>
            <w:sz w:val="20"/>
            <w:szCs w:val="20"/>
            <w:u w:val="single"/>
          </w:rPr>
          <w:t>https://www.stat.si/statweb/en/News/Index/7496#:~:text=Gross%20domestic%20product%20per%20capita,and%20in%201992%20by%205.5%25</w:t>
        </w:r>
      </w:hyperlink>
      <w:r w:rsidR="00A620E4">
        <w:rPr>
          <w:color w:val="000000"/>
          <w:sz w:val="20"/>
          <w:szCs w:val="20"/>
        </w:rPr>
        <w:t>.</w:t>
      </w:r>
    </w:p>
  </w:footnote>
  <w:footnote w:id="27">
    <w:p w14:paraId="4610352F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28">
    <w:p w14:paraId="76D5290F" w14:textId="77777777" w:rsidR="000E7BCB" w:rsidRDefault="00A620E4">
      <w:pPr>
        <w:rPr>
          <w:color w:val="00000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Shih Slovenian Sovereign Holding Website: </w:t>
      </w:r>
      <w:hyperlink r:id="rId11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https://www.sdh.si/en-gb/</w:t>
        </w:r>
      </w:hyperlink>
    </w:p>
  </w:footnote>
  <w:footnote w:id="29">
    <w:p w14:paraId="6A950E3F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30">
    <w:p w14:paraId="73507301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31">
    <w:p w14:paraId="7058F1AF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32">
    <w:p w14:paraId="1F3CBE63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33">
    <w:p w14:paraId="7860A085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34">
    <w:p w14:paraId="2DFB163D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35">
    <w:p w14:paraId="1490E8D2" w14:textId="77777777" w:rsidR="000E7BCB" w:rsidRDefault="00A620E4">
      <w:r>
        <w:rPr>
          <w:rStyle w:val="FootnoteReference"/>
        </w:rPr>
        <w:footnoteRef/>
      </w:r>
      <w:r>
        <w:t xml:space="preserve"> Shih Ireland Strategic Investment Fund (ISIF) Website: </w:t>
      </w:r>
      <w:hyperlink r:id="rId12">
        <w:r>
          <w:rPr>
            <w:rFonts w:ascii="Times New Roman" w:eastAsia="Times New Roman" w:hAnsi="Times New Roman" w:cs="Times New Roman"/>
            <w:color w:val="0563C1"/>
            <w:u w:val="single"/>
          </w:rPr>
          <w:t>https://isif.ie/</w:t>
        </w:r>
      </w:hyperlink>
    </w:p>
  </w:footnote>
  <w:footnote w:id="36">
    <w:p w14:paraId="16407EC8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37">
    <w:p w14:paraId="434C84DD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  <w:footnote w:id="38">
    <w:p w14:paraId="6991F3B1" w14:textId="77777777" w:rsidR="000E7BCB" w:rsidRDefault="00A620E4">
      <w:r>
        <w:rPr>
          <w:rStyle w:val="FootnoteReference"/>
        </w:rPr>
        <w:footnoteRef/>
      </w:r>
      <w:r>
        <w:t xml:space="preserve"> Ibid.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A87"/>
    <w:multiLevelType w:val="multilevel"/>
    <w:tmpl w:val="EA3808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BE1"/>
    <w:multiLevelType w:val="multilevel"/>
    <w:tmpl w:val="DDF2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26260"/>
    <w:multiLevelType w:val="multilevel"/>
    <w:tmpl w:val="96E209D6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B8E6BF3"/>
    <w:multiLevelType w:val="multilevel"/>
    <w:tmpl w:val="0D024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9D4340"/>
    <w:multiLevelType w:val="multilevel"/>
    <w:tmpl w:val="76AAC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F322A78"/>
    <w:multiLevelType w:val="multilevel"/>
    <w:tmpl w:val="E88CC8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26CF"/>
    <w:multiLevelType w:val="multilevel"/>
    <w:tmpl w:val="00F0798A"/>
    <w:lvl w:ilvl="0">
      <w:start w:val="4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660" w:hanging="660"/>
      </w:pPr>
    </w:lvl>
    <w:lvl w:ilvl="2">
      <w:start w:val="6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2532986"/>
    <w:multiLevelType w:val="multilevel"/>
    <w:tmpl w:val="56E05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54F205F"/>
    <w:multiLevelType w:val="multilevel"/>
    <w:tmpl w:val="3DF2F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67E20C3"/>
    <w:multiLevelType w:val="multilevel"/>
    <w:tmpl w:val="32509274"/>
    <w:lvl w:ilvl="0">
      <w:start w:val="1"/>
      <w:numFmt w:val="upperRoman"/>
      <w:lvlText w:val="%1."/>
      <w:lvlJc w:val="left"/>
      <w:pPr>
        <w:ind w:left="2040" w:hanging="9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960" w:hanging="44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12BCD"/>
    <w:multiLevelType w:val="multilevel"/>
    <w:tmpl w:val="094C10D4"/>
    <w:lvl w:ilvl="0">
      <w:start w:val="2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27536408"/>
    <w:multiLevelType w:val="multilevel"/>
    <w:tmpl w:val="B31E3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91E21CC"/>
    <w:multiLevelType w:val="multilevel"/>
    <w:tmpl w:val="B0B24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ABA678F"/>
    <w:multiLevelType w:val="multilevel"/>
    <w:tmpl w:val="5AA043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F25CB"/>
    <w:multiLevelType w:val="multilevel"/>
    <w:tmpl w:val="4A983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E0E0913"/>
    <w:multiLevelType w:val="multilevel"/>
    <w:tmpl w:val="B61E41E4"/>
    <w:lvl w:ilvl="0">
      <w:start w:val="1"/>
      <w:numFmt w:val="lowerLetter"/>
      <w:lvlText w:val="%1."/>
      <w:lvlJc w:val="left"/>
      <w:pPr>
        <w:ind w:left="3800" w:hanging="420"/>
      </w:pPr>
    </w:lvl>
    <w:lvl w:ilvl="1">
      <w:start w:val="1"/>
      <w:numFmt w:val="lowerLetter"/>
      <w:lvlText w:val="%2."/>
      <w:lvlJc w:val="left"/>
      <w:pPr>
        <w:ind w:left="4460" w:hanging="360"/>
      </w:pPr>
    </w:lvl>
    <w:lvl w:ilvl="2">
      <w:start w:val="1"/>
      <w:numFmt w:val="lowerRoman"/>
      <w:lvlText w:val="%3."/>
      <w:lvlJc w:val="right"/>
      <w:pPr>
        <w:ind w:left="5180" w:hanging="180"/>
      </w:pPr>
    </w:lvl>
    <w:lvl w:ilvl="3">
      <w:start w:val="1"/>
      <w:numFmt w:val="decimal"/>
      <w:lvlText w:val="%4."/>
      <w:lvlJc w:val="left"/>
      <w:pPr>
        <w:ind w:left="5900" w:hanging="360"/>
      </w:pPr>
    </w:lvl>
    <w:lvl w:ilvl="4">
      <w:start w:val="1"/>
      <w:numFmt w:val="lowerLetter"/>
      <w:lvlText w:val="%5."/>
      <w:lvlJc w:val="left"/>
      <w:pPr>
        <w:ind w:left="6620" w:hanging="360"/>
      </w:pPr>
    </w:lvl>
    <w:lvl w:ilvl="5">
      <w:start w:val="1"/>
      <w:numFmt w:val="lowerRoman"/>
      <w:lvlText w:val="%6."/>
      <w:lvlJc w:val="right"/>
      <w:pPr>
        <w:ind w:left="7340" w:hanging="180"/>
      </w:pPr>
    </w:lvl>
    <w:lvl w:ilvl="6">
      <w:start w:val="1"/>
      <w:numFmt w:val="decimal"/>
      <w:lvlText w:val="%7."/>
      <w:lvlJc w:val="left"/>
      <w:pPr>
        <w:ind w:left="8060" w:hanging="360"/>
      </w:pPr>
    </w:lvl>
    <w:lvl w:ilvl="7">
      <w:start w:val="1"/>
      <w:numFmt w:val="lowerLetter"/>
      <w:lvlText w:val="%8."/>
      <w:lvlJc w:val="left"/>
      <w:pPr>
        <w:ind w:left="8780" w:hanging="360"/>
      </w:pPr>
    </w:lvl>
    <w:lvl w:ilvl="8">
      <w:start w:val="1"/>
      <w:numFmt w:val="lowerRoman"/>
      <w:lvlText w:val="%9."/>
      <w:lvlJc w:val="right"/>
      <w:pPr>
        <w:ind w:left="9500" w:hanging="180"/>
      </w:pPr>
    </w:lvl>
  </w:abstractNum>
  <w:abstractNum w:abstractNumId="16" w15:restartNumberingAfterBreak="0">
    <w:nsid w:val="32854947"/>
    <w:multiLevelType w:val="multilevel"/>
    <w:tmpl w:val="C64CD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046B4"/>
    <w:multiLevelType w:val="multilevel"/>
    <w:tmpl w:val="4F5E4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A5314A4"/>
    <w:multiLevelType w:val="multilevel"/>
    <w:tmpl w:val="2B04A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56F0E"/>
    <w:multiLevelType w:val="multilevel"/>
    <w:tmpl w:val="96A00A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71666"/>
    <w:multiLevelType w:val="multilevel"/>
    <w:tmpl w:val="FF2E42F0"/>
    <w:lvl w:ilvl="0">
      <w:start w:val="4"/>
      <w:numFmt w:val="decimal"/>
      <w:lvlText w:val="%1."/>
      <w:lvlJc w:val="left"/>
      <w:pPr>
        <w:ind w:left="800" w:hanging="800"/>
      </w:pPr>
    </w:lvl>
    <w:lvl w:ilvl="1">
      <w:start w:val="3"/>
      <w:numFmt w:val="decimal"/>
      <w:lvlText w:val="%1.%2."/>
      <w:lvlJc w:val="left"/>
      <w:pPr>
        <w:ind w:left="800" w:hanging="800"/>
      </w:pPr>
    </w:lvl>
    <w:lvl w:ilvl="2">
      <w:start w:val="4"/>
      <w:numFmt w:val="decimal"/>
      <w:lvlText w:val="%1.%2.%3."/>
      <w:lvlJc w:val="left"/>
      <w:pPr>
        <w:ind w:left="800" w:hanging="80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62B033C7"/>
    <w:multiLevelType w:val="multilevel"/>
    <w:tmpl w:val="1EC02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B7159B"/>
    <w:multiLevelType w:val="multilevel"/>
    <w:tmpl w:val="2F1A4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E00ED"/>
    <w:multiLevelType w:val="hybridMultilevel"/>
    <w:tmpl w:val="782EFE5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708A4112"/>
    <w:multiLevelType w:val="multilevel"/>
    <w:tmpl w:val="21286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92D0C44"/>
    <w:multiLevelType w:val="multilevel"/>
    <w:tmpl w:val="893EAF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B02EE"/>
    <w:multiLevelType w:val="multilevel"/>
    <w:tmpl w:val="0464EB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21308"/>
    <w:multiLevelType w:val="multilevel"/>
    <w:tmpl w:val="B1F6E03E"/>
    <w:lvl w:ilvl="0">
      <w:start w:val="1"/>
      <w:numFmt w:val="lowerLetter"/>
      <w:lvlText w:val="%1."/>
      <w:lvlJc w:val="left"/>
      <w:pPr>
        <w:ind w:left="3300" w:hanging="42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10"/>
  </w:num>
  <w:num w:numId="5">
    <w:abstractNumId w:val="4"/>
  </w:num>
  <w:num w:numId="6">
    <w:abstractNumId w:val="5"/>
  </w:num>
  <w:num w:numId="7">
    <w:abstractNumId w:val="25"/>
  </w:num>
  <w:num w:numId="8">
    <w:abstractNumId w:val="21"/>
  </w:num>
  <w:num w:numId="9">
    <w:abstractNumId w:val="24"/>
  </w:num>
  <w:num w:numId="10">
    <w:abstractNumId w:val="11"/>
  </w:num>
  <w:num w:numId="11">
    <w:abstractNumId w:val="18"/>
  </w:num>
  <w:num w:numId="12">
    <w:abstractNumId w:val="16"/>
  </w:num>
  <w:num w:numId="13">
    <w:abstractNumId w:val="13"/>
  </w:num>
  <w:num w:numId="14">
    <w:abstractNumId w:val="8"/>
  </w:num>
  <w:num w:numId="15">
    <w:abstractNumId w:val="20"/>
  </w:num>
  <w:num w:numId="16">
    <w:abstractNumId w:val="14"/>
  </w:num>
  <w:num w:numId="17">
    <w:abstractNumId w:val="12"/>
  </w:num>
  <w:num w:numId="18">
    <w:abstractNumId w:val="7"/>
  </w:num>
  <w:num w:numId="19">
    <w:abstractNumId w:val="9"/>
  </w:num>
  <w:num w:numId="20">
    <w:abstractNumId w:val="27"/>
  </w:num>
  <w:num w:numId="21">
    <w:abstractNumId w:val="15"/>
  </w:num>
  <w:num w:numId="22">
    <w:abstractNumId w:val="3"/>
  </w:num>
  <w:num w:numId="23">
    <w:abstractNumId w:val="6"/>
  </w:num>
  <w:num w:numId="24">
    <w:abstractNumId w:val="2"/>
  </w:num>
  <w:num w:numId="25">
    <w:abstractNumId w:val="19"/>
  </w:num>
  <w:num w:numId="26">
    <w:abstractNumId w:val="0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CB"/>
    <w:rsid w:val="000A2B2A"/>
    <w:rsid w:val="000E7BCB"/>
    <w:rsid w:val="00187196"/>
    <w:rsid w:val="001D21BB"/>
    <w:rsid w:val="004B4024"/>
    <w:rsid w:val="004F76C8"/>
    <w:rsid w:val="006E780A"/>
    <w:rsid w:val="00A620E4"/>
    <w:rsid w:val="00B35609"/>
    <w:rsid w:val="00C25392"/>
    <w:rsid w:val="00F3463D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7CB4"/>
  <w15:docId w15:val="{CDFACDE2-20CE-4B8B-9E5F-9B40CC90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C5"/>
  </w:style>
  <w:style w:type="paragraph" w:styleId="Heading1">
    <w:name w:val="heading 1"/>
    <w:basedOn w:val="Normal"/>
    <w:next w:val="Normal"/>
    <w:uiPriority w:val="9"/>
    <w:qFormat/>
    <w:rsid w:val="00711087"/>
    <w:pPr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rsid w:val="00711087"/>
    <w:pPr>
      <w:numPr>
        <w:ilvl w:val="1"/>
        <w:numId w:val="6"/>
      </w:numPr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uiPriority w:val="9"/>
    <w:unhideWhenUsed/>
    <w:qFormat/>
    <w:rsid w:val="00711087"/>
    <w:pPr>
      <w:numPr>
        <w:ilvl w:val="2"/>
        <w:numId w:val="6"/>
      </w:numPr>
      <w:pBdr>
        <w:top w:val="nil"/>
        <w:left w:val="nil"/>
        <w:bottom w:val="nil"/>
        <w:right w:val="nil"/>
        <w:between w:val="nil"/>
      </w:pBdr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73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736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0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B78B7"/>
    <w:rPr>
      <w:sz w:val="20"/>
      <w:szCs w:val="20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78B7"/>
    <w:rPr>
      <w:rFonts w:ascii="Book Antiqua" w:hAnsi="Book Antiqua" w:cs="Arial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FD7D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7D08"/>
    <w:pPr>
      <w:tabs>
        <w:tab w:val="center" w:pos="4680"/>
        <w:tab w:val="right" w:pos="9360"/>
      </w:tabs>
    </w:pPr>
    <w:rPr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FD7D08"/>
    <w:rPr>
      <w:lang w:val="en"/>
    </w:rPr>
  </w:style>
  <w:style w:type="paragraph" w:styleId="Footer">
    <w:name w:val="footer"/>
    <w:basedOn w:val="Normal"/>
    <w:link w:val="FooterChar"/>
    <w:uiPriority w:val="99"/>
    <w:unhideWhenUsed/>
    <w:rsid w:val="00FD7D08"/>
    <w:pPr>
      <w:tabs>
        <w:tab w:val="center" w:pos="4680"/>
        <w:tab w:val="right" w:pos="9360"/>
      </w:tabs>
    </w:pPr>
    <w:rPr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FD7D08"/>
    <w:rPr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200E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7EE"/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7E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7EE"/>
    <w:rPr>
      <w:rFonts w:ascii="Arial" w:hAnsi="Arial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7EE"/>
    <w:rPr>
      <w:b/>
      <w:bCs/>
    </w:rPr>
  </w:style>
  <w:style w:type="paragraph" w:styleId="Revision">
    <w:name w:val="Revision"/>
    <w:hidden/>
    <w:uiPriority w:val="99"/>
    <w:semiHidden/>
    <w:rsid w:val="001317EE"/>
  </w:style>
  <w:style w:type="character" w:styleId="CommentReference">
    <w:name w:val="annotation reference"/>
    <w:basedOn w:val="DefaultParagraphFont"/>
    <w:uiPriority w:val="99"/>
    <w:semiHidden/>
    <w:unhideWhenUsed/>
    <w:rsid w:val="00046C98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FF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53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71D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1D4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71D4D"/>
    <w:pPr>
      <w:spacing w:after="100"/>
      <w:ind w:left="480"/>
    </w:p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">
    <w:name w:val="paragraph"/>
    <w:basedOn w:val="Normal"/>
    <w:rsid w:val="004B40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B4024"/>
  </w:style>
  <w:style w:type="character" w:customStyle="1" w:styleId="eop">
    <w:name w:val="eop"/>
    <w:basedOn w:val="DefaultParagraphFont"/>
    <w:rsid w:val="004B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vperani@ifc.org" TargetMode="External"/><Relationship Id="rId18" Type="http://schemas.openxmlformats.org/officeDocument/2006/relationships/hyperlink" Target="mailto:BlakajA@ebrd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Mimoza.Janova@mfa.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zeqiri@ifc.org" TargetMode="External"/><Relationship Id="rId17" Type="http://schemas.openxmlformats.org/officeDocument/2006/relationships/hyperlink" Target="https://www.google.com/search?q=ebrd+kosove&amp;sxsrf=AOaemvKtICmFgv_ioytY9OXhcaGpqdSJmg%3A1634930851017&amp;ei=oxBzYe5FyIGTBcGkg7AL&amp;ved=0ahUKEwiuo-2E4N7zAhXIwKQKHUHSALYQ4dUDCA0&amp;uact=5&amp;oq=ebrd+kosove&amp;gs_lcp=Cgdnd3Mtd2l6EAMyBAgjECcyBQgAEMsBMgYIABAWEB4yBggAEBYQHjIGCAAQFhAeMgYIABAWEB46BggjECcQEzoFCAAQxAI6BAgAEAM6AggmOgQIABAeOgQIABATOggIABAWEAoQHkoECEEYAFC1rgdYkbkHYKy6B2gAcAB4AIAB3wGIAagLkgEFMC45LjGYAQCgAQHAAQE&amp;sclient=gws-wiz" TargetMode="External"/><Relationship Id="rId25" Type="http://schemas.openxmlformats.org/officeDocument/2006/relationships/hyperlink" Target="mailto:rene.schlee@fes-kosov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ylorN@ebrd.com" TargetMode="External"/><Relationship Id="rId20" Type="http://schemas.openxmlformats.org/officeDocument/2006/relationships/hyperlink" Target="mailto:rbegolli@worldbank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osomochedcu@ifc.org" TargetMode="External"/><Relationship Id="rId24" Type="http://schemas.openxmlformats.org/officeDocument/2006/relationships/hyperlink" Target="mailto:fatos.mulla@gov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q=ebrd+kosove&amp;sxsrf=AOaemvKtICmFgv_ioytY9OXhcaGpqdSJmg%3A1634930851017&amp;ei=oxBzYe5FyIGTBcGkg7AL&amp;ved=0ahUKEwiuo-2E4N7zAhXIwKQKHUHSALYQ4dUDCA0&amp;uact=5&amp;oq=ebrd+kosove&amp;gs_lcp=Cgdnd3Mtd2l6EAMyBAgjECcyBQgAEMsBMgYIABAWEB4yBggAEBYQHjIGCAAQFhAeMgYIABAWEB46BggjECcQEzoFCAAQxAI6BAgAEAM6AggmOgQIABAeOgQIABATOggIABAWEAoQHkoECEEYAFC1rgdYkbkHYKy6B2gAcAB4AIAB3wGIAagLkgEFMC45LjGYAQCgAQHAAQE&amp;sclient=gws-wiz" TargetMode="External"/><Relationship Id="rId23" Type="http://schemas.openxmlformats.org/officeDocument/2006/relationships/hyperlink" Target="tel:+381%2038%20226780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thomas.adams@kf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snikpula@gmail.com" TargetMode="External"/><Relationship Id="rId14" Type="http://schemas.openxmlformats.org/officeDocument/2006/relationships/hyperlink" Target="mailto:AhmaM@ebrd.com" TargetMode="External"/><Relationship Id="rId22" Type="http://schemas.openxmlformats.org/officeDocument/2006/relationships/hyperlink" Target="mailto:gulten.aka@luxdev.lu" TargetMode="External"/><Relationship Id="rId27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masek.com.sg/en/index" TargetMode="External"/><Relationship Id="rId3" Type="http://schemas.openxmlformats.org/officeDocument/2006/relationships/hyperlink" Target="https://www.swfinstitute.org/profiles/sovereign-Wealth-fund" TargetMode="External"/><Relationship Id="rId7" Type="http://schemas.openxmlformats.org/officeDocument/2006/relationships/hyperlink" Target="https://www.temasekreview.com.sg/overview/temasek-portfolio-at-inception.html" TargetMode="External"/><Relationship Id="rId12" Type="http://schemas.openxmlformats.org/officeDocument/2006/relationships/hyperlink" Target="https://isif.ie/" TargetMode="External"/><Relationship Id="rId2" Type="http://schemas.openxmlformats.org/officeDocument/2006/relationships/hyperlink" Target="https://kia.gov.kw/about-kia/" TargetMode="External"/><Relationship Id="rId1" Type="http://schemas.openxmlformats.org/officeDocument/2006/relationships/hyperlink" Target="https://www.swfinstitute.org/research/sovereign-wealth-fund" TargetMode="External"/><Relationship Id="rId6" Type="http://schemas.openxmlformats.org/officeDocument/2006/relationships/hyperlink" Target="https://data.worldbank.org/" TargetMode="External"/><Relationship Id="rId11" Type="http://schemas.openxmlformats.org/officeDocument/2006/relationships/hyperlink" Target="https://www.sdh.si/en-gb/" TargetMode="External"/><Relationship Id="rId5" Type="http://schemas.openxmlformats.org/officeDocument/2006/relationships/hyperlink" Target="https://www.ifswf.org/" TargetMode="External"/><Relationship Id="rId10" Type="http://schemas.openxmlformats.org/officeDocument/2006/relationships/hyperlink" Target="https://www.stat.si/statweb/en/News/Index/7496" TargetMode="External"/><Relationship Id="rId4" Type="http://schemas.openxmlformats.org/officeDocument/2006/relationships/hyperlink" Target="https://doi.org/10.5089/9781498334907.007" TargetMode="External"/><Relationship Id="rId9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TnJCMNaQdCT+1SaY9DVvBFiK7A==">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22403</Words>
  <Characters>127702</Characters>
  <Application>Microsoft Office Word</Application>
  <DocSecurity>0</DocSecurity>
  <Lines>1064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Pula, Besnik</dc:creator>
  <cp:keywords/>
  <dc:description/>
  <cp:lastModifiedBy>Tea Blakaj</cp:lastModifiedBy>
  <cp:revision>2</cp:revision>
  <dcterms:created xsi:type="dcterms:W3CDTF">2022-03-04T17:37:00Z</dcterms:created>
  <dcterms:modified xsi:type="dcterms:W3CDTF">2022-03-04T17:37:00Z</dcterms:modified>
</cp:coreProperties>
</file>