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D5F94" w14:textId="77777777" w:rsidR="00B5216F" w:rsidRPr="00BA57A6" w:rsidRDefault="00D849E3" w:rsidP="005F1B15">
      <w:pPr>
        <w:spacing w:before="240" w:after="120"/>
        <w:jc w:val="both"/>
        <w:rPr>
          <w:rFonts w:ascii="Arial" w:hAnsi="Arial" w:cs="Arial"/>
          <w:sz w:val="24"/>
          <w:szCs w:val="24"/>
        </w:rPr>
      </w:pPr>
      <w:r>
        <w:rPr>
          <w:rFonts w:ascii="Times New Roman" w:eastAsia="Times New Roman" w:hAnsi="Times New Roman"/>
          <w:noProof/>
          <w:color w:val="000000"/>
          <w:sz w:val="20"/>
          <w:szCs w:val="20"/>
          <w:lang w:val="en-US"/>
        </w:rPr>
        <w:drawing>
          <wp:anchor distT="0" distB="0" distL="114300" distR="114300" simplePos="0" relativeHeight="251659264" behindDoc="0" locked="0" layoutInCell="0" allowOverlap="0" wp14:anchorId="463E836A" wp14:editId="67445930">
            <wp:simplePos x="0" y="0"/>
            <wp:positionH relativeFrom="margin">
              <wp:posOffset>2312670</wp:posOffset>
            </wp:positionH>
            <wp:positionV relativeFrom="paragraph">
              <wp:posOffset>261620</wp:posOffset>
            </wp:positionV>
            <wp:extent cx="862965" cy="811530"/>
            <wp:effectExtent l="0" t="0" r="0" b="7620"/>
            <wp:wrapSquare wrapText="bothSides"/>
            <wp:docPr id="2" name="Picture 2" descr="Description: 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jpg" descr="Description: stema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2965" cy="811530"/>
                    </a:xfrm>
                    <a:prstGeom prst="rect">
                      <a:avLst/>
                    </a:prstGeom>
                    <a:noFill/>
                    <a:ln>
                      <a:noFill/>
                    </a:ln>
                  </pic:spPr>
                </pic:pic>
              </a:graphicData>
            </a:graphic>
          </wp:anchor>
        </w:drawing>
      </w:r>
    </w:p>
    <w:p w14:paraId="1CE8A5F5" w14:textId="77777777" w:rsidR="00FF1968" w:rsidRPr="00BA57A6" w:rsidRDefault="00FF1968" w:rsidP="005F1B15">
      <w:pPr>
        <w:tabs>
          <w:tab w:val="left" w:pos="7020"/>
        </w:tabs>
        <w:jc w:val="both"/>
        <w:rPr>
          <w:b/>
        </w:rPr>
      </w:pPr>
    </w:p>
    <w:p w14:paraId="24335EC7" w14:textId="77777777" w:rsidR="00D849E3" w:rsidRPr="00D849E3" w:rsidRDefault="00D849E3" w:rsidP="005F1B15">
      <w:pPr>
        <w:spacing w:after="0"/>
        <w:jc w:val="both"/>
        <w:rPr>
          <w:rFonts w:ascii="Times New Roman" w:eastAsia="Times New Roman" w:hAnsi="Times New Roman"/>
          <w:color w:val="000000"/>
          <w:sz w:val="20"/>
          <w:szCs w:val="20"/>
          <w:lang w:eastAsia="sq-AL"/>
        </w:rPr>
      </w:pPr>
    </w:p>
    <w:p w14:paraId="61C7C9AA" w14:textId="77777777" w:rsidR="00D849E3" w:rsidRPr="00D849E3" w:rsidRDefault="00D849E3" w:rsidP="005F1B15">
      <w:pPr>
        <w:spacing w:after="0"/>
        <w:jc w:val="center"/>
        <w:rPr>
          <w:rFonts w:ascii="Times New Roman" w:eastAsia="Times New Roman" w:hAnsi="Times New Roman"/>
          <w:color w:val="000000"/>
          <w:sz w:val="20"/>
          <w:szCs w:val="20"/>
          <w:lang w:eastAsia="sq-AL"/>
        </w:rPr>
      </w:pPr>
    </w:p>
    <w:p w14:paraId="489062A3" w14:textId="77777777" w:rsidR="00D849E3" w:rsidRPr="00D849E3" w:rsidRDefault="00D849E3" w:rsidP="005F1B15">
      <w:pPr>
        <w:spacing w:after="0"/>
        <w:jc w:val="center"/>
        <w:rPr>
          <w:rFonts w:ascii="Times New Roman" w:eastAsia="Times New Roman" w:hAnsi="Times New Roman"/>
          <w:color w:val="000000"/>
          <w:sz w:val="20"/>
          <w:szCs w:val="20"/>
          <w:lang w:eastAsia="sq-AL"/>
        </w:rPr>
      </w:pPr>
      <w:bookmarkStart w:id="0" w:name="h.gjdgxs" w:colFirst="0" w:colLast="0"/>
      <w:bookmarkEnd w:id="0"/>
      <w:r w:rsidRPr="00D849E3">
        <w:rPr>
          <w:rFonts w:ascii="Times New Roman" w:eastAsia="Times New Roman" w:hAnsi="Times New Roman"/>
          <w:color w:val="000000"/>
          <w:sz w:val="20"/>
          <w:szCs w:val="20"/>
          <w:lang w:eastAsia="sq-AL"/>
        </w:rPr>
        <w:t xml:space="preserve">                                                                                                                                                                                                                                                                                                                                                                                                                                                                                                                                                                                                                                                                                                                                                                                                                                                                                                                                                                                                                                                                                                                                                                                                                                                                                                                                                                                                          </w:t>
      </w:r>
    </w:p>
    <w:p w14:paraId="6624E5EC" w14:textId="77777777" w:rsidR="00D849E3" w:rsidRPr="00D849E3" w:rsidRDefault="00D849E3" w:rsidP="005F1B15">
      <w:pPr>
        <w:spacing w:after="0"/>
        <w:jc w:val="center"/>
        <w:rPr>
          <w:rFonts w:ascii="Times New Roman" w:eastAsia="Times New Roman" w:hAnsi="Times New Roman"/>
          <w:i/>
          <w:color w:val="000000"/>
          <w:sz w:val="20"/>
          <w:szCs w:val="20"/>
          <w:lang w:eastAsia="sq-AL"/>
        </w:rPr>
      </w:pPr>
    </w:p>
    <w:p w14:paraId="30957F5A" w14:textId="77777777" w:rsidR="00D849E3" w:rsidRPr="00D849E3" w:rsidRDefault="00D849E3" w:rsidP="005F1B15">
      <w:pPr>
        <w:spacing w:after="0"/>
        <w:jc w:val="center"/>
        <w:rPr>
          <w:rFonts w:ascii="Times New Roman" w:eastAsia="Times New Roman" w:hAnsi="Times New Roman"/>
          <w:i/>
          <w:color w:val="000000"/>
          <w:sz w:val="20"/>
          <w:szCs w:val="20"/>
          <w:lang w:eastAsia="sq-AL"/>
        </w:rPr>
      </w:pPr>
      <w:r w:rsidRPr="00D849E3">
        <w:rPr>
          <w:rFonts w:ascii="Times New Roman" w:eastAsia="Times New Roman" w:hAnsi="Times New Roman"/>
          <w:b/>
          <w:i/>
          <w:color w:val="000000"/>
          <w:sz w:val="24"/>
          <w:szCs w:val="24"/>
          <w:lang w:eastAsia="sq-AL"/>
        </w:rPr>
        <w:t>Republika e Kosovës</w:t>
      </w:r>
    </w:p>
    <w:p w14:paraId="724379C2" w14:textId="77777777" w:rsidR="00D849E3" w:rsidRPr="00D849E3" w:rsidRDefault="00D849E3" w:rsidP="005F1B15">
      <w:pPr>
        <w:spacing w:after="0"/>
        <w:jc w:val="center"/>
        <w:rPr>
          <w:rFonts w:ascii="Times New Roman" w:eastAsia="Times New Roman" w:hAnsi="Times New Roman"/>
          <w:i/>
          <w:color w:val="000000"/>
          <w:sz w:val="20"/>
          <w:szCs w:val="20"/>
          <w:lang w:eastAsia="sq-AL"/>
        </w:rPr>
      </w:pPr>
      <w:r w:rsidRPr="00D849E3">
        <w:rPr>
          <w:rFonts w:ascii="Times New Roman" w:eastAsia="Times New Roman" w:hAnsi="Times New Roman"/>
          <w:b/>
          <w:i/>
          <w:color w:val="000000"/>
          <w:sz w:val="24"/>
          <w:szCs w:val="24"/>
          <w:lang w:eastAsia="sq-AL"/>
        </w:rPr>
        <w:t>Republika Kosovo-Republic of Kosovo</w:t>
      </w:r>
    </w:p>
    <w:p w14:paraId="21A2EE0E" w14:textId="0DE38F83" w:rsidR="00D849E3" w:rsidRDefault="00D849E3" w:rsidP="005F1B15">
      <w:pPr>
        <w:spacing w:after="0"/>
        <w:jc w:val="center"/>
        <w:rPr>
          <w:rFonts w:ascii="Times New Roman" w:eastAsia="Times New Roman" w:hAnsi="Times New Roman"/>
          <w:b/>
          <w:i/>
          <w:color w:val="000000"/>
          <w:sz w:val="24"/>
          <w:szCs w:val="24"/>
          <w:lang w:eastAsia="sq-AL"/>
        </w:rPr>
      </w:pPr>
      <w:r w:rsidRPr="00D849E3">
        <w:rPr>
          <w:rFonts w:ascii="Times New Roman" w:eastAsia="Times New Roman" w:hAnsi="Times New Roman"/>
          <w:b/>
          <w:i/>
          <w:color w:val="000000"/>
          <w:sz w:val="24"/>
          <w:szCs w:val="24"/>
          <w:lang w:eastAsia="sq-AL"/>
        </w:rPr>
        <w:t>Qeveria-Vlada-Government</w:t>
      </w:r>
    </w:p>
    <w:p w14:paraId="39D4AC1A" w14:textId="77777777" w:rsidR="006965C2" w:rsidRPr="006965C2" w:rsidRDefault="006965C2" w:rsidP="005F1B15">
      <w:pPr>
        <w:spacing w:after="0"/>
        <w:jc w:val="center"/>
        <w:rPr>
          <w:rFonts w:ascii="Times New Roman" w:eastAsia="Times New Roman" w:hAnsi="Times New Roman"/>
          <w:b/>
          <w:i/>
          <w:color w:val="000000"/>
          <w:sz w:val="24"/>
          <w:szCs w:val="24"/>
          <w:lang w:eastAsia="sq-AL"/>
        </w:rPr>
      </w:pPr>
      <w:r w:rsidRPr="006965C2">
        <w:rPr>
          <w:rFonts w:ascii="Times New Roman" w:eastAsia="Times New Roman" w:hAnsi="Times New Roman"/>
          <w:b/>
          <w:i/>
          <w:color w:val="000000"/>
          <w:sz w:val="24"/>
          <w:szCs w:val="24"/>
          <w:lang w:eastAsia="sq-AL"/>
        </w:rPr>
        <w:t>Ministria e Mjedisit, Planifikimit Hapësinor dhe Infrastrukturës</w:t>
      </w:r>
    </w:p>
    <w:p w14:paraId="2EDB3391" w14:textId="77777777" w:rsidR="006965C2" w:rsidRPr="006965C2" w:rsidRDefault="006965C2" w:rsidP="005F1B15">
      <w:pPr>
        <w:spacing w:after="0"/>
        <w:jc w:val="center"/>
        <w:rPr>
          <w:rFonts w:ascii="Times New Roman" w:eastAsia="Times New Roman" w:hAnsi="Times New Roman"/>
          <w:b/>
          <w:i/>
          <w:color w:val="000000"/>
          <w:sz w:val="24"/>
          <w:szCs w:val="24"/>
          <w:lang w:eastAsia="sq-AL"/>
        </w:rPr>
      </w:pPr>
      <w:r w:rsidRPr="006965C2">
        <w:rPr>
          <w:rFonts w:ascii="Times New Roman" w:eastAsia="Times New Roman" w:hAnsi="Times New Roman"/>
          <w:b/>
          <w:i/>
          <w:color w:val="000000"/>
          <w:sz w:val="24"/>
          <w:szCs w:val="24"/>
          <w:lang w:eastAsia="sq-AL"/>
        </w:rPr>
        <w:t>Ministry of Environment, Spatial Planning and Infrastructure</w:t>
      </w:r>
    </w:p>
    <w:p w14:paraId="6E053CFA" w14:textId="2A561E83" w:rsidR="006965C2" w:rsidRDefault="006965C2" w:rsidP="005F1B15">
      <w:pPr>
        <w:spacing w:after="0"/>
        <w:jc w:val="center"/>
        <w:rPr>
          <w:rFonts w:ascii="Times New Roman" w:eastAsia="Times New Roman" w:hAnsi="Times New Roman"/>
          <w:b/>
          <w:i/>
          <w:color w:val="000000"/>
          <w:sz w:val="24"/>
          <w:szCs w:val="24"/>
          <w:lang w:eastAsia="sq-AL"/>
        </w:rPr>
      </w:pPr>
      <w:r w:rsidRPr="006965C2">
        <w:rPr>
          <w:rFonts w:ascii="Times New Roman" w:eastAsia="Times New Roman" w:hAnsi="Times New Roman"/>
          <w:b/>
          <w:i/>
          <w:color w:val="000000"/>
          <w:sz w:val="24"/>
          <w:szCs w:val="24"/>
          <w:lang w:eastAsia="sq-AL"/>
        </w:rPr>
        <w:t>Ministarstvo Životne Sredine, Prostornog Planiranja i Infrastrukture</w:t>
      </w:r>
    </w:p>
    <w:p w14:paraId="02935C31" w14:textId="0DA91BB1" w:rsidR="00D849E3" w:rsidRPr="00D849E3" w:rsidRDefault="00D849E3" w:rsidP="005F1B15">
      <w:pPr>
        <w:tabs>
          <w:tab w:val="left" w:pos="5774"/>
        </w:tabs>
        <w:spacing w:after="0"/>
        <w:rPr>
          <w:rFonts w:ascii="Times New Roman" w:eastAsia="Times New Roman" w:hAnsi="Times New Roman"/>
          <w:i/>
          <w:color w:val="000000"/>
          <w:sz w:val="20"/>
          <w:szCs w:val="20"/>
          <w:lang w:eastAsia="sq-AL"/>
        </w:rPr>
      </w:pPr>
    </w:p>
    <w:p w14:paraId="72A7C6C0" w14:textId="77777777" w:rsidR="00D849E3" w:rsidRPr="00D849E3" w:rsidRDefault="00D849E3" w:rsidP="005F1B15">
      <w:pPr>
        <w:pBdr>
          <w:bottom w:val="single" w:sz="12" w:space="1" w:color="auto"/>
        </w:pBdr>
        <w:tabs>
          <w:tab w:val="left" w:pos="5067"/>
        </w:tabs>
        <w:spacing w:before="2" w:after="0"/>
        <w:rPr>
          <w:rFonts w:ascii="Times New Roman" w:eastAsia="Times New Roman" w:hAnsi="Times New Roman"/>
          <w:color w:val="000000"/>
          <w:sz w:val="20"/>
          <w:szCs w:val="20"/>
          <w:lang w:eastAsia="sq-AL"/>
        </w:rPr>
      </w:pPr>
    </w:p>
    <w:p w14:paraId="2980B2C1" w14:textId="77777777" w:rsidR="00D849E3" w:rsidRPr="00D849E3" w:rsidRDefault="00D849E3" w:rsidP="005F1B15">
      <w:pPr>
        <w:tabs>
          <w:tab w:val="left" w:pos="5067"/>
        </w:tabs>
        <w:spacing w:before="2" w:after="0"/>
        <w:jc w:val="center"/>
        <w:rPr>
          <w:rFonts w:ascii="Times New Roman" w:eastAsia="Times New Roman" w:hAnsi="Times New Roman"/>
          <w:color w:val="000000"/>
          <w:sz w:val="20"/>
          <w:szCs w:val="20"/>
          <w:lang w:eastAsia="sq-AL"/>
        </w:rPr>
      </w:pPr>
    </w:p>
    <w:p w14:paraId="2DE4C603" w14:textId="06B76E6F" w:rsidR="00B5216F" w:rsidRPr="00BA57A6" w:rsidRDefault="00B5216F" w:rsidP="005F1B15">
      <w:pPr>
        <w:spacing w:before="240" w:after="120"/>
        <w:rPr>
          <w:rFonts w:ascii="Times New Roman" w:hAnsi="Times New Roman"/>
          <w:sz w:val="24"/>
          <w:szCs w:val="24"/>
        </w:rPr>
      </w:pPr>
    </w:p>
    <w:p w14:paraId="329178AD" w14:textId="77777777" w:rsidR="00AB3C0B" w:rsidRDefault="00A9344F" w:rsidP="005F1B15">
      <w:pPr>
        <w:spacing w:before="240" w:after="120"/>
        <w:jc w:val="center"/>
        <w:rPr>
          <w:rFonts w:ascii="Times New Roman" w:hAnsi="Times New Roman"/>
          <w:b/>
          <w:sz w:val="32"/>
          <w:szCs w:val="32"/>
        </w:rPr>
      </w:pPr>
      <w:r w:rsidRPr="00A9344F">
        <w:rPr>
          <w:rFonts w:ascii="Times New Roman" w:hAnsi="Times New Roman"/>
          <w:b/>
          <w:sz w:val="32"/>
          <w:szCs w:val="32"/>
        </w:rPr>
        <w:t>Dokument konsultimi për</w:t>
      </w:r>
      <w:r w:rsidR="009E618C">
        <w:rPr>
          <w:rFonts w:ascii="Times New Roman" w:hAnsi="Times New Roman"/>
          <w:b/>
          <w:sz w:val="32"/>
          <w:szCs w:val="32"/>
        </w:rPr>
        <w:t xml:space="preserve"> </w:t>
      </w:r>
      <w:r w:rsidR="000D2A0E">
        <w:rPr>
          <w:rFonts w:ascii="Times New Roman" w:hAnsi="Times New Roman"/>
          <w:b/>
          <w:sz w:val="28"/>
          <w:szCs w:val="28"/>
        </w:rPr>
        <w:t>Hartimin</w:t>
      </w:r>
      <w:r w:rsidR="009D7FAC" w:rsidRPr="009D7FAC">
        <w:rPr>
          <w:rFonts w:ascii="Times New Roman" w:hAnsi="Times New Roman"/>
          <w:b/>
          <w:sz w:val="28"/>
          <w:szCs w:val="28"/>
        </w:rPr>
        <w:t xml:space="preserve"> e </w:t>
      </w:r>
      <w:r w:rsidR="00AB3C0B">
        <w:rPr>
          <w:rFonts w:ascii="Times New Roman" w:hAnsi="Times New Roman"/>
          <w:b/>
          <w:sz w:val="32"/>
          <w:szCs w:val="32"/>
        </w:rPr>
        <w:t>Planit Komb</w:t>
      </w:r>
      <w:r w:rsidR="006E1E11">
        <w:rPr>
          <w:rFonts w:ascii="Times New Roman" w:hAnsi="Times New Roman"/>
          <w:b/>
          <w:sz w:val="32"/>
          <w:szCs w:val="32"/>
        </w:rPr>
        <w:t>ë</w:t>
      </w:r>
      <w:r w:rsidR="00AB3C0B">
        <w:rPr>
          <w:rFonts w:ascii="Times New Roman" w:hAnsi="Times New Roman"/>
          <w:b/>
          <w:sz w:val="32"/>
          <w:szCs w:val="32"/>
        </w:rPr>
        <w:t>tar</w:t>
      </w:r>
      <w:r w:rsidR="00131E5E">
        <w:rPr>
          <w:rFonts w:ascii="Times New Roman" w:hAnsi="Times New Roman"/>
          <w:b/>
          <w:sz w:val="32"/>
          <w:szCs w:val="32"/>
        </w:rPr>
        <w:t xml:space="preserve"> </w:t>
      </w:r>
    </w:p>
    <w:p w14:paraId="51212DCE" w14:textId="264FECCA" w:rsidR="00B5216F" w:rsidRPr="009E618C" w:rsidRDefault="000D2A0E" w:rsidP="005F1B15">
      <w:pPr>
        <w:spacing w:before="240" w:after="120"/>
        <w:jc w:val="center"/>
        <w:rPr>
          <w:rFonts w:ascii="Times New Roman" w:hAnsi="Times New Roman"/>
          <w:b/>
          <w:sz w:val="32"/>
          <w:szCs w:val="32"/>
        </w:rPr>
      </w:pPr>
      <w:r w:rsidRPr="000D2A0E">
        <w:rPr>
          <w:rFonts w:ascii="Times New Roman" w:hAnsi="Times New Roman"/>
          <w:b/>
          <w:sz w:val="32"/>
          <w:szCs w:val="32"/>
        </w:rPr>
        <w:t xml:space="preserve">për </w:t>
      </w:r>
      <w:r w:rsidR="00AB3C0B">
        <w:rPr>
          <w:rFonts w:ascii="Times New Roman" w:hAnsi="Times New Roman"/>
          <w:b/>
          <w:sz w:val="32"/>
          <w:szCs w:val="32"/>
        </w:rPr>
        <w:t>Energji dhe Klim</w:t>
      </w:r>
      <w:r w:rsidR="00AB3C0B" w:rsidRPr="000D2A0E">
        <w:rPr>
          <w:rFonts w:ascii="Times New Roman" w:hAnsi="Times New Roman"/>
          <w:b/>
          <w:sz w:val="32"/>
          <w:szCs w:val="32"/>
        </w:rPr>
        <w:t>ë</w:t>
      </w:r>
      <w:r w:rsidR="00E35888">
        <w:rPr>
          <w:rFonts w:ascii="Times New Roman" w:hAnsi="Times New Roman"/>
          <w:b/>
          <w:sz w:val="32"/>
          <w:szCs w:val="32"/>
        </w:rPr>
        <w:t xml:space="preserve"> 2025-2030</w:t>
      </w:r>
    </w:p>
    <w:p w14:paraId="00E7210A" w14:textId="77777777" w:rsidR="00162CC8" w:rsidRPr="001C4FB1" w:rsidRDefault="00162CC8" w:rsidP="005F1B15">
      <w:pPr>
        <w:spacing w:before="120" w:after="120"/>
        <w:jc w:val="center"/>
        <w:rPr>
          <w:b/>
          <w:sz w:val="28"/>
          <w:szCs w:val="28"/>
        </w:rPr>
      </w:pPr>
    </w:p>
    <w:p w14:paraId="3DEB3102" w14:textId="77777777" w:rsidR="00B5216F" w:rsidRPr="00BA57A6" w:rsidRDefault="00B5216F" w:rsidP="005F1B15">
      <w:pPr>
        <w:spacing w:before="240" w:after="120"/>
        <w:jc w:val="center"/>
        <w:rPr>
          <w:rFonts w:ascii="Times New Roman" w:hAnsi="Times New Roman"/>
          <w:sz w:val="24"/>
          <w:szCs w:val="24"/>
        </w:rPr>
      </w:pPr>
    </w:p>
    <w:p w14:paraId="02C3F24C" w14:textId="77777777" w:rsidR="00B5216F" w:rsidRDefault="00B5216F" w:rsidP="005F1B15">
      <w:pPr>
        <w:spacing w:before="240" w:after="120"/>
        <w:jc w:val="center"/>
        <w:rPr>
          <w:rFonts w:ascii="Times New Roman" w:hAnsi="Times New Roman"/>
          <w:sz w:val="24"/>
          <w:szCs w:val="24"/>
        </w:rPr>
      </w:pPr>
    </w:p>
    <w:p w14:paraId="32330103" w14:textId="77777777" w:rsidR="00B45EC5" w:rsidRPr="00BA57A6" w:rsidRDefault="00B45EC5" w:rsidP="005F1B15">
      <w:pPr>
        <w:spacing w:before="240" w:after="120"/>
        <w:jc w:val="center"/>
        <w:rPr>
          <w:rFonts w:ascii="Times New Roman" w:hAnsi="Times New Roman"/>
          <w:sz w:val="24"/>
          <w:szCs w:val="24"/>
        </w:rPr>
      </w:pPr>
    </w:p>
    <w:p w14:paraId="69BA9ACB" w14:textId="77777777" w:rsidR="00B5216F" w:rsidRPr="00BA57A6" w:rsidRDefault="00B5216F" w:rsidP="005F1B15">
      <w:pPr>
        <w:spacing w:before="240" w:after="120"/>
        <w:jc w:val="center"/>
        <w:rPr>
          <w:rFonts w:ascii="Times New Roman" w:hAnsi="Times New Roman"/>
          <w:sz w:val="24"/>
          <w:szCs w:val="24"/>
        </w:rPr>
      </w:pPr>
    </w:p>
    <w:p w14:paraId="36D15243" w14:textId="77777777" w:rsidR="00B5216F" w:rsidRDefault="00B5216F" w:rsidP="005F1B15">
      <w:pPr>
        <w:spacing w:before="240" w:after="120"/>
        <w:jc w:val="center"/>
        <w:rPr>
          <w:rFonts w:ascii="Times New Roman" w:hAnsi="Times New Roman"/>
          <w:sz w:val="24"/>
          <w:szCs w:val="24"/>
        </w:rPr>
      </w:pPr>
    </w:p>
    <w:p w14:paraId="174D9920" w14:textId="3B5607D0" w:rsidR="00DB79B9" w:rsidRDefault="00DB79B9" w:rsidP="005F1B15">
      <w:pPr>
        <w:spacing w:before="240" w:after="120"/>
        <w:jc w:val="center"/>
        <w:rPr>
          <w:rFonts w:ascii="Times New Roman" w:hAnsi="Times New Roman"/>
          <w:sz w:val="24"/>
          <w:szCs w:val="24"/>
        </w:rPr>
      </w:pPr>
    </w:p>
    <w:p w14:paraId="6E768D54" w14:textId="77777777" w:rsidR="000013A8" w:rsidRDefault="000013A8" w:rsidP="005F1B15">
      <w:pPr>
        <w:spacing w:before="240" w:after="120"/>
        <w:jc w:val="center"/>
        <w:rPr>
          <w:rFonts w:ascii="Times New Roman" w:hAnsi="Times New Roman"/>
          <w:sz w:val="24"/>
          <w:szCs w:val="24"/>
        </w:rPr>
      </w:pPr>
    </w:p>
    <w:p w14:paraId="3B89EA69" w14:textId="77777777" w:rsidR="00B52411" w:rsidRDefault="00B52411" w:rsidP="005F1B15">
      <w:pPr>
        <w:spacing w:before="240" w:after="120"/>
        <w:jc w:val="center"/>
        <w:rPr>
          <w:rFonts w:ascii="Times New Roman" w:hAnsi="Times New Roman"/>
          <w:sz w:val="24"/>
          <w:szCs w:val="24"/>
        </w:rPr>
      </w:pPr>
    </w:p>
    <w:p w14:paraId="34F29EE1" w14:textId="77777777" w:rsidR="00B52411" w:rsidRDefault="00B52411" w:rsidP="005F1B15">
      <w:pPr>
        <w:spacing w:before="240" w:after="120"/>
        <w:jc w:val="center"/>
        <w:rPr>
          <w:rFonts w:ascii="Times New Roman" w:hAnsi="Times New Roman"/>
          <w:sz w:val="24"/>
          <w:szCs w:val="24"/>
        </w:rPr>
      </w:pPr>
    </w:p>
    <w:p w14:paraId="5AC5E452" w14:textId="77777777" w:rsidR="00B52411" w:rsidRDefault="00B52411" w:rsidP="005F1B15">
      <w:pPr>
        <w:spacing w:before="240" w:after="120"/>
        <w:jc w:val="center"/>
        <w:rPr>
          <w:rFonts w:ascii="Times New Roman" w:hAnsi="Times New Roman"/>
          <w:sz w:val="24"/>
          <w:szCs w:val="24"/>
        </w:rPr>
      </w:pPr>
    </w:p>
    <w:p w14:paraId="16F830BA" w14:textId="2B076057" w:rsidR="00DB79B9" w:rsidRDefault="00A45298" w:rsidP="005F1B15">
      <w:pPr>
        <w:spacing w:before="240" w:after="120"/>
        <w:jc w:val="center"/>
        <w:rPr>
          <w:rFonts w:ascii="Times New Roman" w:hAnsi="Times New Roman"/>
          <w:sz w:val="24"/>
          <w:szCs w:val="24"/>
        </w:rPr>
      </w:pPr>
      <w:r>
        <w:rPr>
          <w:rFonts w:ascii="Times New Roman" w:hAnsi="Times New Roman"/>
          <w:sz w:val="24"/>
          <w:szCs w:val="24"/>
        </w:rPr>
        <w:t>(202</w:t>
      </w:r>
      <w:r w:rsidR="000D2A0E">
        <w:rPr>
          <w:rFonts w:ascii="Times New Roman" w:hAnsi="Times New Roman"/>
          <w:sz w:val="24"/>
          <w:szCs w:val="24"/>
        </w:rPr>
        <w:t>4</w:t>
      </w:r>
      <w:r w:rsidR="00806C69">
        <w:rPr>
          <w:rFonts w:ascii="Times New Roman" w:hAnsi="Times New Roman"/>
          <w:sz w:val="24"/>
          <w:szCs w:val="24"/>
        </w:rPr>
        <w:t>)</w:t>
      </w:r>
    </w:p>
    <w:p w14:paraId="380536E0" w14:textId="77777777" w:rsidR="009D7FAC" w:rsidRPr="00BA57A6" w:rsidRDefault="009D7FAC" w:rsidP="005F1B15">
      <w:pPr>
        <w:spacing w:before="240" w:after="120"/>
        <w:rPr>
          <w:rFonts w:ascii="Times New Roman" w:hAnsi="Times New Roman"/>
          <w:sz w:val="24"/>
          <w:szCs w:val="24"/>
        </w:rPr>
      </w:pPr>
    </w:p>
    <w:p w14:paraId="768C5353" w14:textId="77777777" w:rsidR="003D23EC" w:rsidRDefault="00A9344F" w:rsidP="005F1B15">
      <w:pPr>
        <w:jc w:val="both"/>
        <w:rPr>
          <w:rFonts w:ascii="Times New Roman" w:hAnsi="Times New Roman"/>
          <w:b/>
          <w:sz w:val="24"/>
          <w:szCs w:val="24"/>
        </w:rPr>
      </w:pPr>
      <w:r w:rsidRPr="00225815">
        <w:rPr>
          <w:rFonts w:ascii="Times New Roman" w:hAnsi="Times New Roman"/>
          <w:b/>
          <w:sz w:val="24"/>
          <w:szCs w:val="24"/>
        </w:rPr>
        <w:lastRenderedPageBreak/>
        <w:t xml:space="preserve">Përmbledhje e shkurtër </w:t>
      </w:r>
    </w:p>
    <w:p w14:paraId="727D86EC" w14:textId="5F9F1F9A" w:rsidR="003D23EC" w:rsidRPr="003D23EC" w:rsidRDefault="003D23EC" w:rsidP="005F1B15">
      <w:pPr>
        <w:jc w:val="both"/>
        <w:rPr>
          <w:rFonts w:ascii="Times New Roman" w:hAnsi="Times New Roman"/>
          <w:sz w:val="24"/>
          <w:szCs w:val="24"/>
        </w:rPr>
      </w:pPr>
      <w:r w:rsidRPr="003D23EC">
        <w:rPr>
          <w:rFonts w:ascii="Times New Roman" w:hAnsi="Times New Roman"/>
          <w:sz w:val="24"/>
          <w:szCs w:val="24"/>
        </w:rPr>
        <w:t>Procesi fillestar për hartimin e Planit Kombëtar për Energji dhe Klimë (PKEK) në Kosovë ka filluar në vitin 2020-2021. Megjithatë, procesi ishte pezulluar në pritje të miratimit të caqeve të reja të vitit 2030 në nivel të Komunitetit të Energjisë. Për të harmonizuar me këto zotime, Qeveria e Kosovës miratoi Strategjinë e re për Energjinë për periudhën 2022-2031 që përcakton caqet strategjike afatgjata për efiçiencën e energjisë, energjinë e ripërtëritshme dhe emetimin e gazrave serrë. Strategjia e energjisë është ambicioze, ajo përcakton caqet për dekarbonizim dhe është në përputhje me marrëveshjet rajonale dhe objektivat e BE-së të diskutuara dhe të dakorduara në Këshillin Ministror të Komunitetit të Energjisë.</w:t>
      </w:r>
    </w:p>
    <w:p w14:paraId="54AE01D2" w14:textId="77777777" w:rsidR="003D23EC" w:rsidRPr="003D23EC" w:rsidRDefault="003D23EC" w:rsidP="005F1B15">
      <w:pPr>
        <w:jc w:val="both"/>
        <w:rPr>
          <w:rFonts w:ascii="Times New Roman" w:hAnsi="Times New Roman"/>
          <w:sz w:val="24"/>
          <w:szCs w:val="24"/>
        </w:rPr>
      </w:pPr>
      <w:r w:rsidRPr="003D23EC">
        <w:rPr>
          <w:rFonts w:ascii="Times New Roman" w:hAnsi="Times New Roman"/>
          <w:sz w:val="24"/>
          <w:szCs w:val="24"/>
        </w:rPr>
        <w:t>Kosova miratoi programin për zbatimin e Strategjisë së Energjisë 2022/2031 në shtator të vitit 2023, i cili përfshin një listë me 5 objektiva strategjike: Përmirësimi i qëndrueshmërisë së sistemit, dekarbonizimi dhe promovimi i energjisë së ripërtëritshme, rritja e efiçiencës së energjisë, forcimi i bashkëpunimit rajonal dhe funksionimi i tregut, si dhe mbrojtja dhe fuqizimi i konsumatorëve.</w:t>
      </w:r>
    </w:p>
    <w:p w14:paraId="74886DB8" w14:textId="05ABB630" w:rsidR="00B6068A" w:rsidRDefault="003D23EC" w:rsidP="005F1B15">
      <w:pPr>
        <w:jc w:val="both"/>
        <w:rPr>
          <w:rFonts w:ascii="Times New Roman" w:hAnsi="Times New Roman"/>
          <w:sz w:val="24"/>
          <w:szCs w:val="24"/>
        </w:rPr>
      </w:pPr>
      <w:r w:rsidRPr="003D23EC">
        <w:rPr>
          <w:rFonts w:ascii="Times New Roman" w:hAnsi="Times New Roman"/>
          <w:sz w:val="24"/>
          <w:szCs w:val="24"/>
        </w:rPr>
        <w:t xml:space="preserve">Këto objektiva strategjike janë përkthyer në 15 objektiva specifike dhe </w:t>
      </w:r>
      <w:r w:rsidR="006F6BA9">
        <w:rPr>
          <w:rFonts w:ascii="Times New Roman" w:hAnsi="Times New Roman"/>
          <w:sz w:val="24"/>
          <w:szCs w:val="24"/>
        </w:rPr>
        <w:t>7</w:t>
      </w:r>
      <w:r w:rsidRPr="003D23EC">
        <w:rPr>
          <w:rFonts w:ascii="Times New Roman" w:hAnsi="Times New Roman"/>
          <w:sz w:val="24"/>
          <w:szCs w:val="24"/>
        </w:rPr>
        <w:t>0 masa për zbatim, dhe progresi do të monitorohet përmes raportit vjetor të progresit. PKEK bazohet në objektivat, politikat dhe masat e Strategjisë së Energjisë dhe është në harmoni me dokumentet më të fundit strategjike dhe rregullatore të miratuara nga Qeveria e Kosovës.  Kjo qasje gjithëpërfshirëse siguron që politikat energjetike të Kosovës të jenë në përputhje me qëllimet më të gjera rajonale dhe evropiane, duke nxitur bashkëpunimin dhe integrimin rajonal brenda rrjetit energjetik të Ballkanit Perëndimor.</w:t>
      </w:r>
    </w:p>
    <w:p w14:paraId="5E70D343" w14:textId="77777777" w:rsidR="003D23EC" w:rsidRPr="003D23EC" w:rsidRDefault="003D23EC" w:rsidP="005F1B15">
      <w:pPr>
        <w:jc w:val="both"/>
        <w:rPr>
          <w:rFonts w:ascii="Times New Roman" w:hAnsi="Times New Roman"/>
          <w:sz w:val="24"/>
          <w:szCs w:val="24"/>
        </w:rPr>
      </w:pPr>
      <w:r w:rsidRPr="003D23EC">
        <w:rPr>
          <w:rFonts w:ascii="Times New Roman" w:hAnsi="Times New Roman"/>
          <w:sz w:val="24"/>
          <w:szCs w:val="24"/>
        </w:rPr>
        <w:t>Ligji për Ndryshimet Klimatike përcakton kornizën ligjore për PKEK, së bashku me mekanizmat përkatës të monitorimit dhe raportimit. Ai përcakton bazën ligjore për zhvillimin e kontributeve vullnetare të përcaktuara në nivel kombëtar (KPK). Me kalimin e viteve, është arritur progres në zhvillimin e inventarit të gazrave serrë (GS) dhe në miratimin e Strategjisë për Ndryshimet Klimatike 2018-2027 dhe Planit të Veprimit për Ndryshimet Klimatike, 2019-2021. Me hyrjen në fuqi të Ligjit për Ndryshimet Klimatike, Kosova ka krijuar një kornizë të fuqishme rregullatore për sistemin kombëtar të raportimit të emetimeve të Gs-ve, dhe ky është një zhvillim i rëndësishëm për të forcuar më tej iniciativat ekzistuese për të adresuar çështjet klimatike.</w:t>
      </w:r>
    </w:p>
    <w:p w14:paraId="2965991E" w14:textId="77777777" w:rsidR="003D23EC" w:rsidRPr="003D23EC" w:rsidRDefault="003D23EC" w:rsidP="005F1B15">
      <w:pPr>
        <w:jc w:val="both"/>
        <w:rPr>
          <w:rFonts w:ascii="Times New Roman" w:hAnsi="Times New Roman"/>
          <w:sz w:val="24"/>
          <w:szCs w:val="24"/>
        </w:rPr>
      </w:pPr>
      <w:r w:rsidRPr="003D23EC">
        <w:rPr>
          <w:rFonts w:ascii="Times New Roman" w:hAnsi="Times New Roman"/>
          <w:sz w:val="24"/>
          <w:szCs w:val="24"/>
        </w:rPr>
        <w:t>Për më tepër, në vitin 2024, Kosova ka miratuar Ligjin e ri për Burimet e Ripërtëritshme, me qëllim të rritjes së konsiderueshme të shfrytëzimit të burimeve të ripërtëritshme të energjisë në sektorë të ndryshëm. Konkretisht, ne synojmë zgjerimin e burimeve të ripërtëritshme të energjisë në prodhimin e energjisë elektrike, promovimin e kogjenerimit në sektorin e ngrohjes dhe ftohjes dhe inkurajimin e integrimit të energjisë së ripërtëritshme në sektorin e transportit. Ky moment kyç legjislativ tregon përkushtimin tonë për të kaluar drejt një peizazhi energjetik më të qëndrueshëm dhe miqësor ndaj mjedisit.</w:t>
      </w:r>
    </w:p>
    <w:p w14:paraId="77BDBF1C" w14:textId="39AFDD54" w:rsidR="003D23EC" w:rsidRPr="003D23EC" w:rsidRDefault="003D23EC" w:rsidP="005F1B15">
      <w:pPr>
        <w:jc w:val="both"/>
        <w:rPr>
          <w:rFonts w:ascii="Times New Roman" w:hAnsi="Times New Roman"/>
          <w:sz w:val="24"/>
          <w:szCs w:val="24"/>
        </w:rPr>
      </w:pPr>
      <w:r w:rsidRPr="003D23EC">
        <w:rPr>
          <w:rFonts w:ascii="Times New Roman" w:hAnsi="Times New Roman"/>
          <w:sz w:val="24"/>
          <w:szCs w:val="24"/>
        </w:rPr>
        <w:t xml:space="preserve">Veprimet e listuara në PKEK demonstrojnë dedikimin dhe përkushtimin e Kosovës që transformimi i sektorit të energjisë të jetë i ndërlidhur me drejtësinë sociale. Qytetarët do të jenë në qendër të kësaj të ardhëmje transformuese të energjisë, duke siguruar që ata të kenë qasje në energji të përballueshme dhe mundësi për të marrë pjesë aktive në këtë sektor, duke </w:t>
      </w:r>
      <w:r w:rsidRPr="003D23EC">
        <w:rPr>
          <w:rFonts w:ascii="Times New Roman" w:hAnsi="Times New Roman"/>
          <w:sz w:val="24"/>
          <w:szCs w:val="24"/>
        </w:rPr>
        <w:lastRenderedPageBreak/>
        <w:t>përfshirë prodhimin dhe vetëkonsumimin. Mbështetje e veçantë do t’u ofrohet grupeve më të cenueshme, duke i ndihmuar ata të përfitojnë nga iniciativat siç janë skemat e mbështetjes sociale, ose programet mbështetëse për zvogëlimin e barrës mbi përballueshmërinë e qasjes në energji, për të siguruar transparencën që Kosova është e përkushtuar të zhvillojë një përkufizim ligjor për klientët e cenueshëm dhe të krijojë një regjistër gjithëpërfshirës të klientëve të cenueshëm.</w:t>
      </w:r>
    </w:p>
    <w:p w14:paraId="3BC4539F" w14:textId="77777777" w:rsidR="003D23EC" w:rsidRPr="003D23EC" w:rsidRDefault="003D23EC" w:rsidP="005F1B15">
      <w:pPr>
        <w:jc w:val="both"/>
        <w:rPr>
          <w:rFonts w:ascii="Times New Roman" w:hAnsi="Times New Roman"/>
          <w:sz w:val="24"/>
          <w:szCs w:val="24"/>
        </w:rPr>
      </w:pPr>
      <w:r w:rsidRPr="003D23EC">
        <w:rPr>
          <w:rFonts w:ascii="Times New Roman" w:hAnsi="Times New Roman"/>
          <w:sz w:val="24"/>
          <w:szCs w:val="24"/>
        </w:rPr>
        <w:t xml:space="preserve">Themeli për të ardhmen e dekarbonizimit të energjisë dhe klimës së Kosovës, i përcaktuar në PKEK, është në përputhje me Strategjinë e Energjisë së Kosovës dhe objektivat e saj kryesore dhe specifike. Këto objektiva janë shtjelluar dhe modeluar duke përdorur politikat dhe masat ekzistuese (WEM - Me Masat Ekzistuese) dhe politikat dhe masat shtesë (WAM - Me Masat Shtesë), të cilat do të kontribuojnë në arritjen e caqeve kombëtare të përshkruara në Strategjinë e Energjisë deri në vitin 2031 dhe të dakorduara në nivel komunitetit të energjisë.  </w:t>
      </w:r>
    </w:p>
    <w:p w14:paraId="75C8D0A0" w14:textId="77777777" w:rsidR="003D23EC" w:rsidRPr="003D23EC" w:rsidRDefault="003D23EC" w:rsidP="005F1B15">
      <w:pPr>
        <w:jc w:val="both"/>
        <w:rPr>
          <w:rFonts w:ascii="Times New Roman" w:hAnsi="Times New Roman"/>
          <w:sz w:val="24"/>
          <w:szCs w:val="24"/>
        </w:rPr>
      </w:pPr>
      <w:r w:rsidRPr="003D23EC">
        <w:rPr>
          <w:rFonts w:ascii="Times New Roman" w:hAnsi="Times New Roman"/>
          <w:sz w:val="24"/>
          <w:szCs w:val="24"/>
        </w:rPr>
        <w:t>Politikat dhe masat ekzistuese dhe ato shtesë (WEM dhe WAM) përcaktojnë kornizën që garanton sigurinë e furnizimit me energji elektrike, promovon energjinë e pastër, rrit efiçiencën e energjisë dhe inkurajon pjesëmarrjen aktive të qytetarëve dhe mbështetjen për grupet e cenueshme.</w:t>
      </w:r>
    </w:p>
    <w:p w14:paraId="33F89079" w14:textId="77777777" w:rsidR="003D23EC" w:rsidRPr="003D23EC" w:rsidRDefault="003D23EC" w:rsidP="005F1B15">
      <w:pPr>
        <w:jc w:val="both"/>
        <w:rPr>
          <w:rFonts w:ascii="Times New Roman" w:hAnsi="Times New Roman"/>
          <w:sz w:val="24"/>
          <w:szCs w:val="24"/>
        </w:rPr>
      </w:pPr>
      <w:r w:rsidRPr="003D23EC">
        <w:rPr>
          <w:rFonts w:ascii="Times New Roman" w:hAnsi="Times New Roman"/>
          <w:sz w:val="24"/>
          <w:szCs w:val="24"/>
        </w:rPr>
        <w:t xml:space="preserve">Ndikimi i politikave dhe masave janë modeluar duke përdorur softuerin LEAP (Platforma e Analizës së Emetimeve të Ulëta), me një model të zhvilluar posaçërisht për Kosovën, dhe kryhet si proces përsëritës duke marrë parasysh shtrirjen dhe intensitetin e secilës PAM për të përmbushur caqet kombëtare të dakorduara. </w:t>
      </w:r>
    </w:p>
    <w:p w14:paraId="61CB3FA8" w14:textId="77777777" w:rsidR="003D23EC" w:rsidRPr="003D23EC" w:rsidRDefault="003D23EC" w:rsidP="005F1B15">
      <w:pPr>
        <w:jc w:val="both"/>
        <w:rPr>
          <w:rFonts w:ascii="Times New Roman" w:hAnsi="Times New Roman"/>
          <w:sz w:val="24"/>
          <w:szCs w:val="24"/>
        </w:rPr>
      </w:pPr>
      <w:r w:rsidRPr="003D23EC">
        <w:rPr>
          <w:rFonts w:ascii="Times New Roman" w:hAnsi="Times New Roman"/>
          <w:sz w:val="24"/>
          <w:szCs w:val="24"/>
        </w:rPr>
        <w:t xml:space="preserve">Gjatë gjithë procesit të hartimit të PKEK-së, Udhëzimet e Politikave të Sekretariatit të Komunitetit të Energjisë për zhvillimin e PKEK-ve, së bashku me rregulloret dhe direktivat e tjera përkatëse që kanë të bëjnë me pesë dimensionet e PKEK-së janë ndjekur si parime udhëzuese. </w:t>
      </w:r>
    </w:p>
    <w:p w14:paraId="4D55F7BB" w14:textId="77777777" w:rsidR="003D23EC" w:rsidRPr="003D23EC" w:rsidRDefault="003D23EC" w:rsidP="005F1B15">
      <w:pPr>
        <w:jc w:val="both"/>
        <w:rPr>
          <w:rFonts w:ascii="Times New Roman" w:hAnsi="Times New Roman"/>
          <w:sz w:val="24"/>
          <w:szCs w:val="24"/>
        </w:rPr>
      </w:pPr>
      <w:r w:rsidRPr="003D23EC">
        <w:rPr>
          <w:rFonts w:ascii="Times New Roman" w:hAnsi="Times New Roman"/>
          <w:sz w:val="24"/>
          <w:szCs w:val="24"/>
        </w:rPr>
        <w:t>Në kuadër të dimensionit të dekarbonizimit të PKEK-së, Kosova është e përkushtuar të zbatojë politika dhe masa në të gjithë sektorët në mënyrë që të zvogëlojë emetimet e GS-ve dhe të rrisë pjesëmarrjen e BRE-ve në bruto konsumin final të energjisë, në mënyrë të qëndrueshme. Shumica e emetimeve të GS-ve në vend, rreth 87%, gjenerohen nga djegia e lëndëve djegëse fosile në sektorin e energjisë, veçanërisht në transformimin e energjisë, industri dhe transport. Prandaj, objektivi kryesor është promovimi i kalimit drejt teknologjive me karbon të ulët në këta sektorë duke rritur përdorimin e BRE-ve në kombinimin e prodhimit të energjisë, duke zbatuar masa për efiçiencën e energjisë në të gjithë sektorët dhe duke hequr gradualisht përdorimin e lëndëve djegëse fosile.</w:t>
      </w:r>
    </w:p>
    <w:p w14:paraId="760DA9C1" w14:textId="77777777" w:rsidR="003D23EC" w:rsidRPr="003D23EC" w:rsidRDefault="003D23EC" w:rsidP="005F1B15">
      <w:pPr>
        <w:jc w:val="both"/>
        <w:rPr>
          <w:rFonts w:ascii="Times New Roman" w:hAnsi="Times New Roman"/>
          <w:sz w:val="24"/>
          <w:szCs w:val="24"/>
        </w:rPr>
      </w:pPr>
      <w:r w:rsidRPr="003D23EC">
        <w:rPr>
          <w:rFonts w:ascii="Times New Roman" w:hAnsi="Times New Roman"/>
          <w:sz w:val="24"/>
          <w:szCs w:val="24"/>
        </w:rPr>
        <w:t xml:space="preserve">Analiza e kryer dhe vlerësimi i ndikimit në këtë plan shërben si bazë themelore, por nuk merr parasysh zbatimin e çmimit të karbonit. Megjithatë, disa analiza të ndjeshmërisë janë kryer duke përdorur çmime të ndryshme të karbonit për të treguar ndikimet. Është vendosur që të kryhen analiza shtesë, duke përfshirë vlerësimin e efekteve të vënies në funksion të Mekanizmit të Rregullimit të Kufirit të Karbonit (CBAM) nga Bashkimi Evropian në Republikën e Kosovës. Këto aktivitete tashmë kanë filluar përmes një studimi të CBAM që është duke u zhvilluar nga një Grup Punues ndërqeveritar së bashku me Fondin Monetar Ndërkombëtar (FMN). </w:t>
      </w:r>
    </w:p>
    <w:p w14:paraId="053655BE" w14:textId="77777777" w:rsidR="003D23EC" w:rsidRPr="003D23EC" w:rsidRDefault="003D23EC" w:rsidP="005F1B15">
      <w:pPr>
        <w:jc w:val="both"/>
        <w:rPr>
          <w:rFonts w:ascii="Times New Roman" w:hAnsi="Times New Roman"/>
          <w:sz w:val="24"/>
          <w:szCs w:val="24"/>
        </w:rPr>
      </w:pPr>
      <w:r w:rsidRPr="003D23EC">
        <w:rPr>
          <w:rFonts w:ascii="Times New Roman" w:hAnsi="Times New Roman"/>
          <w:sz w:val="24"/>
          <w:szCs w:val="24"/>
        </w:rPr>
        <w:lastRenderedPageBreak/>
        <w:t xml:space="preserve">Në lidhje me energjinë e ripërtëritshme, caku i Kosovës është për të rritur pjesëmarrjen e BRE-ve në konsumin e energjisë elektrike në 35% deri në vitin 2031 nga 6.3% që ishte në vitin 2021. Përveç temës së burimeve të ripërtëritshme të energjisë, dimensioni i Dekarbonizimit përfshin emetimet e GS-ve si dhe politikat dhe masat që lidhen me sektorët joenergjetik. Caqet e GS-ve të miratuara për vitin 2030 në terma absolutë janë 8,95 Mt CO2-eq ose një reduktim prej 16,3% krahasuar me nivelet e GS-ve të vitit 2016, kjo siguron një qasje gjithëpërfshirëse për të adresuar reduktimin e emetimeve dhe qëndrueshmërinë në të gjithë sektorët e ekonomisë.  </w:t>
      </w:r>
    </w:p>
    <w:p w14:paraId="1083FA9F" w14:textId="77777777" w:rsidR="003D23EC" w:rsidRPr="003D23EC" w:rsidRDefault="003D23EC" w:rsidP="005F1B15">
      <w:pPr>
        <w:jc w:val="both"/>
        <w:rPr>
          <w:rFonts w:ascii="Times New Roman" w:hAnsi="Times New Roman"/>
          <w:sz w:val="24"/>
          <w:szCs w:val="24"/>
        </w:rPr>
      </w:pPr>
      <w:r w:rsidRPr="003D23EC">
        <w:rPr>
          <w:rFonts w:ascii="Times New Roman" w:hAnsi="Times New Roman"/>
          <w:sz w:val="24"/>
          <w:szCs w:val="24"/>
        </w:rPr>
        <w:t>Parimi i parë i efiçiencës së energjisë është prezantuar në PKEK si pjesë e dimensionit të efiçiencës së energjisë, duke marrë parasysh maksimalisht masat e efiçiencës së energjisë me kosto efektive në formësimin e politikës së energjisë dhe marrjen e vendimeve përkatëse për investime. Caku i Kosovës është përafruar me Vendimin 2022/02/MC-EnC, të miratuar nga Këshilli Ministror i Komunitetit të Energjisë, dhe në raport me konsumin primar të energjisë në vitin 2030 është 2.7 Mtoe, ndërsa për konsumin final të energjisë, është 1.8 Mtoe. Shumica e masave brenda këtij dimensioni fokusohen në rinovimet e ndërtesave që synojnë përmirësimin e efiçiencës së energjisë. Megjithatë, ka edhe masa që i përkasin sektorëve të tjerë, siç është sektori i transportit.</w:t>
      </w:r>
    </w:p>
    <w:p w14:paraId="323259C3" w14:textId="77777777" w:rsidR="003D23EC" w:rsidRPr="003D23EC" w:rsidRDefault="003D23EC" w:rsidP="005F1B15">
      <w:pPr>
        <w:jc w:val="both"/>
        <w:rPr>
          <w:rFonts w:ascii="Times New Roman" w:hAnsi="Times New Roman"/>
          <w:sz w:val="24"/>
          <w:szCs w:val="24"/>
        </w:rPr>
      </w:pPr>
      <w:r w:rsidRPr="003D23EC">
        <w:rPr>
          <w:rFonts w:ascii="Times New Roman" w:hAnsi="Times New Roman"/>
          <w:sz w:val="24"/>
          <w:szCs w:val="24"/>
        </w:rPr>
        <w:t>Në lidhje me sigurinë energjetike, PKEK bazohet kryesisht në caqet dhe politikat e përfshira në Strategjinë Kombëtare të Energjisë (2022-2031), me objektivat e saj kryesore. Për sa i përket një ekuilibri ndërmjet prodhimit të energjisë elektrike dhe konsumit të energjisë elektrike, Kosova është në pozitë të ngjashme me vendet e tjera të rajonit. Megjithatë, problemet me të cilat ballafaqohet Kosova janë të lidhura me sigurimin e kapaciteteve të nevojshme për të mbuluar kërkesën e pikut, veçanërisht në dimër, dhe në përmbushjen e kërkesave për kapacitet rezervë të sistemeve energjetike. Sistemi i ruajtjes është në fokus për të mbështetur sigurinë energjetike, qasja teknologjike është të ndihmojë në stabilizimin e frekuencës së luhatshme të energjisë elektrike, zhvendosjen e ngarkesës dhe të ndihmojë në integrimin e gjenerimit të burimeve të ripërtëritshme. Gatishmëria ndaj rrezikut në sektorin e energjisë elektrike është pjesë e sigurisë energjetike.</w:t>
      </w:r>
    </w:p>
    <w:p w14:paraId="50AA69ED" w14:textId="77777777" w:rsidR="003D23EC" w:rsidRPr="003D23EC" w:rsidRDefault="003D23EC" w:rsidP="005F1B15">
      <w:pPr>
        <w:jc w:val="both"/>
        <w:rPr>
          <w:rFonts w:ascii="Times New Roman" w:hAnsi="Times New Roman"/>
          <w:sz w:val="24"/>
          <w:szCs w:val="24"/>
        </w:rPr>
      </w:pPr>
      <w:r w:rsidRPr="003D23EC">
        <w:rPr>
          <w:rFonts w:ascii="Times New Roman" w:hAnsi="Times New Roman"/>
          <w:sz w:val="24"/>
          <w:szCs w:val="24"/>
        </w:rPr>
        <w:t xml:space="preserve">Liberalizimi i tregut dhe integrimi rajonal pritet të sigurojnë efekte zbutëse për sa i përket problemit të furnizimit, megjithëse ka sfida të konsiderueshme që duhen adresuar për të siguruar një furnizim të qëndrueshëm me energji elektrike. </w:t>
      </w:r>
    </w:p>
    <w:p w14:paraId="34AE8C01" w14:textId="77777777" w:rsidR="003D23EC" w:rsidRPr="003D23EC" w:rsidRDefault="003D23EC" w:rsidP="005F1B15">
      <w:pPr>
        <w:jc w:val="both"/>
        <w:rPr>
          <w:rFonts w:ascii="Times New Roman" w:hAnsi="Times New Roman"/>
          <w:sz w:val="24"/>
          <w:szCs w:val="24"/>
        </w:rPr>
      </w:pPr>
      <w:r w:rsidRPr="003D23EC">
        <w:rPr>
          <w:rFonts w:ascii="Times New Roman" w:hAnsi="Times New Roman"/>
          <w:sz w:val="24"/>
          <w:szCs w:val="24"/>
        </w:rPr>
        <w:t>Në dimensionin e brendshëm të tregut energjetik, niveli i ndërlidhjes së sistemit elektroenergjetik është një nga parakushtet bazë për zhvillimin dhe integrimin e tregut të energjisë elektrike. Shtetet anëtare të BE-së synojnë cakun e ri prej 15% të ngarkesës maksimale që do të instalohet në kapacitetet e interkoneksionit deri në vitin 2030. Megjithatë, Kosova tashmë ka tejkaluar këtë cak, me kapacitetin e instaluar të interkoneksionit disa herë më të lartë se ngarkesa maksimale e sistemit. Për më tepër, Kosova është në mesin e tri vendeve më të mira në Evropë për sa i përket raportit ndërmjet kapaciteteve të interkoneksionit dhe kapaciteteve të instaluara prodhuese, si dhe raportit ndërmjet kapaciteteve të interkoneksionit dhe ngarkesës maksimale.</w:t>
      </w:r>
    </w:p>
    <w:p w14:paraId="273DD336" w14:textId="77777777" w:rsidR="003D23EC" w:rsidRPr="003D23EC" w:rsidRDefault="003D23EC" w:rsidP="005F1B15">
      <w:pPr>
        <w:jc w:val="both"/>
        <w:rPr>
          <w:rFonts w:ascii="Times New Roman" w:hAnsi="Times New Roman"/>
          <w:sz w:val="24"/>
          <w:szCs w:val="24"/>
        </w:rPr>
      </w:pPr>
      <w:r w:rsidRPr="003D23EC">
        <w:rPr>
          <w:rFonts w:ascii="Times New Roman" w:hAnsi="Times New Roman"/>
          <w:sz w:val="24"/>
          <w:szCs w:val="24"/>
        </w:rPr>
        <w:t xml:space="preserve">Një nga objektivat kryesore të Kosovës ishte që përmes ALPEX-it të vendoste funksionalizimin e tregut të energjisë elektrike. Ky objektiv u realizua me funksionimin e </w:t>
      </w:r>
      <w:r w:rsidRPr="003D23EC">
        <w:rPr>
          <w:rFonts w:ascii="Times New Roman" w:hAnsi="Times New Roman"/>
          <w:sz w:val="24"/>
          <w:szCs w:val="24"/>
        </w:rPr>
        <w:lastRenderedPageBreak/>
        <w:t>ALPEX (Go Live) të tregut të ditës në avancë (TDA) për zonën tregtare të Kosovës më 31 janar 2024, duke shënuar në të njëjtën kohë një treg të lidhur me zonën tregtare të Shqipërisë. Kjo gjithashtu shënon për herë të parë bashkimin e tregut të ditës në avancë në Komunitetin e Energjisë. Me funksionimin e plotë të TDA-së në të dy tregjet, së bashku me kapacitetin adekuat të interkoneksionit ndërmjet këtyre vendeve (rrjeti 400 kV dhe rrjeti 220 kV që siguron 1500 MVA kapacitet të instaluar të interkoneksionit dhe 400 MW NTC, me mundësi rritjeje deri në 600 MW), nuk do të ketë mbingarkesë në shumicën e rasteve, që do të thotë se nuk do të ketë dallim çmimi ndërmjet Kosovës dhe Shqipërisë. Në periudhën kohore të mbuluar nga PKEK, tregjet e Shqipërisë dhe Kosovës pritet të bashkohen më tej në aspektin rajonal, si pjesë e nismave rajonale të udhëhequra nga Komuniteti i Energjisë, si dhe nga grupe të ndryshme të vendeve (siç janë Kosova, Shqipëria dhe Maqedonia e Veriut) dhe kështu përfundimisht të rezultojë në dallime të papërfillshme të çmimeve të shitjes me shumicë brenda rajonit, në pritje të procedurës së zgjidhjes së mosmarrëveshjeve për mosshpërndarjen e kapacitetit në interkonektorët ndërmjet Kosovës dhe Serbisë (numri i rastit ECS-2/21) dhe marrëveshjes me OST-në serb. Argument shtesë për këtë është niveli i lartë i kapaciteteve të instaluara në rajon.</w:t>
      </w:r>
    </w:p>
    <w:p w14:paraId="4088B2BD" w14:textId="77777777" w:rsidR="003D23EC" w:rsidRDefault="003D23EC" w:rsidP="005F1B15">
      <w:pPr>
        <w:jc w:val="both"/>
        <w:rPr>
          <w:rFonts w:ascii="Times New Roman" w:hAnsi="Times New Roman"/>
          <w:sz w:val="24"/>
          <w:szCs w:val="24"/>
        </w:rPr>
      </w:pPr>
      <w:r w:rsidRPr="003D23EC">
        <w:rPr>
          <w:rFonts w:ascii="Times New Roman" w:hAnsi="Times New Roman"/>
          <w:sz w:val="24"/>
          <w:szCs w:val="24"/>
        </w:rPr>
        <w:t>Dimensioni i pestë, hulumtimi, inovacioni dhe konkurrueshmëria, janë trajtuar gjithashtu në PKEK. Kosova po punon drejt zhvillimit të sistemit të saj të hulumtimit, inovacionit dhe konkurrueshmërisë, duke synuar të rrisë kapacitetet e saj në këto fusha.  Sipas Ligjit nr. 04/L-135 për Veprimtari Hulumtuese-Shkencore, Kosova është e përkushtuar të ndajë së paku 14 milionë euro në vit për shkencë dhe inovacion. Objektivi i Kosovës është të krijojë një sistem hulumtimi dhe inovacioni të aftë për të identifikuar teknologjitë më të përshtatshme që industritë e saj duhet të zbatojnë, duke qëndruar në krah të avancimeve teknologjike dhe duke zbuluar qasje inovative për të integruar në mënyrë efektive teknologjitë më të qëndrueshme. Rritja e vendeve të gjelbra të punës është në fokusin e qeverisë për kohëzgjatjen e PKEK-së.</w:t>
      </w:r>
    </w:p>
    <w:p w14:paraId="55C1E832" w14:textId="77777777" w:rsidR="003D23EC" w:rsidRDefault="003D23EC" w:rsidP="005F1B15">
      <w:pPr>
        <w:jc w:val="both"/>
        <w:rPr>
          <w:rFonts w:ascii="Times New Roman" w:hAnsi="Times New Roman"/>
          <w:sz w:val="24"/>
          <w:szCs w:val="24"/>
        </w:rPr>
      </w:pPr>
    </w:p>
    <w:p w14:paraId="1638F1AB" w14:textId="4C8CEF37" w:rsidR="00FB6740" w:rsidRDefault="00225815" w:rsidP="005F1B15">
      <w:pPr>
        <w:jc w:val="both"/>
        <w:rPr>
          <w:rFonts w:ascii="Times New Roman" w:hAnsi="Times New Roman"/>
          <w:b/>
          <w:sz w:val="24"/>
          <w:szCs w:val="24"/>
        </w:rPr>
      </w:pPr>
      <w:r w:rsidRPr="00225815">
        <w:rPr>
          <w:rFonts w:ascii="Times New Roman" w:hAnsi="Times New Roman"/>
          <w:b/>
          <w:sz w:val="24"/>
          <w:szCs w:val="24"/>
        </w:rPr>
        <w:t>Qëllimi i Konsultimit</w:t>
      </w:r>
      <w:r w:rsidR="00587125" w:rsidRPr="00225815">
        <w:rPr>
          <w:rFonts w:ascii="Times New Roman" w:hAnsi="Times New Roman"/>
          <w:b/>
          <w:sz w:val="24"/>
          <w:szCs w:val="24"/>
        </w:rPr>
        <w:t xml:space="preserve"> </w:t>
      </w:r>
    </w:p>
    <w:p w14:paraId="3D297DCB" w14:textId="07485179" w:rsidR="00225815" w:rsidRPr="008E4B6E" w:rsidRDefault="00225815" w:rsidP="005F1B15">
      <w:pPr>
        <w:spacing w:before="240"/>
        <w:jc w:val="both"/>
        <w:rPr>
          <w:rFonts w:ascii="Times New Roman" w:hAnsi="Times New Roman"/>
          <w:sz w:val="24"/>
          <w:szCs w:val="24"/>
        </w:rPr>
      </w:pPr>
      <w:r w:rsidRPr="008E4B6E">
        <w:rPr>
          <w:rFonts w:ascii="Times New Roman" w:hAnsi="Times New Roman"/>
          <w:sz w:val="24"/>
          <w:szCs w:val="24"/>
        </w:rPr>
        <w:t>Qëllimi i konsultimit është përfshirja sa më e madhe e të gjitha palëve të interesit. Pas hartimit të draftit fillestar nga zyrtari përgjegjës sipas Rregullores së Punës së Qeverisë drafti është dë</w:t>
      </w:r>
      <w:r>
        <w:rPr>
          <w:rFonts w:ascii="Times New Roman" w:hAnsi="Times New Roman"/>
          <w:sz w:val="24"/>
          <w:szCs w:val="24"/>
        </w:rPr>
        <w:t>rguar për konsultim paraprak, të</w:t>
      </w:r>
      <w:r w:rsidRPr="008E4B6E">
        <w:rPr>
          <w:rFonts w:ascii="Times New Roman" w:hAnsi="Times New Roman"/>
          <w:sz w:val="24"/>
          <w:szCs w:val="24"/>
        </w:rPr>
        <w:t xml:space="preserve"> të gjitha institucionet që mund të ndikohen nga</w:t>
      </w:r>
      <w:r w:rsidRPr="00225815">
        <w:rPr>
          <w:rFonts w:ascii="Times New Roman" w:hAnsi="Times New Roman"/>
          <w:sz w:val="24"/>
          <w:szCs w:val="24"/>
        </w:rPr>
        <w:t xml:space="preserve"> </w:t>
      </w:r>
      <w:r w:rsidR="00863718" w:rsidRPr="000D2A0E">
        <w:rPr>
          <w:rFonts w:ascii="Times New Roman" w:hAnsi="Times New Roman"/>
          <w:bCs/>
          <w:sz w:val="24"/>
          <w:szCs w:val="24"/>
        </w:rPr>
        <w:t xml:space="preserve">Hartimi </w:t>
      </w:r>
      <w:r w:rsidR="00863718">
        <w:rPr>
          <w:rFonts w:ascii="Times New Roman" w:hAnsi="Times New Roman"/>
          <w:bCs/>
          <w:sz w:val="24"/>
          <w:szCs w:val="24"/>
        </w:rPr>
        <w:t>i</w:t>
      </w:r>
      <w:r w:rsidR="00863718" w:rsidRPr="000D2A0E">
        <w:rPr>
          <w:rFonts w:ascii="Times New Roman" w:hAnsi="Times New Roman"/>
          <w:bCs/>
          <w:sz w:val="24"/>
          <w:szCs w:val="24"/>
        </w:rPr>
        <w:t xml:space="preserve"> </w:t>
      </w:r>
      <w:r w:rsidR="003D23EC">
        <w:rPr>
          <w:rFonts w:ascii="Times New Roman" w:hAnsi="Times New Roman"/>
          <w:bCs/>
          <w:sz w:val="24"/>
          <w:szCs w:val="24"/>
        </w:rPr>
        <w:t>Planit Kombëtar për Energji dhe Klimë 2025-2030</w:t>
      </w:r>
      <w:r w:rsidR="00863718">
        <w:rPr>
          <w:rFonts w:ascii="Times New Roman" w:hAnsi="Times New Roman"/>
          <w:sz w:val="24"/>
          <w:szCs w:val="24"/>
        </w:rPr>
        <w:t>.</w:t>
      </w:r>
    </w:p>
    <w:p w14:paraId="7BCBA178" w14:textId="637F4DA1" w:rsidR="00225815" w:rsidRPr="00C16CAB" w:rsidRDefault="00225815" w:rsidP="005F1B15">
      <w:pPr>
        <w:pStyle w:val="Body"/>
        <w:pBdr>
          <w:top w:val="none" w:sz="0" w:space="0" w:color="auto"/>
          <w:left w:val="none" w:sz="0" w:space="0" w:color="auto"/>
          <w:bottom w:val="none" w:sz="0" w:space="0" w:color="auto"/>
          <w:right w:val="none" w:sz="0" w:space="0" w:color="auto"/>
        </w:pBdr>
        <w:tabs>
          <w:tab w:val="left" w:pos="990"/>
        </w:tabs>
        <w:spacing w:line="276" w:lineRule="auto"/>
        <w:rPr>
          <w:rFonts w:hAnsi="Times New Roman"/>
          <w:color w:val="auto"/>
          <w:lang w:val="sq-AL"/>
        </w:rPr>
      </w:pPr>
      <w:r w:rsidRPr="008E4B6E">
        <w:rPr>
          <w:rFonts w:hAnsi="Times New Roman" w:cs="Times New Roman"/>
          <w:color w:val="000000" w:themeColor="text1"/>
          <w:lang w:val="sq-AL"/>
        </w:rPr>
        <w:t>Faza e konsultimit</w:t>
      </w:r>
      <w:r w:rsidRPr="008E4B6E">
        <w:rPr>
          <w:rFonts w:hAnsi="Times New Roman"/>
          <w:color w:val="000000" w:themeColor="text1"/>
          <w:lang w:val="sq-AL"/>
        </w:rPr>
        <w:t xml:space="preserve"> më publikun përmes metodave të ndryshme përfshirë platformën elektronike për konsultimet publike dhe takime direkt më palë të interesit</w:t>
      </w:r>
      <w:r>
        <w:rPr>
          <w:rFonts w:hAnsi="Times New Roman"/>
          <w:color w:val="000000" w:themeColor="text1"/>
          <w:lang w:val="sq-AL"/>
        </w:rPr>
        <w:t>, nëse paraqitet nevoja</w:t>
      </w:r>
      <w:r w:rsidRPr="008E4B6E">
        <w:rPr>
          <w:rFonts w:hAnsi="Times New Roman"/>
          <w:color w:val="000000" w:themeColor="text1"/>
          <w:lang w:val="sq-AL"/>
        </w:rPr>
        <w:t>, do të përfshijë të gjitha institucionet dhe kategoritë e shoqërisë qoftë ata me ndikim dhe/ose interes të lartë apo ata të cilët për shkak të karakteristikave që kanë mund të japin kontribut për sh</w:t>
      </w:r>
      <w:r>
        <w:rPr>
          <w:rFonts w:hAnsi="Times New Roman"/>
          <w:color w:val="000000" w:themeColor="text1"/>
          <w:lang w:val="sq-AL"/>
        </w:rPr>
        <w:t xml:space="preserve">qyrtimin e dispozitave të </w:t>
      </w:r>
      <w:r w:rsidRPr="00C16CAB">
        <w:rPr>
          <w:rFonts w:hAnsi="Times New Roman"/>
          <w:color w:val="000000" w:themeColor="text1"/>
          <w:lang w:val="sq-AL"/>
        </w:rPr>
        <w:t xml:space="preserve">këtij </w:t>
      </w:r>
      <w:r w:rsidRPr="00C16CAB">
        <w:rPr>
          <w:rFonts w:hAnsi="Times New Roman" w:cs="Times New Roman"/>
          <w:bCs/>
          <w:color w:val="auto"/>
          <w:lang w:val="sq-AL"/>
        </w:rPr>
        <w:t xml:space="preserve"> </w:t>
      </w:r>
      <w:r w:rsidR="00863718" w:rsidRPr="000D2A0E">
        <w:rPr>
          <w:rFonts w:hAnsi="Times New Roman"/>
          <w:bCs/>
        </w:rPr>
        <w:t xml:space="preserve">Hartimi </w:t>
      </w:r>
      <w:r w:rsidR="00863718">
        <w:rPr>
          <w:rFonts w:hAnsi="Times New Roman"/>
          <w:bCs/>
        </w:rPr>
        <w:t>i</w:t>
      </w:r>
      <w:r w:rsidR="00863718" w:rsidRPr="000D2A0E">
        <w:rPr>
          <w:rFonts w:hAnsi="Times New Roman"/>
          <w:bCs/>
        </w:rPr>
        <w:t xml:space="preserve"> </w:t>
      </w:r>
      <w:r w:rsidR="003D23EC">
        <w:rPr>
          <w:rFonts w:hAnsi="Times New Roman"/>
          <w:bCs/>
        </w:rPr>
        <w:t>Planit Kombëtar për Energji dhe Klimë 2025-2030</w:t>
      </w:r>
      <w:r w:rsidR="00200F4B" w:rsidRPr="00C16CAB">
        <w:rPr>
          <w:rFonts w:hAnsi="Times New Roman"/>
          <w:lang w:val="sq-AL"/>
        </w:rPr>
        <w:t>.</w:t>
      </w:r>
    </w:p>
    <w:p w14:paraId="4DFE78CC" w14:textId="77777777" w:rsidR="00225815" w:rsidRPr="00C16CAB" w:rsidRDefault="00225815" w:rsidP="005F1B15">
      <w:pPr>
        <w:pStyle w:val="Body"/>
        <w:pBdr>
          <w:top w:val="none" w:sz="0" w:space="0" w:color="auto"/>
          <w:left w:val="none" w:sz="0" w:space="0" w:color="auto"/>
          <w:bottom w:val="none" w:sz="0" w:space="0" w:color="auto"/>
          <w:right w:val="none" w:sz="0" w:space="0" w:color="auto"/>
        </w:pBdr>
        <w:tabs>
          <w:tab w:val="left" w:pos="990"/>
        </w:tabs>
        <w:spacing w:line="276" w:lineRule="auto"/>
        <w:rPr>
          <w:rFonts w:hAnsi="Times New Roman"/>
          <w:color w:val="auto"/>
          <w:lang w:val="sq-AL"/>
        </w:rPr>
      </w:pPr>
    </w:p>
    <w:p w14:paraId="366CFBDB" w14:textId="29F1416C" w:rsidR="00225815" w:rsidRPr="008E4B6E" w:rsidRDefault="00225815" w:rsidP="005F1B15">
      <w:pPr>
        <w:pStyle w:val="Body"/>
        <w:pBdr>
          <w:top w:val="none" w:sz="0" w:space="0" w:color="auto"/>
          <w:left w:val="none" w:sz="0" w:space="0" w:color="auto"/>
          <w:bottom w:val="none" w:sz="0" w:space="0" w:color="auto"/>
          <w:right w:val="none" w:sz="0" w:space="0" w:color="auto"/>
        </w:pBdr>
        <w:tabs>
          <w:tab w:val="left" w:pos="990"/>
        </w:tabs>
        <w:spacing w:line="276" w:lineRule="auto"/>
        <w:rPr>
          <w:rFonts w:hAnsi="Times New Roman"/>
          <w:color w:val="000000" w:themeColor="text1"/>
          <w:lang w:val="sq-AL"/>
        </w:rPr>
      </w:pPr>
      <w:r w:rsidRPr="00C16CAB">
        <w:rPr>
          <w:rFonts w:hAnsi="Times New Roman"/>
          <w:color w:val="000000" w:themeColor="text1"/>
          <w:lang w:val="sq-AL"/>
        </w:rPr>
        <w:t>Komentet dhe rekomandimet për</w:t>
      </w:r>
      <w:r w:rsidR="005E6A45" w:rsidRPr="00C16CAB">
        <w:rPr>
          <w:rFonts w:hAnsi="Times New Roman"/>
          <w:lang w:val="sq-AL"/>
        </w:rPr>
        <w:t xml:space="preserve"> </w:t>
      </w:r>
      <w:r w:rsidR="00863718" w:rsidRPr="000D2A0E">
        <w:rPr>
          <w:rFonts w:hAnsi="Times New Roman"/>
          <w:bCs/>
        </w:rPr>
        <w:t>Hartimi</w:t>
      </w:r>
      <w:r w:rsidR="00863718">
        <w:rPr>
          <w:rFonts w:hAnsi="Times New Roman"/>
          <w:bCs/>
        </w:rPr>
        <w:t>n</w:t>
      </w:r>
      <w:r w:rsidR="00863718" w:rsidRPr="000D2A0E">
        <w:rPr>
          <w:rFonts w:hAnsi="Times New Roman"/>
          <w:bCs/>
        </w:rPr>
        <w:t xml:space="preserve"> </w:t>
      </w:r>
      <w:r w:rsidR="00863718">
        <w:rPr>
          <w:rFonts w:hAnsi="Times New Roman"/>
          <w:bCs/>
        </w:rPr>
        <w:t>e</w:t>
      </w:r>
      <w:r w:rsidR="00863718" w:rsidRPr="000D2A0E">
        <w:rPr>
          <w:rFonts w:hAnsi="Times New Roman"/>
          <w:bCs/>
        </w:rPr>
        <w:t xml:space="preserve"> </w:t>
      </w:r>
      <w:r w:rsidR="003D23EC">
        <w:rPr>
          <w:rFonts w:hAnsi="Times New Roman"/>
          <w:bCs/>
        </w:rPr>
        <w:t>Planit Kombëtar për Energji dhe Klimë 2025-2030</w:t>
      </w:r>
      <w:r w:rsidR="00863718">
        <w:rPr>
          <w:rFonts w:hAnsi="Times New Roman"/>
          <w:bCs/>
        </w:rPr>
        <w:t xml:space="preserve"> </w:t>
      </w:r>
      <w:r w:rsidR="005E6A45" w:rsidRPr="00C16CAB">
        <w:rPr>
          <w:rFonts w:hAnsi="Times New Roman"/>
          <w:color w:val="000000" w:themeColor="text1"/>
          <w:lang w:val="sq-AL"/>
        </w:rPr>
        <w:t>mund të jepen për secilin Objektiv Strategjik</w:t>
      </w:r>
      <w:r w:rsidRPr="008E4B6E">
        <w:rPr>
          <w:rFonts w:hAnsi="Times New Roman"/>
          <w:color w:val="000000" w:themeColor="text1"/>
          <w:lang w:val="sq-AL"/>
        </w:rPr>
        <w:t xml:space="preserve"> përmes Platformës Elektronike për konsultimet në pjesën ku jepen komentet e përgjithshme dhe specifike.  </w:t>
      </w:r>
      <w:r w:rsidR="003D23EC">
        <w:rPr>
          <w:rFonts w:hAnsi="Times New Roman"/>
          <w:color w:val="000000" w:themeColor="text1"/>
          <w:lang w:val="sq-AL"/>
        </w:rPr>
        <w:t xml:space="preserve"> </w:t>
      </w:r>
    </w:p>
    <w:p w14:paraId="0E06E0EB" w14:textId="7187BCD4" w:rsidR="00225815" w:rsidRPr="008E4B6E" w:rsidRDefault="00225815" w:rsidP="005F1B15">
      <w:pPr>
        <w:spacing w:before="240"/>
        <w:jc w:val="both"/>
        <w:rPr>
          <w:rFonts w:ascii="Times New Roman" w:hAnsi="Times New Roman"/>
          <w:sz w:val="24"/>
          <w:szCs w:val="24"/>
        </w:rPr>
      </w:pPr>
      <w:r w:rsidRPr="008E4B6E">
        <w:rPr>
          <w:rFonts w:ascii="Times New Roman" w:hAnsi="Times New Roman"/>
          <w:sz w:val="24"/>
          <w:szCs w:val="24"/>
        </w:rPr>
        <w:lastRenderedPageBreak/>
        <w:t>Pas finalizimit të procesit t</w:t>
      </w:r>
      <w:r>
        <w:rPr>
          <w:rFonts w:ascii="Times New Roman" w:hAnsi="Times New Roman"/>
          <w:sz w:val="24"/>
          <w:szCs w:val="24"/>
        </w:rPr>
        <w:t xml:space="preserve">ë konsultimit publik të </w:t>
      </w:r>
      <w:r w:rsidR="00863718" w:rsidRPr="000D2A0E">
        <w:rPr>
          <w:rFonts w:ascii="Times New Roman" w:hAnsi="Times New Roman"/>
          <w:bCs/>
          <w:sz w:val="24"/>
          <w:szCs w:val="24"/>
        </w:rPr>
        <w:t>Hartimi</w:t>
      </w:r>
      <w:r w:rsidR="00863718">
        <w:rPr>
          <w:rFonts w:ascii="Times New Roman" w:hAnsi="Times New Roman"/>
          <w:bCs/>
          <w:sz w:val="24"/>
          <w:szCs w:val="24"/>
        </w:rPr>
        <w:t>t</w:t>
      </w:r>
      <w:r w:rsidR="00863718" w:rsidRPr="000D2A0E">
        <w:rPr>
          <w:rFonts w:ascii="Times New Roman" w:hAnsi="Times New Roman"/>
          <w:bCs/>
          <w:sz w:val="24"/>
          <w:szCs w:val="24"/>
        </w:rPr>
        <w:t xml:space="preserve"> </w:t>
      </w:r>
      <w:r w:rsidR="00863718">
        <w:rPr>
          <w:rFonts w:ascii="Times New Roman" w:hAnsi="Times New Roman"/>
          <w:bCs/>
          <w:sz w:val="24"/>
          <w:szCs w:val="24"/>
        </w:rPr>
        <w:t>të</w:t>
      </w:r>
      <w:r w:rsidR="00863718" w:rsidRPr="000D2A0E">
        <w:rPr>
          <w:rFonts w:ascii="Times New Roman" w:hAnsi="Times New Roman"/>
          <w:bCs/>
          <w:sz w:val="24"/>
          <w:szCs w:val="24"/>
        </w:rPr>
        <w:t xml:space="preserve"> </w:t>
      </w:r>
      <w:r w:rsidR="003D23EC">
        <w:rPr>
          <w:rFonts w:ascii="Times New Roman" w:hAnsi="Times New Roman"/>
          <w:bCs/>
          <w:sz w:val="24"/>
          <w:szCs w:val="24"/>
        </w:rPr>
        <w:t>Planit Kombëtar për Energji dhe Klimë 2025-2030</w:t>
      </w:r>
      <w:r>
        <w:rPr>
          <w:rFonts w:ascii="Times New Roman" w:hAnsi="Times New Roman"/>
          <w:sz w:val="24"/>
          <w:szCs w:val="24"/>
        </w:rPr>
        <w:t xml:space="preserve">, </w:t>
      </w:r>
      <w:r w:rsidRPr="008E4B6E">
        <w:rPr>
          <w:rFonts w:ascii="Times New Roman" w:hAnsi="Times New Roman"/>
          <w:sz w:val="24"/>
          <w:szCs w:val="24"/>
        </w:rPr>
        <w:t>planifikohet që kontributet</w:t>
      </w:r>
      <w:r>
        <w:rPr>
          <w:rFonts w:ascii="Times New Roman" w:hAnsi="Times New Roman"/>
          <w:sz w:val="24"/>
          <w:szCs w:val="24"/>
        </w:rPr>
        <w:t xml:space="preserve"> dhe komentet</w:t>
      </w:r>
      <w:r w:rsidRPr="008E4B6E">
        <w:rPr>
          <w:rFonts w:ascii="Times New Roman" w:hAnsi="Times New Roman"/>
          <w:sz w:val="24"/>
          <w:szCs w:val="24"/>
        </w:rPr>
        <w:t xml:space="preserve"> e pranuara</w:t>
      </w:r>
      <w:r>
        <w:rPr>
          <w:rFonts w:ascii="Times New Roman" w:hAnsi="Times New Roman"/>
          <w:sz w:val="24"/>
          <w:szCs w:val="24"/>
        </w:rPr>
        <w:t xml:space="preserve">, të shqyrtohen </w:t>
      </w:r>
      <w:r w:rsidRPr="008E4B6E">
        <w:rPr>
          <w:rFonts w:ascii="Times New Roman" w:hAnsi="Times New Roman"/>
          <w:sz w:val="24"/>
          <w:szCs w:val="24"/>
        </w:rPr>
        <w:t xml:space="preserve">veç e veç nga grupi punues. </w:t>
      </w:r>
      <w:r w:rsidR="003D23EC">
        <w:rPr>
          <w:rFonts w:ascii="Times New Roman" w:hAnsi="Times New Roman"/>
          <w:sz w:val="24"/>
          <w:szCs w:val="24"/>
        </w:rPr>
        <w:t xml:space="preserve"> </w:t>
      </w:r>
    </w:p>
    <w:p w14:paraId="38EF617A" w14:textId="178DC555" w:rsidR="00225815" w:rsidRPr="008E4B6E" w:rsidRDefault="00225815" w:rsidP="005F1B15">
      <w:pPr>
        <w:spacing w:before="120" w:after="0"/>
        <w:jc w:val="both"/>
        <w:rPr>
          <w:rFonts w:ascii="Times New Roman" w:hAnsi="Times New Roman"/>
          <w:sz w:val="24"/>
          <w:szCs w:val="24"/>
        </w:rPr>
      </w:pPr>
      <w:r w:rsidRPr="008E4B6E">
        <w:rPr>
          <w:rFonts w:ascii="Times New Roman" w:hAnsi="Times New Roman"/>
          <w:sz w:val="24"/>
          <w:szCs w:val="24"/>
        </w:rPr>
        <w:t>Kontributi i publikut, apo organizatave të shoqërisë civile, ekspertëve të brendshëm dhe të jashtëm si dhe individë do të jetë element i rëndësishëm në përm</w:t>
      </w:r>
      <w:r w:rsidR="003B509A">
        <w:rPr>
          <w:rFonts w:ascii="Times New Roman" w:hAnsi="Times New Roman"/>
          <w:sz w:val="24"/>
          <w:szCs w:val="24"/>
        </w:rPr>
        <w:t>irësimin e kualitetit të kë</w:t>
      </w:r>
      <w:r w:rsidR="003D23EC">
        <w:rPr>
          <w:rFonts w:ascii="Times New Roman" w:hAnsi="Times New Roman"/>
          <w:sz w:val="24"/>
          <w:szCs w:val="24"/>
        </w:rPr>
        <w:t>tij</w:t>
      </w:r>
      <w:r w:rsidR="003B509A">
        <w:rPr>
          <w:rFonts w:ascii="Times New Roman" w:hAnsi="Times New Roman"/>
          <w:sz w:val="24"/>
          <w:szCs w:val="24"/>
        </w:rPr>
        <w:t xml:space="preserve"> </w:t>
      </w:r>
      <w:r w:rsidR="003D23EC">
        <w:rPr>
          <w:rFonts w:ascii="Times New Roman" w:hAnsi="Times New Roman"/>
          <w:sz w:val="24"/>
          <w:szCs w:val="24"/>
        </w:rPr>
        <w:t>Plani</w:t>
      </w:r>
      <w:r w:rsidRPr="008E4B6E">
        <w:rPr>
          <w:rFonts w:ascii="Times New Roman" w:hAnsi="Times New Roman"/>
          <w:sz w:val="24"/>
          <w:szCs w:val="24"/>
        </w:rPr>
        <w:t xml:space="preserve">. </w:t>
      </w:r>
      <w:r w:rsidR="003D23EC">
        <w:rPr>
          <w:rFonts w:ascii="Times New Roman" w:hAnsi="Times New Roman"/>
          <w:sz w:val="24"/>
          <w:szCs w:val="24"/>
        </w:rPr>
        <w:t xml:space="preserve"> </w:t>
      </w:r>
    </w:p>
    <w:p w14:paraId="527B5172" w14:textId="7F87457A" w:rsidR="00225815" w:rsidRPr="008E4B6E" w:rsidRDefault="00225815" w:rsidP="005F1B15">
      <w:pPr>
        <w:spacing w:before="240" w:after="120"/>
        <w:jc w:val="both"/>
        <w:rPr>
          <w:rFonts w:ascii="Times New Roman" w:hAnsi="Times New Roman"/>
          <w:sz w:val="24"/>
          <w:szCs w:val="24"/>
        </w:rPr>
      </w:pPr>
      <w:r w:rsidRPr="008E4B6E">
        <w:rPr>
          <w:rFonts w:ascii="Times New Roman" w:hAnsi="Times New Roman"/>
          <w:sz w:val="24"/>
          <w:szCs w:val="24"/>
        </w:rPr>
        <w:t>Si rezultat i punës së shqyrtimit të kontributeve dhe rekomandimeve të konsultimit do të hartoh</w:t>
      </w:r>
      <w:r w:rsidR="006A1435">
        <w:rPr>
          <w:rFonts w:ascii="Times New Roman" w:hAnsi="Times New Roman"/>
          <w:sz w:val="24"/>
          <w:szCs w:val="24"/>
        </w:rPr>
        <w:t xml:space="preserve">et drafti i përmirësuar final i </w:t>
      </w:r>
      <w:r w:rsidR="003D23EC">
        <w:rPr>
          <w:rFonts w:ascii="Times New Roman" w:hAnsi="Times New Roman"/>
          <w:bCs/>
          <w:sz w:val="24"/>
          <w:szCs w:val="24"/>
        </w:rPr>
        <w:t>Planit Kombëtar për Energji dhe Klimë 2025-2030</w:t>
      </w:r>
      <w:r w:rsidRPr="008E4B6E">
        <w:rPr>
          <w:rFonts w:ascii="Times New Roman" w:hAnsi="Times New Roman"/>
          <w:sz w:val="24"/>
          <w:szCs w:val="24"/>
        </w:rPr>
        <w:t xml:space="preserve">. Ministria e Mjedisit, Planifikimit Hapësinor dhe Infrastrukturës do të hartojë Raportin e Konsultimit i cili do të përfshijë informatat për procesin e konsultimit, palët e konsultuara, metodat e përdorura gjatë konsultimit dhe informatat e detajuara për to, pjesëmarrjen e publikut në proces të konsultimit dhe komentet e pranuara. </w:t>
      </w:r>
    </w:p>
    <w:p w14:paraId="5FF0713B" w14:textId="767C649A" w:rsidR="00225815" w:rsidRPr="008E4B6E" w:rsidRDefault="00225815" w:rsidP="005F1B15">
      <w:pPr>
        <w:spacing w:before="240" w:after="120"/>
        <w:jc w:val="both"/>
        <w:rPr>
          <w:rFonts w:ascii="Times New Roman" w:hAnsi="Times New Roman"/>
          <w:sz w:val="24"/>
          <w:szCs w:val="24"/>
        </w:rPr>
      </w:pPr>
      <w:r w:rsidRPr="008E4B6E">
        <w:rPr>
          <w:rFonts w:ascii="Times New Roman" w:hAnsi="Times New Roman"/>
          <w:sz w:val="24"/>
          <w:szCs w:val="24"/>
        </w:rPr>
        <w:t>Në raport gjithashtu do të jepen informatat për secilin koment që është marrë parasysh, sqarime dhe arsyetimi për secilin koment që nuk është marrë parasysh. Raporti do të jetë i qasshëm për publikun brenda një kohe sa më të shkurtër pas përfundimit të procesit të konsult</w:t>
      </w:r>
      <w:r>
        <w:rPr>
          <w:rFonts w:ascii="Times New Roman" w:hAnsi="Times New Roman"/>
          <w:sz w:val="24"/>
          <w:szCs w:val="24"/>
        </w:rPr>
        <w:t xml:space="preserve">imit dhe finalizimit të </w:t>
      </w:r>
      <w:r w:rsidR="00863718" w:rsidRPr="000D2A0E">
        <w:rPr>
          <w:rFonts w:ascii="Times New Roman" w:hAnsi="Times New Roman"/>
          <w:bCs/>
          <w:sz w:val="24"/>
          <w:szCs w:val="24"/>
        </w:rPr>
        <w:t>Hartimi</w:t>
      </w:r>
      <w:r w:rsidR="00863718">
        <w:rPr>
          <w:rFonts w:ascii="Times New Roman" w:hAnsi="Times New Roman"/>
          <w:bCs/>
          <w:sz w:val="24"/>
          <w:szCs w:val="24"/>
        </w:rPr>
        <w:t>t</w:t>
      </w:r>
      <w:r w:rsidR="00863718" w:rsidRPr="000D2A0E">
        <w:rPr>
          <w:rFonts w:ascii="Times New Roman" w:hAnsi="Times New Roman"/>
          <w:bCs/>
          <w:sz w:val="24"/>
          <w:szCs w:val="24"/>
        </w:rPr>
        <w:t xml:space="preserve"> </w:t>
      </w:r>
      <w:r w:rsidR="00863718">
        <w:rPr>
          <w:rFonts w:ascii="Times New Roman" w:hAnsi="Times New Roman"/>
          <w:bCs/>
          <w:sz w:val="24"/>
          <w:szCs w:val="24"/>
        </w:rPr>
        <w:t>të</w:t>
      </w:r>
      <w:r w:rsidR="00863718" w:rsidRPr="000D2A0E">
        <w:rPr>
          <w:rFonts w:ascii="Times New Roman" w:hAnsi="Times New Roman"/>
          <w:bCs/>
          <w:sz w:val="24"/>
          <w:szCs w:val="24"/>
        </w:rPr>
        <w:t xml:space="preserve"> </w:t>
      </w:r>
      <w:r w:rsidR="005F1B15">
        <w:rPr>
          <w:rFonts w:ascii="Times New Roman" w:hAnsi="Times New Roman"/>
          <w:bCs/>
          <w:sz w:val="24"/>
          <w:szCs w:val="24"/>
        </w:rPr>
        <w:t>Planit Kombëtar për Energji dhe Klimë 2025-2030</w:t>
      </w:r>
      <w:r>
        <w:rPr>
          <w:rFonts w:ascii="Times New Roman" w:hAnsi="Times New Roman"/>
          <w:sz w:val="24"/>
          <w:szCs w:val="24"/>
        </w:rPr>
        <w:t xml:space="preserve">. </w:t>
      </w:r>
      <w:r w:rsidR="005F1B15">
        <w:rPr>
          <w:rFonts w:ascii="Times New Roman" w:hAnsi="Times New Roman"/>
          <w:sz w:val="24"/>
          <w:szCs w:val="24"/>
        </w:rPr>
        <w:t xml:space="preserve"> </w:t>
      </w:r>
    </w:p>
    <w:p w14:paraId="2634D713" w14:textId="77777777" w:rsidR="00225815" w:rsidRPr="008E4B6E" w:rsidRDefault="00225815" w:rsidP="005F1B15">
      <w:pPr>
        <w:pStyle w:val="Body"/>
        <w:pBdr>
          <w:top w:val="none" w:sz="0" w:space="0" w:color="auto"/>
          <w:left w:val="none" w:sz="0" w:space="0" w:color="auto"/>
          <w:bottom w:val="none" w:sz="0" w:space="0" w:color="auto"/>
          <w:right w:val="none" w:sz="0" w:space="0" w:color="auto"/>
        </w:pBdr>
        <w:tabs>
          <w:tab w:val="left" w:pos="990"/>
        </w:tabs>
        <w:spacing w:line="276" w:lineRule="auto"/>
        <w:rPr>
          <w:rFonts w:hAnsi="Times New Roman"/>
          <w:color w:val="000000" w:themeColor="text1"/>
          <w:lang w:val="sq-AL"/>
        </w:rPr>
      </w:pPr>
    </w:p>
    <w:p w14:paraId="542BCA4B" w14:textId="40FC1E98" w:rsidR="00225815" w:rsidRDefault="00225815" w:rsidP="005F1B15">
      <w:pPr>
        <w:spacing w:after="120"/>
        <w:rPr>
          <w:rFonts w:ascii="Times New Roman" w:hAnsi="Times New Roman"/>
          <w:b/>
          <w:i/>
          <w:sz w:val="24"/>
          <w:szCs w:val="24"/>
        </w:rPr>
      </w:pPr>
      <w:r w:rsidRPr="008E4B6E">
        <w:rPr>
          <w:rFonts w:ascii="Times New Roman" w:hAnsi="Times New Roman"/>
          <w:b/>
          <w:i/>
          <w:sz w:val="24"/>
          <w:szCs w:val="24"/>
        </w:rPr>
        <w:t>Afati përfundimtar për dorëzimin e përgjigjeve</w:t>
      </w:r>
    </w:p>
    <w:p w14:paraId="232E7501" w14:textId="77777777" w:rsidR="006124F5" w:rsidRPr="00BF5E16" w:rsidRDefault="006124F5" w:rsidP="005F1B15">
      <w:pPr>
        <w:spacing w:after="120"/>
        <w:rPr>
          <w:rFonts w:ascii="Times New Roman" w:hAnsi="Times New Roman"/>
          <w:b/>
          <w:i/>
          <w:sz w:val="24"/>
          <w:szCs w:val="24"/>
        </w:rPr>
      </w:pPr>
    </w:p>
    <w:p w14:paraId="69F9B88D" w14:textId="0EAC77F3" w:rsidR="006124F5" w:rsidRPr="00BF5E16" w:rsidRDefault="006124F5" w:rsidP="006124F5">
      <w:pPr>
        <w:spacing w:after="120"/>
        <w:jc w:val="both"/>
        <w:rPr>
          <w:rFonts w:ascii="Times New Roman" w:hAnsi="Times New Roman"/>
          <w:sz w:val="24"/>
          <w:szCs w:val="24"/>
        </w:rPr>
      </w:pPr>
      <w:r w:rsidRPr="00BF5E16">
        <w:rPr>
          <w:rFonts w:ascii="Times New Roman" w:hAnsi="Times New Roman"/>
          <w:sz w:val="24"/>
          <w:szCs w:val="24"/>
        </w:rPr>
        <w:t xml:space="preserve">Afati përfundimtar i dorëzimit të kontributit me shkrim në kuadër të procesit të konsultimit për </w:t>
      </w:r>
      <w:r w:rsidRPr="00BF5E16">
        <w:rPr>
          <w:rFonts w:ascii="Times New Roman" w:hAnsi="Times New Roman"/>
          <w:bCs/>
          <w:sz w:val="24"/>
          <w:szCs w:val="24"/>
        </w:rPr>
        <w:t>Planin  Kombëtar për Energji dhe Klimë 2025-2030</w:t>
      </w:r>
      <w:r w:rsidRPr="00BF5E16">
        <w:rPr>
          <w:rFonts w:ascii="Times New Roman" w:hAnsi="Times New Roman"/>
          <w:sz w:val="24"/>
          <w:szCs w:val="24"/>
        </w:rPr>
        <w:t xml:space="preserve">, është 15 ditë pune siç parashihet me </w:t>
      </w:r>
      <w:r w:rsidR="00BF5E16" w:rsidRPr="00BF5E16">
        <w:rPr>
          <w:rFonts w:ascii="Times New Roman" w:hAnsi="Times New Roman"/>
          <w:sz w:val="24"/>
          <w:szCs w:val="24"/>
        </w:rPr>
        <w:t>Rregulloren</w:t>
      </w:r>
      <w:r w:rsidR="00BF5E16" w:rsidRPr="00BF5E16">
        <w:rPr>
          <w:rFonts w:ascii="Times New Roman" w:hAnsi="Times New Roman"/>
          <w:sz w:val="24"/>
          <w:szCs w:val="24"/>
        </w:rPr>
        <w:t xml:space="preserve"> (QRK) - Nr. 17/2024 e Punës së Qeverisë së Republikës së Kosovës</w:t>
      </w:r>
      <w:r w:rsidR="00BF5E16" w:rsidRPr="00BF5E16">
        <w:rPr>
          <w:rFonts w:ascii="Times New Roman" w:hAnsi="Times New Roman"/>
          <w:sz w:val="24"/>
          <w:szCs w:val="24"/>
        </w:rPr>
        <w:t>.</w:t>
      </w:r>
    </w:p>
    <w:p w14:paraId="64756E60" w14:textId="77777777" w:rsidR="00BF5E16" w:rsidRPr="006124F5" w:rsidRDefault="00BF5E16" w:rsidP="006124F5">
      <w:pPr>
        <w:spacing w:after="120"/>
        <w:jc w:val="both"/>
        <w:rPr>
          <w:rFonts w:ascii="Times New Roman" w:hAnsi="Times New Roman"/>
          <w:sz w:val="24"/>
          <w:szCs w:val="24"/>
        </w:rPr>
      </w:pPr>
    </w:p>
    <w:p w14:paraId="12F1E725" w14:textId="77777777" w:rsidR="002E3800" w:rsidRPr="008E4B6E" w:rsidRDefault="002E3800" w:rsidP="005F1B15">
      <w:pPr>
        <w:spacing w:after="120"/>
        <w:rPr>
          <w:rFonts w:ascii="Times New Roman" w:hAnsi="Times New Roman"/>
          <w:b/>
          <w:i/>
          <w:sz w:val="24"/>
          <w:szCs w:val="24"/>
        </w:rPr>
      </w:pPr>
      <w:r w:rsidRPr="008E4B6E">
        <w:rPr>
          <w:rFonts w:ascii="Times New Roman" w:hAnsi="Times New Roman"/>
          <w:b/>
          <w:i/>
          <w:sz w:val="24"/>
          <w:szCs w:val="24"/>
        </w:rPr>
        <w:t>Ku dhe si duhet t’i dërgoni kontributet tuaja me shkrim</w:t>
      </w:r>
    </w:p>
    <w:p w14:paraId="653D2E43" w14:textId="736D483C" w:rsidR="002E3800" w:rsidRDefault="002E3800" w:rsidP="005F1B15">
      <w:pPr>
        <w:spacing w:after="0"/>
        <w:jc w:val="both"/>
        <w:rPr>
          <w:rFonts w:ascii="Times New Roman" w:hAnsi="Times New Roman"/>
          <w:sz w:val="24"/>
          <w:szCs w:val="24"/>
        </w:rPr>
      </w:pPr>
      <w:r w:rsidRPr="008E4B6E">
        <w:rPr>
          <w:rFonts w:ascii="Times New Roman" w:eastAsia="Times New Roman" w:hAnsi="Times New Roman"/>
          <w:sz w:val="24"/>
          <w:szCs w:val="24"/>
          <w:lang w:eastAsia="en-GB"/>
        </w:rPr>
        <w:t xml:space="preserve">Të gjitha kontributet me shkrim duhet të dorëzohen në formë elektronike në e-mali adresën, </w:t>
      </w:r>
      <w:hyperlink r:id="rId9" w:history="1">
        <w:r w:rsidRPr="008E4B6E">
          <w:rPr>
            <w:rStyle w:val="Hyperlink"/>
            <w:rFonts w:ascii="Times New Roman" w:eastAsia="Times New Roman" w:hAnsi="Times New Roman"/>
            <w:sz w:val="24"/>
            <w:szCs w:val="24"/>
            <w:lang w:eastAsia="en-GB"/>
          </w:rPr>
          <w:t>Adem.Berisha@rks-gov.net</w:t>
        </w:r>
      </w:hyperlink>
      <w:r w:rsidRPr="008E4B6E">
        <w:rPr>
          <w:rFonts w:ascii="Times New Roman" w:eastAsia="Times New Roman" w:hAnsi="Times New Roman"/>
          <w:sz w:val="24"/>
          <w:szCs w:val="24"/>
          <w:lang w:eastAsia="en-GB"/>
        </w:rPr>
        <w:t xml:space="preserve">; </w:t>
      </w:r>
      <w:hyperlink r:id="rId10" w:history="1">
        <w:r w:rsidRPr="00124DDD">
          <w:rPr>
            <w:rStyle w:val="Hyperlink"/>
            <w:rFonts w:ascii="Times New Roman" w:eastAsia="Times New Roman" w:hAnsi="Times New Roman"/>
            <w:sz w:val="24"/>
            <w:szCs w:val="24"/>
            <w:lang w:eastAsia="en-GB"/>
          </w:rPr>
          <w:t>vlora.osaj@rks-gov.net</w:t>
        </w:r>
      </w:hyperlink>
      <w:r w:rsidRPr="008E4B6E">
        <w:rPr>
          <w:rFonts w:ascii="Times New Roman" w:eastAsia="Times New Roman" w:hAnsi="Times New Roman"/>
          <w:sz w:val="24"/>
          <w:szCs w:val="24"/>
          <w:lang w:eastAsia="en-GB"/>
        </w:rPr>
        <w:t xml:space="preserve"> dhe </w:t>
      </w:r>
      <w:hyperlink r:id="rId11" w:history="1">
        <w:r w:rsidR="005F1B15" w:rsidRPr="00AC659E">
          <w:rPr>
            <w:rStyle w:val="Hyperlink"/>
            <w:rFonts w:ascii="Times New Roman" w:eastAsia="Times New Roman" w:hAnsi="Times New Roman"/>
            <w:sz w:val="24"/>
            <w:szCs w:val="24"/>
            <w:lang w:eastAsia="en-GB"/>
          </w:rPr>
          <w:t>abdullah.pirce@rks-gov.net</w:t>
        </w:r>
      </w:hyperlink>
      <w:r>
        <w:rPr>
          <w:rFonts w:ascii="Times New Roman" w:eastAsia="Times New Roman" w:hAnsi="Times New Roman"/>
          <w:sz w:val="24"/>
          <w:szCs w:val="24"/>
          <w:lang w:eastAsia="en-GB"/>
        </w:rPr>
        <w:t xml:space="preserve"> </w:t>
      </w:r>
      <w:r w:rsidRPr="008E4B6E">
        <w:rPr>
          <w:rFonts w:ascii="Times New Roman" w:eastAsia="Times New Roman" w:hAnsi="Times New Roman"/>
          <w:sz w:val="24"/>
          <w:szCs w:val="24"/>
          <w:lang w:eastAsia="en-GB"/>
        </w:rPr>
        <w:t xml:space="preserve"> me titull </w:t>
      </w:r>
      <w:r>
        <w:rPr>
          <w:rFonts w:ascii="Times New Roman" w:hAnsi="Times New Roman"/>
          <w:sz w:val="24"/>
          <w:szCs w:val="24"/>
        </w:rPr>
        <w:t>-</w:t>
      </w:r>
      <w:r w:rsidRPr="008E4B6E">
        <w:rPr>
          <w:rFonts w:ascii="Times New Roman" w:eastAsia="Times New Roman" w:hAnsi="Times New Roman"/>
          <w:sz w:val="24"/>
          <w:szCs w:val="24"/>
          <w:lang w:eastAsia="en-GB"/>
        </w:rPr>
        <w:t xml:space="preserve"> </w:t>
      </w:r>
      <w:r w:rsidRPr="002E3800">
        <w:rPr>
          <w:rFonts w:ascii="Times New Roman" w:eastAsia="Times New Roman" w:hAnsi="Times New Roman"/>
          <w:sz w:val="24"/>
          <w:szCs w:val="24"/>
          <w:lang w:eastAsia="en-GB"/>
        </w:rPr>
        <w:t xml:space="preserve">Drafti për </w:t>
      </w:r>
      <w:r w:rsidR="005F1B15">
        <w:rPr>
          <w:rFonts w:ascii="Times New Roman" w:hAnsi="Times New Roman"/>
          <w:bCs/>
          <w:sz w:val="24"/>
          <w:szCs w:val="24"/>
        </w:rPr>
        <w:t>Planit Kombëtar për Energji dhe Klimë 2025-2030</w:t>
      </w:r>
      <w:r w:rsidR="00DC7DE2">
        <w:rPr>
          <w:rFonts w:ascii="Times New Roman" w:eastAsia="Times New Roman" w:hAnsi="Times New Roman"/>
          <w:sz w:val="24"/>
          <w:szCs w:val="24"/>
          <w:lang w:eastAsia="en-GB"/>
        </w:rPr>
        <w:t>.</w:t>
      </w:r>
    </w:p>
    <w:p w14:paraId="3B2EC555" w14:textId="77777777" w:rsidR="002E3800" w:rsidRDefault="002E3800" w:rsidP="005F1B15">
      <w:pPr>
        <w:spacing w:after="0"/>
        <w:rPr>
          <w:rFonts w:ascii="Times New Roman" w:hAnsi="Times New Roman"/>
          <w:color w:val="0070C0"/>
          <w:sz w:val="24"/>
          <w:szCs w:val="24"/>
        </w:rPr>
      </w:pPr>
    </w:p>
    <w:p w14:paraId="428935CE" w14:textId="5DD541E7" w:rsidR="002D6430" w:rsidRDefault="005F1B15" w:rsidP="005F1B15">
      <w:pPr>
        <w:spacing w:after="0"/>
        <w:rPr>
          <w:rFonts w:ascii="Times New Roman" w:hAnsi="Times New Roman"/>
          <w:b/>
          <w:i/>
          <w:sz w:val="24"/>
          <w:szCs w:val="24"/>
        </w:rPr>
      </w:pPr>
      <w:r>
        <w:rPr>
          <w:rFonts w:ascii="Times New Roman" w:hAnsi="Times New Roman"/>
          <w:b/>
          <w:i/>
          <w:sz w:val="24"/>
          <w:szCs w:val="24"/>
        </w:rPr>
        <w:t xml:space="preserve"> </w:t>
      </w:r>
    </w:p>
    <w:p w14:paraId="624C24DE" w14:textId="77777777" w:rsidR="00A45298" w:rsidRDefault="00A45298" w:rsidP="005F1B15">
      <w:pPr>
        <w:spacing w:after="0"/>
        <w:rPr>
          <w:rFonts w:ascii="Times New Roman" w:hAnsi="Times New Roman"/>
          <w:b/>
          <w:sz w:val="24"/>
          <w:szCs w:val="24"/>
        </w:rPr>
      </w:pPr>
    </w:p>
    <w:p w14:paraId="3CDB67D9" w14:textId="2F3012C0" w:rsidR="00042F8D" w:rsidRPr="00042F8D" w:rsidRDefault="00042F8D" w:rsidP="005F1B15">
      <w:pPr>
        <w:spacing w:after="0"/>
        <w:rPr>
          <w:rFonts w:ascii="Times New Roman" w:hAnsi="Times New Roman"/>
          <w:b/>
          <w:sz w:val="24"/>
          <w:szCs w:val="24"/>
        </w:rPr>
      </w:pPr>
      <w:r w:rsidRPr="00042F8D">
        <w:rPr>
          <w:rFonts w:ascii="Times New Roman" w:hAnsi="Times New Roman"/>
          <w:b/>
          <w:sz w:val="24"/>
          <w:szCs w:val="24"/>
        </w:rPr>
        <w:t>Çka duhet të përmbajnë komentet</w:t>
      </w:r>
    </w:p>
    <w:p w14:paraId="482BD463" w14:textId="77777777" w:rsidR="00042F8D" w:rsidRPr="00042F8D" w:rsidRDefault="00042F8D" w:rsidP="005F1B15">
      <w:pPr>
        <w:spacing w:after="0"/>
        <w:rPr>
          <w:rFonts w:ascii="Times New Roman" w:hAnsi="Times New Roman"/>
          <w:b/>
          <w:sz w:val="24"/>
          <w:szCs w:val="24"/>
        </w:rPr>
      </w:pPr>
      <w:r w:rsidRPr="00042F8D">
        <w:rPr>
          <w:rFonts w:ascii="Times New Roman" w:hAnsi="Times New Roman"/>
          <w:b/>
          <w:sz w:val="24"/>
          <w:szCs w:val="24"/>
        </w:rPr>
        <w:t>Emri i personit/organizatës që jep komente:</w:t>
      </w:r>
    </w:p>
    <w:p w14:paraId="547FAAA9" w14:textId="77777777" w:rsidR="00042F8D" w:rsidRPr="00042F8D" w:rsidRDefault="00042F8D" w:rsidP="005F1B15">
      <w:pPr>
        <w:spacing w:after="0"/>
        <w:rPr>
          <w:rFonts w:ascii="Times New Roman" w:hAnsi="Times New Roman"/>
          <w:b/>
          <w:sz w:val="24"/>
          <w:szCs w:val="24"/>
        </w:rPr>
      </w:pPr>
      <w:r w:rsidRPr="00042F8D">
        <w:rPr>
          <w:rFonts w:ascii="Times New Roman" w:hAnsi="Times New Roman"/>
          <w:b/>
          <w:sz w:val="24"/>
          <w:szCs w:val="24"/>
        </w:rPr>
        <w:t>Fushat kryesore të veprimit të organizatës:</w:t>
      </w:r>
    </w:p>
    <w:p w14:paraId="40C30749" w14:textId="77777777" w:rsidR="00042F8D" w:rsidRPr="00042F8D" w:rsidRDefault="00042F8D" w:rsidP="005F1B15">
      <w:pPr>
        <w:spacing w:after="0"/>
        <w:rPr>
          <w:rFonts w:ascii="Times New Roman" w:hAnsi="Times New Roman"/>
          <w:b/>
          <w:sz w:val="24"/>
          <w:szCs w:val="24"/>
        </w:rPr>
      </w:pPr>
      <w:r w:rsidRPr="00042F8D">
        <w:rPr>
          <w:rFonts w:ascii="Times New Roman" w:hAnsi="Times New Roman"/>
          <w:b/>
          <w:sz w:val="24"/>
          <w:szCs w:val="24"/>
        </w:rPr>
        <w:t>Informatat e kontaktit të personit/organizatës (adresa, email, telefoni):</w:t>
      </w:r>
    </w:p>
    <w:p w14:paraId="14FB58F5" w14:textId="77777777" w:rsidR="00042F8D" w:rsidRPr="00042F8D" w:rsidRDefault="00042F8D" w:rsidP="005F1B15">
      <w:pPr>
        <w:spacing w:after="0"/>
        <w:rPr>
          <w:rFonts w:ascii="Times New Roman" w:hAnsi="Times New Roman"/>
          <w:b/>
          <w:sz w:val="24"/>
          <w:szCs w:val="24"/>
        </w:rPr>
      </w:pPr>
      <w:r w:rsidRPr="00042F8D">
        <w:rPr>
          <w:rFonts w:ascii="Times New Roman" w:hAnsi="Times New Roman"/>
          <w:b/>
          <w:sz w:val="24"/>
          <w:szCs w:val="24"/>
        </w:rPr>
        <w:t>Komentet:</w:t>
      </w:r>
    </w:p>
    <w:p w14:paraId="099075E4" w14:textId="77777777" w:rsidR="00042F8D" w:rsidRPr="002A15DC" w:rsidRDefault="00042F8D" w:rsidP="005F1B15">
      <w:pPr>
        <w:spacing w:after="120"/>
        <w:rPr>
          <w:rFonts w:ascii="Times New Roman" w:hAnsi="Times New Roman"/>
          <w:b/>
          <w:sz w:val="24"/>
          <w:szCs w:val="24"/>
        </w:rPr>
      </w:pPr>
      <w:r w:rsidRPr="00042F8D">
        <w:rPr>
          <w:rFonts w:ascii="Times New Roman" w:hAnsi="Times New Roman"/>
          <w:b/>
          <w:sz w:val="24"/>
          <w:szCs w:val="24"/>
        </w:rPr>
        <w:t>Data e dërgimit të komenteve:</w:t>
      </w:r>
    </w:p>
    <w:p w14:paraId="060758DD" w14:textId="77777777" w:rsidR="00B5216F" w:rsidRPr="00D836B8" w:rsidRDefault="00B5216F" w:rsidP="005F1B15">
      <w:pPr>
        <w:pStyle w:val="ListParagraph"/>
        <w:spacing w:before="240" w:after="120"/>
        <w:ind w:left="0"/>
        <w:jc w:val="both"/>
        <w:rPr>
          <w:rFonts w:ascii="Times New Roman" w:hAnsi="Times New Roman"/>
          <w:color w:val="000000" w:themeColor="text1"/>
          <w:sz w:val="24"/>
          <w:szCs w:val="24"/>
        </w:rPr>
      </w:pPr>
      <w:r w:rsidRPr="00D836B8">
        <w:rPr>
          <w:rFonts w:ascii="Times New Roman" w:hAnsi="Times New Roman"/>
          <w:color w:val="000000" w:themeColor="text1"/>
          <w:sz w:val="24"/>
          <w:szCs w:val="24"/>
        </w:rPr>
        <w:t>Forma e kontributit është e hapur, mirëpo preferohet që kontributet tuaja t’i përfshini në kuadër të tabelës së bashkëngjitur më poshtë në këtë dokument, e cila përfshin çështjet kyçe të këtij dokumenti.</w:t>
      </w:r>
    </w:p>
    <w:p w14:paraId="62E8D021" w14:textId="77777777" w:rsidR="00B5216F" w:rsidRPr="00BA57A6" w:rsidRDefault="00B5216F" w:rsidP="005F1B15">
      <w:pPr>
        <w:pStyle w:val="ListParagraph"/>
        <w:spacing w:before="240" w:after="120"/>
        <w:ind w:left="0"/>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
        <w:gridCol w:w="2898"/>
        <w:gridCol w:w="3036"/>
        <w:gridCol w:w="2689"/>
      </w:tblGrid>
      <w:tr w:rsidR="00BA57A6" w:rsidRPr="00BA57A6" w14:paraId="0CAFF96C" w14:textId="77777777" w:rsidTr="00882F59">
        <w:tc>
          <w:tcPr>
            <w:tcW w:w="396" w:type="dxa"/>
            <w:shd w:val="clear" w:color="auto" w:fill="8DB3E2"/>
          </w:tcPr>
          <w:p w14:paraId="18856486" w14:textId="77777777" w:rsidR="00B5216F" w:rsidRPr="00BA57A6" w:rsidRDefault="00B5216F" w:rsidP="005F1B15">
            <w:pPr>
              <w:spacing w:before="240" w:after="120"/>
              <w:jc w:val="both"/>
              <w:rPr>
                <w:rFonts w:ascii="Times New Roman" w:hAnsi="Times New Roman"/>
                <w:b/>
                <w:sz w:val="24"/>
                <w:szCs w:val="24"/>
              </w:rPr>
            </w:pPr>
          </w:p>
        </w:tc>
        <w:tc>
          <w:tcPr>
            <w:tcW w:w="2976" w:type="dxa"/>
            <w:shd w:val="clear" w:color="auto" w:fill="8DB3E2"/>
          </w:tcPr>
          <w:p w14:paraId="506E16AF" w14:textId="77777777" w:rsidR="00B5216F" w:rsidRPr="00BA57A6" w:rsidRDefault="00B5216F" w:rsidP="005F1B15">
            <w:pPr>
              <w:spacing w:before="240" w:after="120"/>
              <w:jc w:val="both"/>
              <w:rPr>
                <w:rFonts w:ascii="Times New Roman" w:hAnsi="Times New Roman"/>
                <w:b/>
                <w:sz w:val="24"/>
                <w:szCs w:val="24"/>
              </w:rPr>
            </w:pPr>
            <w:r w:rsidRPr="00BA57A6">
              <w:rPr>
                <w:rFonts w:ascii="Times New Roman" w:hAnsi="Times New Roman"/>
                <w:b/>
                <w:sz w:val="24"/>
                <w:szCs w:val="24"/>
              </w:rPr>
              <w:t>Çështjet kyçe</w:t>
            </w:r>
          </w:p>
          <w:p w14:paraId="2A6925A5" w14:textId="77777777" w:rsidR="00B5216F" w:rsidRPr="00BA57A6" w:rsidRDefault="00B5216F" w:rsidP="005F1B15">
            <w:pPr>
              <w:spacing w:before="240" w:after="120"/>
              <w:jc w:val="both"/>
              <w:rPr>
                <w:rFonts w:ascii="Times New Roman" w:hAnsi="Times New Roman"/>
                <w:b/>
                <w:sz w:val="24"/>
                <w:szCs w:val="24"/>
              </w:rPr>
            </w:pPr>
          </w:p>
        </w:tc>
        <w:tc>
          <w:tcPr>
            <w:tcW w:w="3116" w:type="dxa"/>
            <w:shd w:val="clear" w:color="auto" w:fill="8DB3E2"/>
          </w:tcPr>
          <w:p w14:paraId="1ED5FE44" w14:textId="77777777" w:rsidR="00B5216F" w:rsidRPr="00BA57A6" w:rsidRDefault="00B5216F" w:rsidP="005F1B15">
            <w:pPr>
              <w:spacing w:before="240" w:after="120"/>
              <w:jc w:val="both"/>
              <w:rPr>
                <w:rFonts w:ascii="Times New Roman" w:hAnsi="Times New Roman"/>
                <w:b/>
                <w:sz w:val="24"/>
                <w:szCs w:val="24"/>
              </w:rPr>
            </w:pPr>
            <w:r w:rsidRPr="00BA57A6">
              <w:rPr>
                <w:rFonts w:ascii="Times New Roman" w:hAnsi="Times New Roman"/>
                <w:b/>
                <w:sz w:val="24"/>
                <w:szCs w:val="24"/>
              </w:rPr>
              <w:t>Komente rreth draftit aktual</w:t>
            </w:r>
          </w:p>
        </w:tc>
        <w:tc>
          <w:tcPr>
            <w:tcW w:w="2754" w:type="dxa"/>
            <w:shd w:val="clear" w:color="auto" w:fill="8DB3E2"/>
          </w:tcPr>
          <w:p w14:paraId="12882995" w14:textId="77777777" w:rsidR="00B5216F" w:rsidRPr="00BA57A6" w:rsidRDefault="00B5216F" w:rsidP="005F1B15">
            <w:pPr>
              <w:spacing w:before="240" w:after="120"/>
              <w:jc w:val="both"/>
              <w:rPr>
                <w:rFonts w:ascii="Times New Roman" w:hAnsi="Times New Roman"/>
                <w:b/>
                <w:sz w:val="24"/>
                <w:szCs w:val="24"/>
              </w:rPr>
            </w:pPr>
            <w:r w:rsidRPr="00BA57A6">
              <w:rPr>
                <w:rFonts w:ascii="Times New Roman" w:hAnsi="Times New Roman"/>
                <w:b/>
                <w:sz w:val="24"/>
                <w:szCs w:val="24"/>
              </w:rPr>
              <w:t>Komente shtesë</w:t>
            </w:r>
          </w:p>
        </w:tc>
      </w:tr>
      <w:tr w:rsidR="00BA57A6" w:rsidRPr="00BA57A6" w14:paraId="56A48581" w14:textId="77777777" w:rsidTr="00882F59">
        <w:tc>
          <w:tcPr>
            <w:tcW w:w="396" w:type="dxa"/>
            <w:shd w:val="clear" w:color="auto" w:fill="D6E3BC"/>
          </w:tcPr>
          <w:p w14:paraId="560051DD" w14:textId="77777777" w:rsidR="00B5216F" w:rsidRPr="00BA57A6" w:rsidRDefault="00B5216F" w:rsidP="005F1B15">
            <w:pPr>
              <w:spacing w:before="240" w:after="120"/>
              <w:jc w:val="both"/>
              <w:rPr>
                <w:rFonts w:ascii="Times New Roman" w:hAnsi="Times New Roman"/>
                <w:b/>
                <w:sz w:val="24"/>
                <w:szCs w:val="24"/>
              </w:rPr>
            </w:pPr>
            <w:r w:rsidRPr="00BA57A6">
              <w:rPr>
                <w:rFonts w:ascii="Times New Roman" w:hAnsi="Times New Roman"/>
                <w:b/>
                <w:sz w:val="24"/>
                <w:szCs w:val="24"/>
              </w:rPr>
              <w:t>1</w:t>
            </w:r>
          </w:p>
        </w:tc>
        <w:tc>
          <w:tcPr>
            <w:tcW w:w="2976" w:type="dxa"/>
          </w:tcPr>
          <w:p w14:paraId="65517CE0" w14:textId="77777777" w:rsidR="00B5216F" w:rsidRPr="00BA57A6" w:rsidRDefault="00B5216F" w:rsidP="005F1B15">
            <w:pPr>
              <w:pStyle w:val="CM10"/>
              <w:spacing w:before="240" w:after="120" w:line="276" w:lineRule="auto"/>
              <w:rPr>
                <w:rFonts w:ascii="Times New Roman" w:hAnsi="Times New Roman"/>
                <w:lang w:val="sq-AL"/>
              </w:rPr>
            </w:pPr>
          </w:p>
        </w:tc>
        <w:tc>
          <w:tcPr>
            <w:tcW w:w="3116" w:type="dxa"/>
          </w:tcPr>
          <w:p w14:paraId="0230854E" w14:textId="77777777" w:rsidR="00B5216F" w:rsidRPr="00BA57A6" w:rsidRDefault="00B5216F" w:rsidP="005F1B15">
            <w:pPr>
              <w:spacing w:before="240" w:after="120"/>
              <w:jc w:val="both"/>
              <w:rPr>
                <w:rFonts w:ascii="Times New Roman" w:hAnsi="Times New Roman"/>
                <w:sz w:val="24"/>
                <w:szCs w:val="24"/>
              </w:rPr>
            </w:pPr>
          </w:p>
        </w:tc>
        <w:tc>
          <w:tcPr>
            <w:tcW w:w="2754" w:type="dxa"/>
          </w:tcPr>
          <w:p w14:paraId="1A76B257" w14:textId="77777777" w:rsidR="00B5216F" w:rsidRPr="00BA57A6" w:rsidRDefault="00B5216F" w:rsidP="005F1B15">
            <w:pPr>
              <w:spacing w:before="240" w:after="120"/>
              <w:jc w:val="both"/>
              <w:rPr>
                <w:rFonts w:ascii="Times New Roman" w:hAnsi="Times New Roman"/>
                <w:sz w:val="24"/>
                <w:szCs w:val="24"/>
              </w:rPr>
            </w:pPr>
          </w:p>
        </w:tc>
      </w:tr>
      <w:tr w:rsidR="00BA57A6" w:rsidRPr="00BA57A6" w14:paraId="7B56BDB2" w14:textId="77777777" w:rsidTr="00882F59">
        <w:tc>
          <w:tcPr>
            <w:tcW w:w="396" w:type="dxa"/>
            <w:shd w:val="clear" w:color="auto" w:fill="D6E3BC"/>
          </w:tcPr>
          <w:p w14:paraId="00A284CD" w14:textId="77777777" w:rsidR="00B5216F" w:rsidRPr="00BA57A6" w:rsidRDefault="00B5216F" w:rsidP="005F1B15">
            <w:pPr>
              <w:spacing w:before="240" w:after="120"/>
              <w:jc w:val="both"/>
              <w:rPr>
                <w:rFonts w:ascii="Times New Roman" w:hAnsi="Times New Roman"/>
                <w:b/>
                <w:sz w:val="24"/>
                <w:szCs w:val="24"/>
              </w:rPr>
            </w:pPr>
            <w:r w:rsidRPr="00BA57A6">
              <w:rPr>
                <w:rFonts w:ascii="Times New Roman" w:hAnsi="Times New Roman"/>
                <w:b/>
                <w:sz w:val="24"/>
                <w:szCs w:val="24"/>
              </w:rPr>
              <w:t>2</w:t>
            </w:r>
          </w:p>
        </w:tc>
        <w:tc>
          <w:tcPr>
            <w:tcW w:w="2976" w:type="dxa"/>
          </w:tcPr>
          <w:p w14:paraId="75CD6544" w14:textId="77777777" w:rsidR="00B5216F" w:rsidRPr="00BA57A6" w:rsidRDefault="00B5216F" w:rsidP="005F1B15">
            <w:pPr>
              <w:spacing w:before="240" w:after="120"/>
              <w:rPr>
                <w:rFonts w:ascii="Times New Roman" w:hAnsi="Times New Roman"/>
                <w:sz w:val="24"/>
                <w:szCs w:val="24"/>
              </w:rPr>
            </w:pPr>
          </w:p>
        </w:tc>
        <w:tc>
          <w:tcPr>
            <w:tcW w:w="3116" w:type="dxa"/>
          </w:tcPr>
          <w:p w14:paraId="63B2D5C4" w14:textId="77777777" w:rsidR="00B5216F" w:rsidRPr="00BA57A6" w:rsidRDefault="00B5216F" w:rsidP="005F1B15">
            <w:pPr>
              <w:spacing w:before="240" w:after="120"/>
              <w:jc w:val="both"/>
              <w:rPr>
                <w:rFonts w:ascii="Times New Roman" w:hAnsi="Times New Roman"/>
                <w:sz w:val="24"/>
                <w:szCs w:val="24"/>
              </w:rPr>
            </w:pPr>
          </w:p>
        </w:tc>
        <w:tc>
          <w:tcPr>
            <w:tcW w:w="2754" w:type="dxa"/>
          </w:tcPr>
          <w:p w14:paraId="5EBFB384" w14:textId="77777777" w:rsidR="00B5216F" w:rsidRPr="00BA57A6" w:rsidRDefault="00B5216F" w:rsidP="005F1B15">
            <w:pPr>
              <w:spacing w:before="240" w:after="120"/>
              <w:jc w:val="both"/>
              <w:rPr>
                <w:rFonts w:ascii="Times New Roman" w:hAnsi="Times New Roman"/>
                <w:sz w:val="24"/>
                <w:szCs w:val="24"/>
              </w:rPr>
            </w:pPr>
          </w:p>
        </w:tc>
      </w:tr>
      <w:tr w:rsidR="00BA57A6" w:rsidRPr="00BA57A6" w14:paraId="60448809" w14:textId="77777777" w:rsidTr="00882F59">
        <w:tc>
          <w:tcPr>
            <w:tcW w:w="396" w:type="dxa"/>
            <w:shd w:val="clear" w:color="auto" w:fill="D6E3BC"/>
          </w:tcPr>
          <w:p w14:paraId="49B84156" w14:textId="77777777" w:rsidR="00B5216F" w:rsidRPr="00BA57A6" w:rsidRDefault="00B5216F" w:rsidP="005F1B15">
            <w:pPr>
              <w:spacing w:before="240" w:after="120"/>
              <w:jc w:val="both"/>
              <w:rPr>
                <w:rFonts w:ascii="Times New Roman" w:hAnsi="Times New Roman"/>
                <w:b/>
                <w:sz w:val="24"/>
                <w:szCs w:val="24"/>
              </w:rPr>
            </w:pPr>
            <w:r w:rsidRPr="00BA57A6">
              <w:rPr>
                <w:rFonts w:ascii="Times New Roman" w:hAnsi="Times New Roman"/>
                <w:b/>
                <w:sz w:val="24"/>
                <w:szCs w:val="24"/>
              </w:rPr>
              <w:t>3</w:t>
            </w:r>
          </w:p>
        </w:tc>
        <w:tc>
          <w:tcPr>
            <w:tcW w:w="2976" w:type="dxa"/>
          </w:tcPr>
          <w:p w14:paraId="3CAF5AD5" w14:textId="77777777" w:rsidR="00B5216F" w:rsidRPr="00BA57A6" w:rsidRDefault="00B5216F" w:rsidP="005F1B15">
            <w:pPr>
              <w:spacing w:before="240" w:after="120"/>
              <w:rPr>
                <w:rFonts w:ascii="Times New Roman" w:hAnsi="Times New Roman"/>
                <w:sz w:val="24"/>
                <w:szCs w:val="24"/>
              </w:rPr>
            </w:pPr>
          </w:p>
        </w:tc>
        <w:tc>
          <w:tcPr>
            <w:tcW w:w="3116" w:type="dxa"/>
          </w:tcPr>
          <w:p w14:paraId="2E3C6802" w14:textId="77777777" w:rsidR="00B5216F" w:rsidRPr="00BA57A6" w:rsidRDefault="00B5216F" w:rsidP="005F1B15">
            <w:pPr>
              <w:spacing w:before="240" w:after="120"/>
              <w:jc w:val="both"/>
              <w:rPr>
                <w:rFonts w:ascii="Times New Roman" w:hAnsi="Times New Roman"/>
                <w:sz w:val="24"/>
                <w:szCs w:val="24"/>
              </w:rPr>
            </w:pPr>
          </w:p>
        </w:tc>
        <w:tc>
          <w:tcPr>
            <w:tcW w:w="2754" w:type="dxa"/>
          </w:tcPr>
          <w:p w14:paraId="5E6EEB44" w14:textId="77777777" w:rsidR="00B5216F" w:rsidRPr="00BA57A6" w:rsidRDefault="00B5216F" w:rsidP="005F1B15">
            <w:pPr>
              <w:spacing w:before="240" w:after="120"/>
              <w:jc w:val="both"/>
              <w:rPr>
                <w:rFonts w:ascii="Times New Roman" w:hAnsi="Times New Roman"/>
                <w:sz w:val="24"/>
                <w:szCs w:val="24"/>
              </w:rPr>
            </w:pPr>
          </w:p>
        </w:tc>
      </w:tr>
    </w:tbl>
    <w:p w14:paraId="4023B688" w14:textId="77777777" w:rsidR="00B45EC5" w:rsidRPr="00F0060F" w:rsidRDefault="00B45EC5" w:rsidP="005F1B15">
      <w:pPr>
        <w:spacing w:before="240" w:after="120"/>
        <w:jc w:val="both"/>
        <w:rPr>
          <w:rFonts w:ascii="Times New Roman" w:hAnsi="Times New Roman"/>
          <w:sz w:val="24"/>
          <w:szCs w:val="24"/>
          <w:lang w:val="en-US"/>
        </w:rPr>
      </w:pPr>
    </w:p>
    <w:p w14:paraId="2A60B841" w14:textId="5B74E475" w:rsidR="00A9344F" w:rsidRPr="00B152CF" w:rsidRDefault="003940B1" w:rsidP="005F1B15">
      <w:pPr>
        <w:spacing w:before="240" w:after="120"/>
        <w:jc w:val="both"/>
        <w:rPr>
          <w:rFonts w:asciiTheme="minorBidi" w:hAnsiTheme="minorBidi" w:cstheme="minorBidi"/>
          <w:sz w:val="24"/>
          <w:szCs w:val="24"/>
        </w:rPr>
      </w:pPr>
      <w:r>
        <w:rPr>
          <w:rFonts w:ascii="Times New Roman" w:hAnsi="Times New Roman"/>
          <w:sz w:val="24"/>
          <w:szCs w:val="24"/>
        </w:rPr>
        <w:t>Bashkangjitur me këtë dokument</w:t>
      </w:r>
      <w:r w:rsidR="00A9344F" w:rsidRPr="00480408">
        <w:rPr>
          <w:rFonts w:ascii="Times New Roman" w:hAnsi="Times New Roman"/>
          <w:sz w:val="24"/>
          <w:szCs w:val="24"/>
        </w:rPr>
        <w:t xml:space="preserve"> </w:t>
      </w:r>
      <w:r w:rsidR="00A9344F" w:rsidRPr="00094C54">
        <w:rPr>
          <w:rFonts w:ascii="Times New Roman" w:hAnsi="Times New Roman"/>
          <w:b/>
          <w:sz w:val="24"/>
          <w:szCs w:val="24"/>
        </w:rPr>
        <w:t>gjeni</w:t>
      </w:r>
      <w:r w:rsidR="00A9344F" w:rsidRPr="00094C54">
        <w:rPr>
          <w:rFonts w:ascii="Times New Roman" w:hAnsi="Times New Roman"/>
          <w:b/>
          <w:sz w:val="24"/>
          <w:szCs w:val="24"/>
          <w:lang w:val="en-US"/>
        </w:rPr>
        <w:t xml:space="preserve"> </w:t>
      </w:r>
      <w:r w:rsidRPr="003940B1">
        <w:rPr>
          <w:rFonts w:ascii="Times New Roman" w:hAnsi="Times New Roman"/>
          <w:b/>
          <w:sz w:val="24"/>
          <w:szCs w:val="24"/>
          <w:lang w:val="en-US"/>
        </w:rPr>
        <w:t>Drafti</w:t>
      </w:r>
      <w:r>
        <w:rPr>
          <w:rFonts w:ascii="Times New Roman" w:hAnsi="Times New Roman"/>
          <w:b/>
          <w:sz w:val="24"/>
          <w:szCs w:val="24"/>
          <w:lang w:val="en-US"/>
        </w:rPr>
        <w:t>n</w:t>
      </w:r>
      <w:r w:rsidRPr="003940B1">
        <w:rPr>
          <w:rFonts w:ascii="Times New Roman" w:hAnsi="Times New Roman"/>
          <w:b/>
          <w:sz w:val="24"/>
          <w:szCs w:val="24"/>
          <w:lang w:val="en-US"/>
        </w:rPr>
        <w:t xml:space="preserve"> për </w:t>
      </w:r>
      <w:r w:rsidR="00863E8F" w:rsidRPr="00863E8F">
        <w:rPr>
          <w:rFonts w:ascii="Times New Roman" w:hAnsi="Times New Roman"/>
          <w:b/>
          <w:bCs/>
          <w:sz w:val="24"/>
          <w:szCs w:val="24"/>
        </w:rPr>
        <w:t xml:space="preserve">Hartimin e </w:t>
      </w:r>
      <w:r w:rsidR="005F1B15" w:rsidRPr="005F1B15">
        <w:rPr>
          <w:rFonts w:ascii="Times New Roman" w:hAnsi="Times New Roman"/>
          <w:b/>
          <w:bCs/>
          <w:sz w:val="24"/>
          <w:szCs w:val="24"/>
        </w:rPr>
        <w:t>Planit Kombëtar për Energji dhe Klimë 2025-2030</w:t>
      </w:r>
      <w:r w:rsidRPr="00863E8F">
        <w:rPr>
          <w:rFonts w:ascii="Times New Roman" w:hAnsi="Times New Roman"/>
          <w:b/>
          <w:sz w:val="24"/>
          <w:szCs w:val="24"/>
          <w:lang w:val="en-US"/>
        </w:rPr>
        <w:t xml:space="preserve">. </w:t>
      </w:r>
      <w:r w:rsidR="005F1B15">
        <w:rPr>
          <w:rFonts w:ascii="Times New Roman" w:hAnsi="Times New Roman"/>
          <w:b/>
          <w:sz w:val="24"/>
          <w:szCs w:val="24"/>
          <w:lang w:val="en-US"/>
        </w:rPr>
        <w:t xml:space="preserve"> </w:t>
      </w:r>
    </w:p>
    <w:p w14:paraId="69DC65D7" w14:textId="77777777" w:rsidR="00F0060F" w:rsidRPr="002A15DC" w:rsidRDefault="00F0060F" w:rsidP="005F1B15">
      <w:pPr>
        <w:spacing w:after="0"/>
        <w:jc w:val="both"/>
        <w:rPr>
          <w:rFonts w:ascii="Times New Roman" w:hAnsi="Times New Roman"/>
          <w:sz w:val="24"/>
          <w:szCs w:val="24"/>
        </w:rPr>
      </w:pPr>
    </w:p>
    <w:p w14:paraId="473BCD5C" w14:textId="77777777" w:rsidR="00F0060F" w:rsidRDefault="00F0060F" w:rsidP="005F1B15">
      <w:pPr>
        <w:spacing w:after="0"/>
        <w:jc w:val="both"/>
        <w:rPr>
          <w:rFonts w:ascii="Times New Roman" w:hAnsi="Times New Roman"/>
          <w:sz w:val="24"/>
          <w:szCs w:val="24"/>
          <w:lang w:val="en-US"/>
        </w:rPr>
      </w:pPr>
    </w:p>
    <w:p w14:paraId="5C421D9C" w14:textId="77777777" w:rsidR="00C857B0" w:rsidRDefault="00C857B0" w:rsidP="005F1B15">
      <w:pPr>
        <w:spacing w:after="0"/>
        <w:jc w:val="both"/>
        <w:rPr>
          <w:rFonts w:ascii="Times New Roman" w:hAnsi="Times New Roman"/>
          <w:sz w:val="24"/>
          <w:szCs w:val="24"/>
          <w:lang w:val="en-US"/>
        </w:rPr>
      </w:pPr>
    </w:p>
    <w:p w14:paraId="6F76C5AE" w14:textId="77777777" w:rsidR="00C857B0" w:rsidRDefault="00C857B0" w:rsidP="005F1B15">
      <w:pPr>
        <w:spacing w:after="0"/>
        <w:jc w:val="both"/>
        <w:rPr>
          <w:rFonts w:ascii="Times New Roman" w:hAnsi="Times New Roman"/>
          <w:sz w:val="24"/>
          <w:szCs w:val="24"/>
          <w:lang w:val="en-US"/>
        </w:rPr>
      </w:pPr>
    </w:p>
    <w:p w14:paraId="682F9186" w14:textId="13A07AA2" w:rsidR="002D61DB" w:rsidRDefault="002D61DB" w:rsidP="005F1B15">
      <w:pPr>
        <w:spacing w:after="0"/>
        <w:jc w:val="both"/>
        <w:rPr>
          <w:rFonts w:ascii="Times New Roman" w:hAnsi="Times New Roman"/>
          <w:sz w:val="24"/>
          <w:szCs w:val="24"/>
          <w:lang w:val="en-US"/>
        </w:rPr>
      </w:pPr>
    </w:p>
    <w:p w14:paraId="0E8D5985" w14:textId="5EE1FE81" w:rsidR="005F1B15" w:rsidRDefault="005F1B15" w:rsidP="005F1B15">
      <w:pPr>
        <w:spacing w:after="0"/>
        <w:jc w:val="both"/>
        <w:rPr>
          <w:rFonts w:ascii="Times New Roman" w:hAnsi="Times New Roman"/>
          <w:sz w:val="24"/>
          <w:szCs w:val="24"/>
          <w:lang w:val="en-US"/>
        </w:rPr>
      </w:pPr>
    </w:p>
    <w:p w14:paraId="1EED7574" w14:textId="470B0D67" w:rsidR="005F1B15" w:rsidRDefault="005F1B15" w:rsidP="005F1B15">
      <w:pPr>
        <w:spacing w:after="0"/>
        <w:jc w:val="both"/>
        <w:rPr>
          <w:rFonts w:ascii="Times New Roman" w:hAnsi="Times New Roman"/>
          <w:sz w:val="24"/>
          <w:szCs w:val="24"/>
          <w:lang w:val="en-US"/>
        </w:rPr>
      </w:pPr>
    </w:p>
    <w:p w14:paraId="0E0E039C" w14:textId="12520B64" w:rsidR="005F1B15" w:rsidRDefault="005F1B15" w:rsidP="005F1B15">
      <w:pPr>
        <w:spacing w:after="0"/>
        <w:jc w:val="both"/>
        <w:rPr>
          <w:rFonts w:ascii="Times New Roman" w:hAnsi="Times New Roman"/>
          <w:sz w:val="24"/>
          <w:szCs w:val="24"/>
          <w:lang w:val="en-US"/>
        </w:rPr>
      </w:pPr>
    </w:p>
    <w:p w14:paraId="708BB878" w14:textId="12EC2E9E" w:rsidR="005F1B15" w:rsidRDefault="005F1B15" w:rsidP="005F1B15">
      <w:pPr>
        <w:spacing w:after="0"/>
        <w:jc w:val="both"/>
        <w:rPr>
          <w:rFonts w:ascii="Times New Roman" w:hAnsi="Times New Roman"/>
          <w:sz w:val="24"/>
          <w:szCs w:val="24"/>
          <w:lang w:val="en-US"/>
        </w:rPr>
      </w:pPr>
    </w:p>
    <w:p w14:paraId="09C52F9B" w14:textId="11FFEDC7" w:rsidR="005F1B15" w:rsidRDefault="005F1B15" w:rsidP="005F1B15">
      <w:pPr>
        <w:spacing w:after="0"/>
        <w:jc w:val="both"/>
        <w:rPr>
          <w:rFonts w:ascii="Times New Roman" w:hAnsi="Times New Roman"/>
          <w:sz w:val="24"/>
          <w:szCs w:val="24"/>
          <w:lang w:val="en-US"/>
        </w:rPr>
      </w:pPr>
    </w:p>
    <w:p w14:paraId="2251A37E" w14:textId="4648DCED" w:rsidR="005F1B15" w:rsidRDefault="005F1B15" w:rsidP="005F1B15">
      <w:pPr>
        <w:spacing w:after="0"/>
        <w:jc w:val="both"/>
        <w:rPr>
          <w:rFonts w:ascii="Times New Roman" w:hAnsi="Times New Roman"/>
          <w:sz w:val="24"/>
          <w:szCs w:val="24"/>
          <w:lang w:val="en-US"/>
        </w:rPr>
      </w:pPr>
    </w:p>
    <w:p w14:paraId="74503AF3" w14:textId="6E2B252C" w:rsidR="005F1B15" w:rsidRDefault="005F1B15" w:rsidP="005F1B15">
      <w:pPr>
        <w:spacing w:after="0"/>
        <w:jc w:val="both"/>
        <w:rPr>
          <w:rFonts w:ascii="Times New Roman" w:hAnsi="Times New Roman"/>
          <w:sz w:val="24"/>
          <w:szCs w:val="24"/>
          <w:lang w:val="en-US"/>
        </w:rPr>
      </w:pPr>
    </w:p>
    <w:p w14:paraId="083E0D50" w14:textId="0A647C6E" w:rsidR="005F1B15" w:rsidRDefault="005F1B15" w:rsidP="005F1B15">
      <w:pPr>
        <w:spacing w:after="0"/>
        <w:jc w:val="both"/>
        <w:rPr>
          <w:rFonts w:ascii="Times New Roman" w:hAnsi="Times New Roman"/>
          <w:sz w:val="24"/>
          <w:szCs w:val="24"/>
          <w:lang w:val="en-US"/>
        </w:rPr>
      </w:pPr>
    </w:p>
    <w:p w14:paraId="4C063CA3" w14:textId="5BC56C5D" w:rsidR="005F1B15" w:rsidRDefault="005F1B15" w:rsidP="005F1B15">
      <w:pPr>
        <w:spacing w:after="0"/>
        <w:jc w:val="both"/>
        <w:rPr>
          <w:rFonts w:ascii="Times New Roman" w:hAnsi="Times New Roman"/>
          <w:sz w:val="24"/>
          <w:szCs w:val="24"/>
          <w:lang w:val="en-US"/>
        </w:rPr>
      </w:pPr>
    </w:p>
    <w:p w14:paraId="3FDB02A1" w14:textId="6330FEAE" w:rsidR="005F1B15" w:rsidRDefault="005F1B15" w:rsidP="005F1B15">
      <w:pPr>
        <w:spacing w:after="0"/>
        <w:jc w:val="both"/>
        <w:rPr>
          <w:rFonts w:ascii="Times New Roman" w:hAnsi="Times New Roman"/>
          <w:sz w:val="24"/>
          <w:szCs w:val="24"/>
          <w:lang w:val="en-US"/>
        </w:rPr>
      </w:pPr>
    </w:p>
    <w:p w14:paraId="69A74601" w14:textId="67664604" w:rsidR="005F1B15" w:rsidRDefault="005F1B15" w:rsidP="005F1B15">
      <w:pPr>
        <w:spacing w:after="0"/>
        <w:jc w:val="both"/>
        <w:rPr>
          <w:rFonts w:ascii="Times New Roman" w:hAnsi="Times New Roman"/>
          <w:sz w:val="24"/>
          <w:szCs w:val="24"/>
          <w:lang w:val="en-US"/>
        </w:rPr>
      </w:pPr>
    </w:p>
    <w:p w14:paraId="5998F273" w14:textId="2E867CF3" w:rsidR="005F1B15" w:rsidRDefault="005F1B15" w:rsidP="005F1B15">
      <w:pPr>
        <w:spacing w:after="0"/>
        <w:jc w:val="both"/>
        <w:rPr>
          <w:rFonts w:ascii="Times New Roman" w:hAnsi="Times New Roman"/>
          <w:sz w:val="24"/>
          <w:szCs w:val="24"/>
          <w:lang w:val="en-US"/>
        </w:rPr>
      </w:pPr>
    </w:p>
    <w:p w14:paraId="78744C4B" w14:textId="517AD1C5" w:rsidR="005F1B15" w:rsidRDefault="005F1B15" w:rsidP="005F1B15">
      <w:pPr>
        <w:spacing w:after="0"/>
        <w:jc w:val="both"/>
        <w:rPr>
          <w:rFonts w:ascii="Times New Roman" w:hAnsi="Times New Roman"/>
          <w:sz w:val="24"/>
          <w:szCs w:val="24"/>
          <w:lang w:val="en-US"/>
        </w:rPr>
      </w:pPr>
    </w:p>
    <w:p w14:paraId="6FCE4FB3" w14:textId="098768C7" w:rsidR="005F1B15" w:rsidRDefault="005F1B15" w:rsidP="005F1B15">
      <w:pPr>
        <w:spacing w:after="0"/>
        <w:jc w:val="both"/>
        <w:rPr>
          <w:rFonts w:ascii="Times New Roman" w:hAnsi="Times New Roman"/>
          <w:sz w:val="24"/>
          <w:szCs w:val="24"/>
          <w:lang w:val="en-US"/>
        </w:rPr>
      </w:pPr>
    </w:p>
    <w:p w14:paraId="2ACB3FFC" w14:textId="041F799C" w:rsidR="005F1B15" w:rsidRDefault="005F1B15" w:rsidP="005F1B15">
      <w:pPr>
        <w:spacing w:after="0"/>
        <w:jc w:val="both"/>
        <w:rPr>
          <w:rFonts w:ascii="Times New Roman" w:hAnsi="Times New Roman"/>
          <w:sz w:val="24"/>
          <w:szCs w:val="24"/>
          <w:lang w:val="en-US"/>
        </w:rPr>
      </w:pPr>
    </w:p>
    <w:p w14:paraId="3CB3EB8D" w14:textId="77777777" w:rsidR="006124F5" w:rsidRDefault="006124F5" w:rsidP="005F1B15">
      <w:pPr>
        <w:spacing w:before="240" w:after="120"/>
        <w:jc w:val="both"/>
        <w:rPr>
          <w:rFonts w:ascii="Arial" w:hAnsi="Arial" w:cs="Arial"/>
          <w:sz w:val="24"/>
          <w:szCs w:val="24"/>
        </w:rPr>
      </w:pPr>
    </w:p>
    <w:p w14:paraId="27782465" w14:textId="77777777" w:rsidR="006124F5" w:rsidRDefault="006124F5" w:rsidP="005F1B15">
      <w:pPr>
        <w:spacing w:before="240" w:after="120"/>
        <w:jc w:val="both"/>
        <w:rPr>
          <w:rFonts w:ascii="Arial" w:hAnsi="Arial" w:cs="Arial"/>
          <w:sz w:val="24"/>
          <w:szCs w:val="24"/>
        </w:rPr>
      </w:pPr>
    </w:p>
    <w:p w14:paraId="0CBA13C2" w14:textId="592CD1C4" w:rsidR="005F1B15" w:rsidRPr="00BA57A6" w:rsidRDefault="005F1B15" w:rsidP="005F1B15">
      <w:pPr>
        <w:spacing w:before="240" w:after="120"/>
        <w:jc w:val="both"/>
        <w:rPr>
          <w:rFonts w:ascii="Arial" w:hAnsi="Arial" w:cs="Arial"/>
          <w:sz w:val="24"/>
          <w:szCs w:val="24"/>
        </w:rPr>
      </w:pPr>
      <w:r>
        <w:rPr>
          <w:rFonts w:ascii="Times New Roman" w:eastAsia="Times New Roman" w:hAnsi="Times New Roman"/>
          <w:noProof/>
          <w:color w:val="000000"/>
          <w:sz w:val="20"/>
          <w:szCs w:val="20"/>
          <w:lang w:val="en-US"/>
        </w:rPr>
        <w:lastRenderedPageBreak/>
        <w:drawing>
          <wp:anchor distT="0" distB="0" distL="114300" distR="114300" simplePos="0" relativeHeight="251661312" behindDoc="0" locked="0" layoutInCell="0" allowOverlap="0" wp14:anchorId="7DE7502A" wp14:editId="2DFB6248">
            <wp:simplePos x="0" y="0"/>
            <wp:positionH relativeFrom="margin">
              <wp:posOffset>2312670</wp:posOffset>
            </wp:positionH>
            <wp:positionV relativeFrom="paragraph">
              <wp:posOffset>261620</wp:posOffset>
            </wp:positionV>
            <wp:extent cx="862965" cy="811530"/>
            <wp:effectExtent l="0" t="0" r="0" b="7620"/>
            <wp:wrapSquare wrapText="bothSides"/>
            <wp:docPr id="1" name="Picture 1" descr="Description: 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jpg" descr="Description: stema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2965" cy="811530"/>
                    </a:xfrm>
                    <a:prstGeom prst="rect">
                      <a:avLst/>
                    </a:prstGeom>
                    <a:noFill/>
                    <a:ln>
                      <a:noFill/>
                    </a:ln>
                  </pic:spPr>
                </pic:pic>
              </a:graphicData>
            </a:graphic>
          </wp:anchor>
        </w:drawing>
      </w:r>
    </w:p>
    <w:p w14:paraId="5994B6EB" w14:textId="77777777" w:rsidR="005F1B15" w:rsidRPr="00BA57A6" w:rsidRDefault="005F1B15" w:rsidP="005F1B15">
      <w:pPr>
        <w:tabs>
          <w:tab w:val="left" w:pos="7020"/>
        </w:tabs>
        <w:jc w:val="both"/>
        <w:rPr>
          <w:b/>
        </w:rPr>
      </w:pPr>
    </w:p>
    <w:p w14:paraId="393A2D1D" w14:textId="77777777" w:rsidR="005F1B15" w:rsidRPr="00D849E3" w:rsidRDefault="005F1B15" w:rsidP="005F1B15">
      <w:pPr>
        <w:spacing w:after="0"/>
        <w:jc w:val="both"/>
        <w:rPr>
          <w:rFonts w:ascii="Times New Roman" w:eastAsia="Times New Roman" w:hAnsi="Times New Roman"/>
          <w:color w:val="000000"/>
          <w:sz w:val="20"/>
          <w:szCs w:val="20"/>
          <w:lang w:eastAsia="sq-AL"/>
        </w:rPr>
      </w:pPr>
    </w:p>
    <w:p w14:paraId="07E17FEA" w14:textId="77777777" w:rsidR="005F1B15" w:rsidRPr="00D849E3" w:rsidRDefault="005F1B15" w:rsidP="005F1B15">
      <w:pPr>
        <w:spacing w:after="0"/>
        <w:jc w:val="center"/>
        <w:rPr>
          <w:rFonts w:ascii="Times New Roman" w:eastAsia="Times New Roman" w:hAnsi="Times New Roman"/>
          <w:color w:val="000000"/>
          <w:sz w:val="20"/>
          <w:szCs w:val="20"/>
          <w:lang w:eastAsia="sq-AL"/>
        </w:rPr>
      </w:pPr>
    </w:p>
    <w:p w14:paraId="70F4E755" w14:textId="77777777" w:rsidR="005F1B15" w:rsidRPr="00D849E3" w:rsidRDefault="005F1B15" w:rsidP="005F1B15">
      <w:pPr>
        <w:spacing w:after="0"/>
        <w:jc w:val="center"/>
        <w:rPr>
          <w:rFonts w:ascii="Times New Roman" w:eastAsia="Times New Roman" w:hAnsi="Times New Roman"/>
          <w:color w:val="000000"/>
          <w:sz w:val="20"/>
          <w:szCs w:val="20"/>
          <w:lang w:eastAsia="sq-AL"/>
        </w:rPr>
      </w:pPr>
      <w:r w:rsidRPr="00D849E3">
        <w:rPr>
          <w:rFonts w:ascii="Times New Roman" w:eastAsia="Times New Roman" w:hAnsi="Times New Roman"/>
          <w:color w:val="000000"/>
          <w:sz w:val="20"/>
          <w:szCs w:val="20"/>
          <w:lang w:eastAsia="sq-AL"/>
        </w:rPr>
        <w:t xml:space="preserve">                                                                                                                                                                                                                                                                                                                                                                                                                                                                                                                                                                                                                                                                                                                                                                                                                                                                                                                                                                                                                                                                                                                                                                                                                                                                                                                                                                                                          </w:t>
      </w:r>
    </w:p>
    <w:p w14:paraId="7E5B91F9" w14:textId="77777777" w:rsidR="005F1B15" w:rsidRPr="00D849E3" w:rsidRDefault="005F1B15" w:rsidP="005F1B15">
      <w:pPr>
        <w:spacing w:after="0"/>
        <w:jc w:val="center"/>
        <w:rPr>
          <w:rFonts w:ascii="Times New Roman" w:eastAsia="Times New Roman" w:hAnsi="Times New Roman"/>
          <w:i/>
          <w:color w:val="000000"/>
          <w:sz w:val="20"/>
          <w:szCs w:val="20"/>
          <w:lang w:eastAsia="sq-AL"/>
        </w:rPr>
      </w:pPr>
    </w:p>
    <w:p w14:paraId="19FC0574" w14:textId="77777777" w:rsidR="005F1B15" w:rsidRPr="00D849E3" w:rsidRDefault="005F1B15" w:rsidP="005F1B15">
      <w:pPr>
        <w:spacing w:after="0"/>
        <w:jc w:val="center"/>
        <w:rPr>
          <w:rFonts w:ascii="Times New Roman" w:eastAsia="Times New Roman" w:hAnsi="Times New Roman"/>
          <w:i/>
          <w:color w:val="000000"/>
          <w:sz w:val="20"/>
          <w:szCs w:val="20"/>
          <w:lang w:eastAsia="sq-AL"/>
        </w:rPr>
      </w:pPr>
      <w:r w:rsidRPr="00D849E3">
        <w:rPr>
          <w:rFonts w:ascii="Times New Roman" w:eastAsia="Times New Roman" w:hAnsi="Times New Roman"/>
          <w:b/>
          <w:i/>
          <w:color w:val="000000"/>
          <w:sz w:val="24"/>
          <w:szCs w:val="24"/>
          <w:lang w:eastAsia="sq-AL"/>
        </w:rPr>
        <w:t>Republika e Kosovës</w:t>
      </w:r>
    </w:p>
    <w:p w14:paraId="746A00B0" w14:textId="77777777" w:rsidR="005F1B15" w:rsidRPr="00D849E3" w:rsidRDefault="005F1B15" w:rsidP="005F1B15">
      <w:pPr>
        <w:spacing w:after="0"/>
        <w:jc w:val="center"/>
        <w:rPr>
          <w:rFonts w:ascii="Times New Roman" w:eastAsia="Times New Roman" w:hAnsi="Times New Roman"/>
          <w:i/>
          <w:color w:val="000000"/>
          <w:sz w:val="20"/>
          <w:szCs w:val="20"/>
          <w:lang w:eastAsia="sq-AL"/>
        </w:rPr>
      </w:pPr>
      <w:r w:rsidRPr="00D849E3">
        <w:rPr>
          <w:rFonts w:ascii="Times New Roman" w:eastAsia="Times New Roman" w:hAnsi="Times New Roman"/>
          <w:b/>
          <w:i/>
          <w:color w:val="000000"/>
          <w:sz w:val="24"/>
          <w:szCs w:val="24"/>
          <w:lang w:eastAsia="sq-AL"/>
        </w:rPr>
        <w:t>Republika Kosovo-Republic of Kosovo</w:t>
      </w:r>
    </w:p>
    <w:p w14:paraId="21A96011" w14:textId="77777777" w:rsidR="005F1B15" w:rsidRDefault="005F1B15" w:rsidP="005F1B15">
      <w:pPr>
        <w:spacing w:after="0"/>
        <w:jc w:val="center"/>
        <w:rPr>
          <w:rFonts w:ascii="Times New Roman" w:eastAsia="Times New Roman" w:hAnsi="Times New Roman"/>
          <w:b/>
          <w:i/>
          <w:color w:val="000000"/>
          <w:sz w:val="24"/>
          <w:szCs w:val="24"/>
          <w:lang w:eastAsia="sq-AL"/>
        </w:rPr>
      </w:pPr>
      <w:r w:rsidRPr="00D849E3">
        <w:rPr>
          <w:rFonts w:ascii="Times New Roman" w:eastAsia="Times New Roman" w:hAnsi="Times New Roman"/>
          <w:b/>
          <w:i/>
          <w:color w:val="000000"/>
          <w:sz w:val="24"/>
          <w:szCs w:val="24"/>
          <w:lang w:eastAsia="sq-AL"/>
        </w:rPr>
        <w:t>Qeveria-Vlada-Government</w:t>
      </w:r>
    </w:p>
    <w:p w14:paraId="79D73707" w14:textId="77777777" w:rsidR="005F1B15" w:rsidRPr="006965C2" w:rsidRDefault="005F1B15" w:rsidP="005F1B15">
      <w:pPr>
        <w:spacing w:after="0"/>
        <w:jc w:val="center"/>
        <w:rPr>
          <w:rFonts w:ascii="Times New Roman" w:eastAsia="Times New Roman" w:hAnsi="Times New Roman"/>
          <w:b/>
          <w:i/>
          <w:color w:val="000000"/>
          <w:sz w:val="24"/>
          <w:szCs w:val="24"/>
          <w:lang w:eastAsia="sq-AL"/>
        </w:rPr>
      </w:pPr>
      <w:r w:rsidRPr="006965C2">
        <w:rPr>
          <w:rFonts w:ascii="Times New Roman" w:eastAsia="Times New Roman" w:hAnsi="Times New Roman"/>
          <w:b/>
          <w:i/>
          <w:color w:val="000000"/>
          <w:sz w:val="24"/>
          <w:szCs w:val="24"/>
          <w:lang w:eastAsia="sq-AL"/>
        </w:rPr>
        <w:t>Ministria e Mjedisit, Planifikimit Hapësinor dhe Infrastrukturës</w:t>
      </w:r>
    </w:p>
    <w:p w14:paraId="5066F2FD" w14:textId="77777777" w:rsidR="005F1B15" w:rsidRPr="006965C2" w:rsidRDefault="005F1B15" w:rsidP="005F1B15">
      <w:pPr>
        <w:spacing w:after="0"/>
        <w:jc w:val="center"/>
        <w:rPr>
          <w:rFonts w:ascii="Times New Roman" w:eastAsia="Times New Roman" w:hAnsi="Times New Roman"/>
          <w:b/>
          <w:i/>
          <w:color w:val="000000"/>
          <w:sz w:val="24"/>
          <w:szCs w:val="24"/>
          <w:lang w:eastAsia="sq-AL"/>
        </w:rPr>
      </w:pPr>
      <w:r w:rsidRPr="006965C2">
        <w:rPr>
          <w:rFonts w:ascii="Times New Roman" w:eastAsia="Times New Roman" w:hAnsi="Times New Roman"/>
          <w:b/>
          <w:i/>
          <w:color w:val="000000"/>
          <w:sz w:val="24"/>
          <w:szCs w:val="24"/>
          <w:lang w:eastAsia="sq-AL"/>
        </w:rPr>
        <w:t>Ministry of Environment, Spatial Planning and Infrastructure</w:t>
      </w:r>
    </w:p>
    <w:p w14:paraId="1884C009" w14:textId="77777777" w:rsidR="005F1B15" w:rsidRDefault="005F1B15" w:rsidP="005F1B15">
      <w:pPr>
        <w:spacing w:after="0"/>
        <w:jc w:val="center"/>
        <w:rPr>
          <w:rFonts w:ascii="Times New Roman" w:eastAsia="Times New Roman" w:hAnsi="Times New Roman"/>
          <w:b/>
          <w:i/>
          <w:color w:val="000000"/>
          <w:sz w:val="24"/>
          <w:szCs w:val="24"/>
          <w:lang w:eastAsia="sq-AL"/>
        </w:rPr>
      </w:pPr>
      <w:r w:rsidRPr="006965C2">
        <w:rPr>
          <w:rFonts w:ascii="Times New Roman" w:eastAsia="Times New Roman" w:hAnsi="Times New Roman"/>
          <w:b/>
          <w:i/>
          <w:color w:val="000000"/>
          <w:sz w:val="24"/>
          <w:szCs w:val="24"/>
          <w:lang w:eastAsia="sq-AL"/>
        </w:rPr>
        <w:t>Ministarstvo Životne Sredine, Prostornog Planiranja i Infrastrukture</w:t>
      </w:r>
    </w:p>
    <w:p w14:paraId="37C7D0DE" w14:textId="77777777" w:rsidR="005F1B15" w:rsidRPr="00D849E3" w:rsidRDefault="005F1B15" w:rsidP="005F1B15">
      <w:pPr>
        <w:tabs>
          <w:tab w:val="left" w:pos="5774"/>
        </w:tabs>
        <w:spacing w:after="0"/>
        <w:rPr>
          <w:rFonts w:ascii="Times New Roman" w:eastAsia="Times New Roman" w:hAnsi="Times New Roman"/>
          <w:i/>
          <w:color w:val="000000"/>
          <w:sz w:val="20"/>
          <w:szCs w:val="20"/>
          <w:lang w:eastAsia="sq-AL"/>
        </w:rPr>
      </w:pPr>
    </w:p>
    <w:p w14:paraId="07A4A5F3" w14:textId="77777777" w:rsidR="005F1B15" w:rsidRPr="00D849E3" w:rsidRDefault="005F1B15" w:rsidP="005F1B15">
      <w:pPr>
        <w:pBdr>
          <w:bottom w:val="single" w:sz="12" w:space="1" w:color="auto"/>
        </w:pBdr>
        <w:tabs>
          <w:tab w:val="left" w:pos="5067"/>
        </w:tabs>
        <w:spacing w:before="2" w:after="0"/>
        <w:rPr>
          <w:rFonts w:ascii="Times New Roman" w:eastAsia="Times New Roman" w:hAnsi="Times New Roman"/>
          <w:color w:val="000000"/>
          <w:sz w:val="20"/>
          <w:szCs w:val="20"/>
          <w:lang w:eastAsia="sq-AL"/>
        </w:rPr>
      </w:pPr>
    </w:p>
    <w:p w14:paraId="527F11D3" w14:textId="77777777" w:rsidR="005F1B15" w:rsidRPr="00D849E3" w:rsidRDefault="005F1B15" w:rsidP="005F1B15">
      <w:pPr>
        <w:tabs>
          <w:tab w:val="left" w:pos="5067"/>
        </w:tabs>
        <w:spacing w:before="2" w:after="0"/>
        <w:jc w:val="center"/>
        <w:rPr>
          <w:rFonts w:ascii="Times New Roman" w:eastAsia="Times New Roman" w:hAnsi="Times New Roman"/>
          <w:color w:val="000000"/>
          <w:sz w:val="20"/>
          <w:szCs w:val="20"/>
          <w:lang w:eastAsia="sq-AL"/>
        </w:rPr>
      </w:pPr>
    </w:p>
    <w:p w14:paraId="6FDBAE7B" w14:textId="77777777" w:rsidR="005F1B15" w:rsidRPr="00BA57A6" w:rsidRDefault="005F1B15" w:rsidP="005F1B15">
      <w:pPr>
        <w:spacing w:before="240" w:after="120"/>
        <w:rPr>
          <w:rFonts w:ascii="Times New Roman" w:hAnsi="Times New Roman"/>
          <w:sz w:val="24"/>
          <w:szCs w:val="24"/>
        </w:rPr>
      </w:pPr>
    </w:p>
    <w:p w14:paraId="2ACF61CC" w14:textId="0BB7BA02" w:rsidR="005F1B15" w:rsidRPr="005F1B15" w:rsidRDefault="005F1B15" w:rsidP="005F1B15">
      <w:pPr>
        <w:spacing w:before="240" w:after="120"/>
        <w:jc w:val="center"/>
        <w:rPr>
          <w:rFonts w:ascii="Times New Roman" w:hAnsi="Times New Roman"/>
          <w:b/>
          <w:sz w:val="32"/>
          <w:szCs w:val="32"/>
        </w:rPr>
      </w:pPr>
      <w:r w:rsidRPr="005F1B15">
        <w:rPr>
          <w:rFonts w:ascii="Times New Roman" w:hAnsi="Times New Roman"/>
          <w:b/>
          <w:sz w:val="32"/>
          <w:szCs w:val="32"/>
        </w:rPr>
        <w:t xml:space="preserve">Consultation </w:t>
      </w:r>
      <w:r w:rsidR="00E35888">
        <w:rPr>
          <w:rFonts w:ascii="Times New Roman" w:hAnsi="Times New Roman"/>
          <w:b/>
          <w:sz w:val="32"/>
          <w:szCs w:val="32"/>
        </w:rPr>
        <w:t>D</w:t>
      </w:r>
      <w:r w:rsidRPr="005F1B15">
        <w:rPr>
          <w:rFonts w:ascii="Times New Roman" w:hAnsi="Times New Roman"/>
          <w:b/>
          <w:sz w:val="32"/>
          <w:szCs w:val="32"/>
        </w:rPr>
        <w:t>ocument f</w:t>
      </w:r>
      <w:r w:rsidR="00E35888">
        <w:rPr>
          <w:rFonts w:ascii="Times New Roman" w:hAnsi="Times New Roman"/>
          <w:b/>
          <w:sz w:val="32"/>
          <w:szCs w:val="32"/>
        </w:rPr>
        <w:t>or the Draft</w:t>
      </w:r>
      <w:r w:rsidRPr="005F1B15">
        <w:rPr>
          <w:rFonts w:ascii="Times New Roman" w:hAnsi="Times New Roman"/>
          <w:b/>
          <w:sz w:val="32"/>
          <w:szCs w:val="32"/>
        </w:rPr>
        <w:t xml:space="preserve"> National </w:t>
      </w:r>
    </w:p>
    <w:p w14:paraId="727B25D5" w14:textId="41761D46" w:rsidR="005F1B15" w:rsidRPr="009E618C" w:rsidRDefault="005F1B15" w:rsidP="005F1B15">
      <w:pPr>
        <w:spacing w:before="240" w:after="120"/>
        <w:jc w:val="center"/>
        <w:rPr>
          <w:rFonts w:ascii="Times New Roman" w:hAnsi="Times New Roman"/>
          <w:b/>
          <w:sz w:val="32"/>
          <w:szCs w:val="32"/>
        </w:rPr>
      </w:pPr>
      <w:r w:rsidRPr="005F1B15">
        <w:rPr>
          <w:rFonts w:ascii="Times New Roman" w:hAnsi="Times New Roman"/>
          <w:b/>
          <w:sz w:val="32"/>
          <w:szCs w:val="32"/>
        </w:rPr>
        <w:t>Energy and Climate Plan</w:t>
      </w:r>
      <w:r w:rsidR="00E35888">
        <w:rPr>
          <w:rFonts w:ascii="Times New Roman" w:hAnsi="Times New Roman"/>
          <w:b/>
          <w:sz w:val="32"/>
          <w:szCs w:val="32"/>
        </w:rPr>
        <w:t xml:space="preserve"> 2025-2030 </w:t>
      </w:r>
    </w:p>
    <w:p w14:paraId="79673F22" w14:textId="77777777" w:rsidR="005F1B15" w:rsidRPr="001C4FB1" w:rsidRDefault="005F1B15" w:rsidP="005F1B15">
      <w:pPr>
        <w:spacing w:before="120" w:after="120"/>
        <w:jc w:val="center"/>
        <w:rPr>
          <w:b/>
          <w:sz w:val="28"/>
          <w:szCs w:val="28"/>
        </w:rPr>
      </w:pPr>
    </w:p>
    <w:p w14:paraId="08EDE4C8" w14:textId="77777777" w:rsidR="005F1B15" w:rsidRPr="00BA57A6" w:rsidRDefault="005F1B15" w:rsidP="005F1B15">
      <w:pPr>
        <w:spacing w:before="240" w:after="120"/>
        <w:jc w:val="center"/>
        <w:rPr>
          <w:rFonts w:ascii="Times New Roman" w:hAnsi="Times New Roman"/>
          <w:sz w:val="24"/>
          <w:szCs w:val="24"/>
        </w:rPr>
      </w:pPr>
    </w:p>
    <w:p w14:paraId="296E6FA6" w14:textId="77777777" w:rsidR="005F1B15" w:rsidRDefault="005F1B15" w:rsidP="005F1B15">
      <w:pPr>
        <w:spacing w:before="240" w:after="120"/>
        <w:jc w:val="center"/>
        <w:rPr>
          <w:rFonts w:ascii="Times New Roman" w:hAnsi="Times New Roman"/>
          <w:sz w:val="24"/>
          <w:szCs w:val="24"/>
        </w:rPr>
      </w:pPr>
    </w:p>
    <w:p w14:paraId="0CBE067B" w14:textId="77777777" w:rsidR="005F1B15" w:rsidRPr="00BA57A6" w:rsidRDefault="005F1B15" w:rsidP="005F1B15">
      <w:pPr>
        <w:spacing w:before="240" w:after="120"/>
        <w:jc w:val="center"/>
        <w:rPr>
          <w:rFonts w:ascii="Times New Roman" w:hAnsi="Times New Roman"/>
          <w:sz w:val="24"/>
          <w:szCs w:val="24"/>
        </w:rPr>
      </w:pPr>
    </w:p>
    <w:p w14:paraId="710B419F" w14:textId="77777777" w:rsidR="005F1B15" w:rsidRPr="00BA57A6" w:rsidRDefault="005F1B15" w:rsidP="005F1B15">
      <w:pPr>
        <w:spacing w:before="240" w:after="120"/>
        <w:jc w:val="center"/>
        <w:rPr>
          <w:rFonts w:ascii="Times New Roman" w:hAnsi="Times New Roman"/>
          <w:sz w:val="24"/>
          <w:szCs w:val="24"/>
        </w:rPr>
      </w:pPr>
    </w:p>
    <w:p w14:paraId="57E15FA8" w14:textId="77777777" w:rsidR="005F1B15" w:rsidRDefault="005F1B15" w:rsidP="005F1B15">
      <w:pPr>
        <w:spacing w:before="240" w:after="120"/>
        <w:jc w:val="center"/>
        <w:rPr>
          <w:rFonts w:ascii="Times New Roman" w:hAnsi="Times New Roman"/>
          <w:sz w:val="24"/>
          <w:szCs w:val="24"/>
        </w:rPr>
      </w:pPr>
    </w:p>
    <w:p w14:paraId="7C1F8346" w14:textId="77777777" w:rsidR="005F1B15" w:rsidRDefault="005F1B15" w:rsidP="005F1B15">
      <w:pPr>
        <w:spacing w:before="240" w:after="120"/>
        <w:jc w:val="center"/>
        <w:rPr>
          <w:rFonts w:ascii="Times New Roman" w:hAnsi="Times New Roman"/>
          <w:sz w:val="24"/>
          <w:szCs w:val="24"/>
        </w:rPr>
      </w:pPr>
    </w:p>
    <w:p w14:paraId="5FFC0D10" w14:textId="77777777" w:rsidR="005F1B15" w:rsidRDefault="005F1B15" w:rsidP="005F1B15">
      <w:pPr>
        <w:spacing w:before="240" w:after="120"/>
        <w:jc w:val="center"/>
        <w:rPr>
          <w:rFonts w:ascii="Times New Roman" w:hAnsi="Times New Roman"/>
          <w:sz w:val="24"/>
          <w:szCs w:val="24"/>
        </w:rPr>
      </w:pPr>
    </w:p>
    <w:p w14:paraId="638E09BC" w14:textId="77777777" w:rsidR="005F1B15" w:rsidRDefault="005F1B15" w:rsidP="005F1B15">
      <w:pPr>
        <w:spacing w:before="240" w:after="120"/>
        <w:jc w:val="center"/>
        <w:rPr>
          <w:rFonts w:ascii="Times New Roman" w:hAnsi="Times New Roman"/>
          <w:sz w:val="24"/>
          <w:szCs w:val="24"/>
        </w:rPr>
      </w:pPr>
    </w:p>
    <w:p w14:paraId="5B1852DA" w14:textId="77777777" w:rsidR="005F1B15" w:rsidRDefault="005F1B15" w:rsidP="005F1B15">
      <w:pPr>
        <w:spacing w:before="240" w:after="120"/>
        <w:jc w:val="center"/>
        <w:rPr>
          <w:rFonts w:ascii="Times New Roman" w:hAnsi="Times New Roman"/>
          <w:sz w:val="24"/>
          <w:szCs w:val="24"/>
        </w:rPr>
      </w:pPr>
    </w:p>
    <w:p w14:paraId="4F2F6211" w14:textId="77777777" w:rsidR="005F1B15" w:rsidRDefault="005F1B15" w:rsidP="005F1B15">
      <w:pPr>
        <w:spacing w:before="240" w:after="120"/>
        <w:jc w:val="center"/>
        <w:rPr>
          <w:rFonts w:ascii="Times New Roman" w:hAnsi="Times New Roman"/>
          <w:sz w:val="24"/>
          <w:szCs w:val="24"/>
        </w:rPr>
      </w:pPr>
    </w:p>
    <w:p w14:paraId="67D1FD17" w14:textId="5BC0EAD4" w:rsidR="005F1B15" w:rsidRDefault="005F1B15" w:rsidP="005F1B15">
      <w:pPr>
        <w:spacing w:before="240" w:after="120"/>
        <w:jc w:val="center"/>
        <w:rPr>
          <w:rFonts w:ascii="Times New Roman" w:hAnsi="Times New Roman"/>
          <w:sz w:val="24"/>
          <w:szCs w:val="24"/>
        </w:rPr>
      </w:pPr>
      <w:r>
        <w:rPr>
          <w:rFonts w:ascii="Times New Roman" w:hAnsi="Times New Roman"/>
          <w:sz w:val="24"/>
          <w:szCs w:val="24"/>
        </w:rPr>
        <w:t>(2024)</w:t>
      </w:r>
    </w:p>
    <w:p w14:paraId="12FDA7D3" w14:textId="74E9E971" w:rsidR="005F1B15" w:rsidRDefault="005F1B15" w:rsidP="005F1B15">
      <w:pPr>
        <w:spacing w:before="240" w:after="120"/>
        <w:jc w:val="center"/>
        <w:rPr>
          <w:rFonts w:ascii="Times New Roman" w:hAnsi="Times New Roman"/>
          <w:sz w:val="24"/>
          <w:szCs w:val="24"/>
        </w:rPr>
      </w:pPr>
    </w:p>
    <w:p w14:paraId="4CAD81F8" w14:textId="77777777" w:rsidR="005F1B15" w:rsidRDefault="005F1B15" w:rsidP="005F1B15">
      <w:pPr>
        <w:spacing w:before="240" w:after="120"/>
        <w:jc w:val="center"/>
        <w:rPr>
          <w:rFonts w:ascii="Times New Roman" w:hAnsi="Times New Roman"/>
          <w:sz w:val="24"/>
          <w:szCs w:val="24"/>
        </w:rPr>
      </w:pPr>
    </w:p>
    <w:p w14:paraId="3263B3E1" w14:textId="6FD13AE5" w:rsidR="005F1B15" w:rsidRDefault="005F1B15" w:rsidP="005F1B15">
      <w:pPr>
        <w:spacing w:before="240" w:after="120"/>
        <w:jc w:val="both"/>
        <w:rPr>
          <w:rFonts w:ascii="Times New Roman" w:hAnsi="Times New Roman"/>
          <w:b/>
          <w:sz w:val="24"/>
          <w:szCs w:val="24"/>
        </w:rPr>
      </w:pPr>
      <w:r w:rsidRPr="005F1B15">
        <w:rPr>
          <w:rFonts w:ascii="Times New Roman" w:hAnsi="Times New Roman"/>
          <w:b/>
          <w:sz w:val="24"/>
          <w:szCs w:val="24"/>
        </w:rPr>
        <w:t>Brief summary</w:t>
      </w:r>
    </w:p>
    <w:p w14:paraId="1DDD2CB1" w14:textId="77777777" w:rsidR="005F1B15" w:rsidRPr="005F1B15" w:rsidRDefault="005F1B15" w:rsidP="005F1B15">
      <w:pPr>
        <w:spacing w:before="240" w:after="120"/>
        <w:jc w:val="both"/>
        <w:rPr>
          <w:rFonts w:ascii="Times New Roman" w:hAnsi="Times New Roman"/>
          <w:sz w:val="24"/>
          <w:szCs w:val="24"/>
        </w:rPr>
      </w:pPr>
      <w:r w:rsidRPr="005F1B15">
        <w:rPr>
          <w:rFonts w:ascii="Times New Roman" w:hAnsi="Times New Roman"/>
          <w:sz w:val="24"/>
          <w:szCs w:val="24"/>
        </w:rPr>
        <w:t xml:space="preserve">Initial process for drafting the National Energy and Climate Plan (NECP) Kosovo has started in 2020-2021. However, the process was put on hold pending the adoption of new 2030 targets at the Energy Community level. To align with these commitments, the Kosovo Government adopted a new Energy Strategy for the period 2022-2031 that sets the long-term strategic targets on Energy Efficiency, renewable energy, and Greenhouse gas emission. The energy strategy is ambitious, it sets the objectives for decarbonization and aligns with regional agreements and EU targets discussed and agreed in the Ministerial Council of the Energy Community. </w:t>
      </w:r>
    </w:p>
    <w:p w14:paraId="49085672" w14:textId="77777777" w:rsidR="005F1B15" w:rsidRPr="005F1B15" w:rsidRDefault="005F1B15" w:rsidP="005F1B15">
      <w:pPr>
        <w:spacing w:before="240" w:after="120"/>
        <w:jc w:val="both"/>
        <w:rPr>
          <w:rFonts w:ascii="Times New Roman" w:hAnsi="Times New Roman"/>
          <w:sz w:val="24"/>
          <w:szCs w:val="24"/>
        </w:rPr>
      </w:pPr>
      <w:r w:rsidRPr="005F1B15">
        <w:rPr>
          <w:rFonts w:ascii="Times New Roman" w:hAnsi="Times New Roman"/>
          <w:sz w:val="24"/>
          <w:szCs w:val="24"/>
        </w:rPr>
        <w:t xml:space="preserve">Kosovo adopted the program for implementation of Energy strategy 2022/2031 in September 2023, that includes a list of 5 strategic objectives: Improving system resilience, Decarbonization and promoting renewable energy, increasing energy efficiency, strengthening regional cooperation and market functioning, and protecting and empowering consumers. </w:t>
      </w:r>
    </w:p>
    <w:p w14:paraId="5FE92C94" w14:textId="2BAE3F59" w:rsidR="005F1B15" w:rsidRPr="005F1B15" w:rsidRDefault="005F1B15" w:rsidP="005F1B15">
      <w:pPr>
        <w:spacing w:before="240" w:after="120"/>
        <w:jc w:val="both"/>
        <w:rPr>
          <w:rFonts w:ascii="Times New Roman" w:hAnsi="Times New Roman"/>
          <w:sz w:val="24"/>
          <w:szCs w:val="24"/>
        </w:rPr>
      </w:pPr>
      <w:r w:rsidRPr="005F1B15">
        <w:rPr>
          <w:rFonts w:ascii="Times New Roman" w:hAnsi="Times New Roman"/>
          <w:sz w:val="24"/>
          <w:szCs w:val="24"/>
        </w:rPr>
        <w:t xml:space="preserve">These strategic objectives are translated into 15 specific objectives and </w:t>
      </w:r>
      <w:r w:rsidR="00D679F6">
        <w:rPr>
          <w:rFonts w:ascii="Times New Roman" w:hAnsi="Times New Roman"/>
          <w:sz w:val="24"/>
          <w:szCs w:val="24"/>
        </w:rPr>
        <w:t>7</w:t>
      </w:r>
      <w:r w:rsidRPr="005F1B15">
        <w:rPr>
          <w:rFonts w:ascii="Times New Roman" w:hAnsi="Times New Roman"/>
          <w:sz w:val="24"/>
          <w:szCs w:val="24"/>
        </w:rPr>
        <w:t xml:space="preserve">0 measures for implementation, and a progress will be monitored through annual progress report. The NECP builds up on Energy strategy Objectives, policies and measures, and is aligned with the latest strategic and regulatory documents adopted by Kosovo Government.  This comprehensive approach ensures that Kosovo's energy policies are consistent with broader regional and European goals, fostering regional cooperation and integration within Western Balkan energy network.  </w:t>
      </w:r>
    </w:p>
    <w:p w14:paraId="0F600974" w14:textId="77777777" w:rsidR="005F1B15" w:rsidRPr="005F1B15" w:rsidRDefault="005F1B15" w:rsidP="005F1B15">
      <w:pPr>
        <w:spacing w:before="240" w:after="120"/>
        <w:jc w:val="both"/>
        <w:rPr>
          <w:rFonts w:ascii="Times New Roman" w:hAnsi="Times New Roman"/>
          <w:sz w:val="24"/>
          <w:szCs w:val="24"/>
        </w:rPr>
      </w:pPr>
      <w:r w:rsidRPr="005F1B15">
        <w:rPr>
          <w:rFonts w:ascii="Times New Roman" w:hAnsi="Times New Roman"/>
          <w:sz w:val="24"/>
          <w:szCs w:val="24"/>
        </w:rPr>
        <w:t xml:space="preserve">Being that Kosovo is not a signatory party to the United Nations Framework Convention on Climate Change (UNFCCC), in January 2024 have adopted for the first time the Law on Climate Change, delineating the duties and responsibilities of state authorities in mitigating the effects of climate change, coordinating and monitoring their outcomes, and fulfilling obligations outlined in international agreements binding for Kosovo. </w:t>
      </w:r>
    </w:p>
    <w:p w14:paraId="725758E4" w14:textId="77777777" w:rsidR="005F1B15" w:rsidRPr="005F1B15" w:rsidRDefault="005F1B15" w:rsidP="005F1B15">
      <w:pPr>
        <w:spacing w:before="240" w:after="120"/>
        <w:jc w:val="both"/>
        <w:rPr>
          <w:rFonts w:ascii="Times New Roman" w:hAnsi="Times New Roman"/>
          <w:sz w:val="24"/>
          <w:szCs w:val="24"/>
        </w:rPr>
      </w:pPr>
      <w:r w:rsidRPr="005F1B15">
        <w:rPr>
          <w:rFonts w:ascii="Times New Roman" w:hAnsi="Times New Roman"/>
          <w:sz w:val="24"/>
          <w:szCs w:val="24"/>
        </w:rPr>
        <w:t>The law on Climate change establishes the legal framework for the NECP, along with the corresponding monitoring reporting mechanisms. It sets the legal basis for developing voluntary Nationally Determined Contributions (NDC). Over the years, progress is made in developing a greenhouse gas (GHG) inventory, and in adoption of The Climate Change Strategy 2018-2027 and the Climate Change Action Plan, 2019-2021. With the Law on Climate Change in force, Kosovo has established a robust regulatory framework for a national GHG emissions reporting system, this is a significant development to further strengthen existing initiatives to address climate issues.</w:t>
      </w:r>
    </w:p>
    <w:p w14:paraId="1BFA140C" w14:textId="77777777" w:rsidR="005F1B15" w:rsidRPr="005F1B15" w:rsidRDefault="005F1B15" w:rsidP="005F1B15">
      <w:pPr>
        <w:spacing w:before="240" w:after="120"/>
        <w:jc w:val="both"/>
        <w:rPr>
          <w:rFonts w:ascii="Times New Roman" w:hAnsi="Times New Roman"/>
          <w:sz w:val="24"/>
          <w:szCs w:val="24"/>
        </w:rPr>
      </w:pPr>
      <w:r w:rsidRPr="005F1B15">
        <w:rPr>
          <w:rFonts w:ascii="Times New Roman" w:hAnsi="Times New Roman"/>
          <w:sz w:val="24"/>
          <w:szCs w:val="24"/>
        </w:rPr>
        <w:t xml:space="preserve">Moreover in 2024, Kosovo have adopted the new Law on Renewables, aiming to significantly boost the utilization of renewable energy sources across various sectors. Specifically, we are targeting the expansion of renewable energy sources in electricity generation, promoting cogeneration in the heating and cooling sector, and encouraging the integration of renewable </w:t>
      </w:r>
      <w:r w:rsidRPr="005F1B15">
        <w:rPr>
          <w:rFonts w:ascii="Times New Roman" w:hAnsi="Times New Roman"/>
          <w:sz w:val="24"/>
          <w:szCs w:val="24"/>
        </w:rPr>
        <w:lastRenderedPageBreak/>
        <w:t>energy in the transport sector. This legislative milestone demonstrates our commitment to transitioning towards a more sustainable and environmentally friendly energy landscape.</w:t>
      </w:r>
    </w:p>
    <w:p w14:paraId="48CD6425" w14:textId="01BD9EB6" w:rsidR="005F1B15" w:rsidRDefault="005F1B15" w:rsidP="005F1B15">
      <w:pPr>
        <w:spacing w:before="240" w:after="120"/>
        <w:jc w:val="both"/>
        <w:rPr>
          <w:rFonts w:ascii="Times New Roman" w:hAnsi="Times New Roman"/>
          <w:sz w:val="24"/>
          <w:szCs w:val="24"/>
        </w:rPr>
      </w:pPr>
      <w:r w:rsidRPr="005F1B15">
        <w:rPr>
          <w:rFonts w:ascii="Times New Roman" w:hAnsi="Times New Roman"/>
          <w:sz w:val="24"/>
          <w:szCs w:val="24"/>
        </w:rPr>
        <w:t>The actions listed in the NECP demonstrate Kosovo dedication and commitment that transformation of the energy sector is interlinked with social justice. Citizens will be central to this transformative energy future, ensuring they have access to affordable energy and opportunities to actively participate in the sector, including through production and self-consumption. Special support will be provided to the most vulnerable groups, helping them benefit from initiatives such social support schemes, or support programs for reducing the burden on the affordability on access to energy, to ensure the transparency Kosovo is committed to Develop a legal definition for vulnerable customers and establish a comprehensive registry of vulnerable costumers.</w:t>
      </w:r>
    </w:p>
    <w:p w14:paraId="2D93A998" w14:textId="77777777" w:rsidR="005F1B15" w:rsidRPr="005F1B15" w:rsidRDefault="005F1B15" w:rsidP="005F1B15">
      <w:pPr>
        <w:spacing w:before="240" w:after="120"/>
        <w:jc w:val="both"/>
        <w:rPr>
          <w:rFonts w:ascii="Times New Roman" w:hAnsi="Times New Roman"/>
          <w:sz w:val="24"/>
          <w:szCs w:val="24"/>
        </w:rPr>
      </w:pPr>
      <w:r w:rsidRPr="005F1B15">
        <w:rPr>
          <w:rFonts w:ascii="Times New Roman" w:hAnsi="Times New Roman"/>
          <w:sz w:val="24"/>
          <w:szCs w:val="24"/>
        </w:rPr>
        <w:t xml:space="preserve">The foundation for the future of Kosovo's energy and climate decarbonization set in the NECP is aligned with Kosovo Energy strategy and its main and specific objectives. These objectives are elaborated and modeled using existing policies and measures (WEM - With Existing Measures) and additional policies and measures (WAM - With Additional Measures), which will contribute to achieving the national targets outlined in the Energy Strategy until 2031 and agreed at energy community level.  </w:t>
      </w:r>
    </w:p>
    <w:p w14:paraId="14DDFD25" w14:textId="77777777" w:rsidR="005F1B15" w:rsidRPr="005F1B15" w:rsidRDefault="005F1B15" w:rsidP="005F1B15">
      <w:pPr>
        <w:spacing w:before="240" w:after="120"/>
        <w:jc w:val="both"/>
        <w:rPr>
          <w:rFonts w:ascii="Times New Roman" w:hAnsi="Times New Roman"/>
          <w:sz w:val="24"/>
          <w:szCs w:val="24"/>
        </w:rPr>
      </w:pPr>
      <w:r w:rsidRPr="005F1B15">
        <w:rPr>
          <w:rFonts w:ascii="Times New Roman" w:hAnsi="Times New Roman"/>
          <w:sz w:val="24"/>
          <w:szCs w:val="24"/>
        </w:rPr>
        <w:t>The existing and additional policies and measures (WEM and WAM) set the framework that ensures security of electricity supply, promotes clean energy, enhances energy efficiency, and encourages active citizen participation and support for vulnerable groups.</w:t>
      </w:r>
    </w:p>
    <w:p w14:paraId="23452E83" w14:textId="77777777" w:rsidR="005F1B15" w:rsidRPr="005F1B15" w:rsidRDefault="005F1B15" w:rsidP="005F1B15">
      <w:pPr>
        <w:spacing w:before="240" w:after="120"/>
        <w:jc w:val="both"/>
        <w:rPr>
          <w:rFonts w:ascii="Times New Roman" w:hAnsi="Times New Roman"/>
          <w:sz w:val="24"/>
          <w:szCs w:val="24"/>
        </w:rPr>
      </w:pPr>
      <w:r w:rsidRPr="005F1B15">
        <w:rPr>
          <w:rFonts w:ascii="Times New Roman" w:hAnsi="Times New Roman"/>
          <w:sz w:val="24"/>
          <w:szCs w:val="24"/>
        </w:rPr>
        <w:t xml:space="preserve">The impact of the policies and measure are modeled using the LEAP (Low Emissions Analysis Platform) software, with a model specifically developed for Kosovo, and is conducted as iterative process considering the scope and intensity of each PAM to meet national agreed targets. </w:t>
      </w:r>
    </w:p>
    <w:p w14:paraId="301628AA" w14:textId="77777777" w:rsidR="005F1B15" w:rsidRPr="005F1B15" w:rsidRDefault="005F1B15" w:rsidP="005F1B15">
      <w:pPr>
        <w:spacing w:before="240" w:after="120"/>
        <w:jc w:val="both"/>
        <w:rPr>
          <w:rFonts w:ascii="Times New Roman" w:hAnsi="Times New Roman"/>
          <w:sz w:val="24"/>
          <w:szCs w:val="24"/>
        </w:rPr>
      </w:pPr>
      <w:r w:rsidRPr="005F1B15">
        <w:rPr>
          <w:rFonts w:ascii="Times New Roman" w:hAnsi="Times New Roman"/>
          <w:sz w:val="24"/>
          <w:szCs w:val="24"/>
        </w:rPr>
        <w:t xml:space="preserve">Throughout the NECP drafting process, the Policy Guidelines of the Energy Community Secretariat on the development of NECPs, and its comments, along with other relevant regulations and directives pertaining to the five dimensions of the NECP were followed as guiding principles. </w:t>
      </w:r>
    </w:p>
    <w:p w14:paraId="5D22C9C3" w14:textId="77777777" w:rsidR="005F1B15" w:rsidRPr="005F1B15" w:rsidRDefault="005F1B15" w:rsidP="005F1B15">
      <w:pPr>
        <w:spacing w:before="240" w:after="120"/>
        <w:jc w:val="both"/>
        <w:rPr>
          <w:rFonts w:ascii="Times New Roman" w:hAnsi="Times New Roman"/>
          <w:sz w:val="24"/>
          <w:szCs w:val="24"/>
        </w:rPr>
      </w:pPr>
      <w:r w:rsidRPr="005F1B15">
        <w:rPr>
          <w:rFonts w:ascii="Times New Roman" w:hAnsi="Times New Roman"/>
          <w:sz w:val="24"/>
          <w:szCs w:val="24"/>
        </w:rPr>
        <w:t>Within decarbonisation dimension of the NECP, Kosovo is committed to implement policies and measures across all sectors in order to reduce GHG emissions and increase the share of RES in the gross final energy consumption in a sustainable manner. The majority of GHG emissions in the country, around 87%, are generated by the combustion of fossil fuels in the energy sector, particularly in energy transformation, industry, and transportation. Therefore, a key objective is to promote the shift to low-carbon technologies in these sectors by increasing the use of RES in the energy generation mix, implementing energy efficiency measures in all sectors, and gradually phasing out the use of fossil fuels.</w:t>
      </w:r>
    </w:p>
    <w:p w14:paraId="1AA32D09" w14:textId="77777777" w:rsidR="005F1B15" w:rsidRPr="005F1B15" w:rsidRDefault="005F1B15" w:rsidP="005F1B15">
      <w:pPr>
        <w:spacing w:before="240" w:after="120"/>
        <w:jc w:val="both"/>
        <w:rPr>
          <w:rFonts w:ascii="Times New Roman" w:hAnsi="Times New Roman"/>
          <w:sz w:val="24"/>
          <w:szCs w:val="24"/>
        </w:rPr>
      </w:pPr>
      <w:r w:rsidRPr="005F1B15">
        <w:rPr>
          <w:rFonts w:ascii="Times New Roman" w:hAnsi="Times New Roman"/>
          <w:sz w:val="24"/>
          <w:szCs w:val="24"/>
        </w:rPr>
        <w:t xml:space="preserve">The analysis conducted and the impact assessment in this plan serves as a fundamental basis, but it does not consider the implementation of carbon pricing. However, some sensitivity analyses were conducted using different carbon prices to show the impacts. It was decided that </w:t>
      </w:r>
      <w:r w:rsidRPr="005F1B15">
        <w:rPr>
          <w:rFonts w:ascii="Times New Roman" w:hAnsi="Times New Roman"/>
          <w:sz w:val="24"/>
          <w:szCs w:val="24"/>
        </w:rPr>
        <w:lastRenderedPageBreak/>
        <w:t xml:space="preserve">additional analyses should be carried out, including an assessment of the effects of the introduction of a Carbon Border Adjustment Mechanism (CBAM) by the European Union on the Republic of Kosovo. These activities have already started, with a CBAM Study being developed by an intra-governmental Working Group together with International Monetary Fund (IMF). </w:t>
      </w:r>
    </w:p>
    <w:p w14:paraId="01037B07" w14:textId="77777777" w:rsidR="005F1B15" w:rsidRPr="005F1B15" w:rsidRDefault="005F1B15" w:rsidP="005F1B15">
      <w:pPr>
        <w:spacing w:before="240" w:after="120"/>
        <w:jc w:val="both"/>
        <w:rPr>
          <w:rFonts w:ascii="Times New Roman" w:hAnsi="Times New Roman"/>
          <w:sz w:val="24"/>
          <w:szCs w:val="24"/>
        </w:rPr>
      </w:pPr>
      <w:r w:rsidRPr="005F1B15">
        <w:rPr>
          <w:rFonts w:ascii="Times New Roman" w:hAnsi="Times New Roman"/>
          <w:sz w:val="24"/>
          <w:szCs w:val="24"/>
        </w:rPr>
        <w:t xml:space="preserve">On Renewable energy Kosovo target is to increase the share of RES in electricity consumption to 35% by 2031 from the 6.3% present in 2021. Besides the topic of renewable energy sources, the Decarbonization dimension includes GHG emissions as well as policies and measures related to non-energy sectors. The GHG targets adopted for 2030 in absolute terms are 8.95 Mt CO2-eq or a 16.3% reduction compared to 2016 GHG levels, this ensures a comprehensive approach to address emissions reduction and sustainability across all sectors of the economy.  </w:t>
      </w:r>
    </w:p>
    <w:p w14:paraId="7D937D54" w14:textId="77777777" w:rsidR="005F1B15" w:rsidRPr="005F1B15" w:rsidRDefault="005F1B15" w:rsidP="005F1B15">
      <w:pPr>
        <w:spacing w:before="240" w:after="120"/>
        <w:jc w:val="both"/>
        <w:rPr>
          <w:rFonts w:ascii="Times New Roman" w:hAnsi="Times New Roman"/>
          <w:sz w:val="24"/>
          <w:szCs w:val="24"/>
        </w:rPr>
      </w:pPr>
      <w:r w:rsidRPr="005F1B15">
        <w:rPr>
          <w:rFonts w:ascii="Times New Roman" w:hAnsi="Times New Roman"/>
          <w:sz w:val="24"/>
          <w:szCs w:val="24"/>
        </w:rPr>
        <w:t>Energy efficiency first principle is introduced in the NECP as part of the energy efficiency dimension, taking utmost account of cost-efficient energy efficiency measures in shaping energy policy and making relevant investment decisions. Kosovo target is aligned with Decision 2022/02/MC-EnC adopted by the Energy Community Ministerial Council, in relation to the primary energy consumption in 2030 is 2.7 Mtoe, while for the final energy consumption, it is 1.8 Mtoe. The majority of measures within this dimension focus on building renovations aimed at improving energy efficiency. However, there are also measures pertaining to other sectors, such as the transport sector.</w:t>
      </w:r>
    </w:p>
    <w:p w14:paraId="1E3BEBCA" w14:textId="77777777" w:rsidR="005F1B15" w:rsidRPr="005F1B15" w:rsidRDefault="005F1B15" w:rsidP="005F1B15">
      <w:pPr>
        <w:spacing w:before="240" w:after="120"/>
        <w:jc w:val="both"/>
        <w:rPr>
          <w:rFonts w:ascii="Times New Roman" w:hAnsi="Times New Roman"/>
          <w:sz w:val="24"/>
          <w:szCs w:val="24"/>
        </w:rPr>
      </w:pPr>
      <w:r w:rsidRPr="005F1B15">
        <w:rPr>
          <w:rFonts w:ascii="Times New Roman" w:hAnsi="Times New Roman"/>
          <w:sz w:val="24"/>
          <w:szCs w:val="24"/>
        </w:rPr>
        <w:t xml:space="preserve">With regard to energy security, the NECP is based mainly on the targets and policies contained in the National Energy Strategy (2022-2031), with its key objectives. In terms of a balance between electricity production and electricity consumption, Kosovo is similar to the other countries of the region. However, the problems Kosovo faces are linked with securing required capacities to cover peak demand, especially in winter, and in meeting the reserve capacity requirement of the power systems. The storge system is in the focus to support the energy security, the technological approach is to help stabilize the fluctuating frequency of electricity, shift load and help the integration of renewable generation. The risk preparedness in the electricity sector is part energy security.  </w:t>
      </w:r>
    </w:p>
    <w:p w14:paraId="7BD17587" w14:textId="77777777" w:rsidR="005F1B15" w:rsidRPr="005F1B15" w:rsidRDefault="005F1B15" w:rsidP="005F1B15">
      <w:pPr>
        <w:spacing w:before="240" w:after="120"/>
        <w:jc w:val="both"/>
        <w:rPr>
          <w:rFonts w:ascii="Times New Roman" w:hAnsi="Times New Roman"/>
          <w:sz w:val="24"/>
          <w:szCs w:val="24"/>
        </w:rPr>
      </w:pPr>
      <w:r w:rsidRPr="005F1B15">
        <w:rPr>
          <w:rFonts w:ascii="Times New Roman" w:hAnsi="Times New Roman"/>
          <w:sz w:val="24"/>
          <w:szCs w:val="24"/>
        </w:rPr>
        <w:t xml:space="preserve">Market liberalization and regional integration are expected to ensure mitigation effects in terms of the supply problem, albeit there being significant challenges to be addressed in order to ensure a sustainable electricity supply. </w:t>
      </w:r>
    </w:p>
    <w:p w14:paraId="2D96B162" w14:textId="77777777" w:rsidR="005F1B15" w:rsidRPr="005F1B15" w:rsidRDefault="005F1B15" w:rsidP="005F1B15">
      <w:pPr>
        <w:spacing w:before="240" w:after="120"/>
        <w:jc w:val="both"/>
        <w:rPr>
          <w:rFonts w:ascii="Times New Roman" w:hAnsi="Times New Roman"/>
          <w:sz w:val="24"/>
          <w:szCs w:val="24"/>
        </w:rPr>
      </w:pPr>
      <w:r w:rsidRPr="005F1B15">
        <w:rPr>
          <w:rFonts w:ascii="Times New Roman" w:hAnsi="Times New Roman"/>
          <w:sz w:val="24"/>
          <w:szCs w:val="24"/>
        </w:rPr>
        <w:t>In the internal energy market dimension, the level of power system interconnectivity is one of the basic preconditions for electricity market development and integration. EU Member States aim at the new target of 15% of the peak load to be installed in interconnection capacities by 2030. However, Kosovo, is already beyond this target, with the installed interconnection capacity being several times higher than the system peak load. Moreover, Kosovo is among the top three countries in Europe regarding both the ratio between interconnection capacities and installed production capacities, as well as the ratio between interconnection capacities and peak load.</w:t>
      </w:r>
    </w:p>
    <w:p w14:paraId="091FC177" w14:textId="77777777" w:rsidR="005F1B15" w:rsidRPr="005F1B15" w:rsidRDefault="005F1B15" w:rsidP="005F1B15">
      <w:pPr>
        <w:spacing w:before="240" w:after="120"/>
        <w:jc w:val="both"/>
        <w:rPr>
          <w:rFonts w:ascii="Times New Roman" w:hAnsi="Times New Roman"/>
          <w:sz w:val="24"/>
          <w:szCs w:val="24"/>
        </w:rPr>
      </w:pPr>
      <w:r w:rsidRPr="005F1B15">
        <w:rPr>
          <w:rFonts w:ascii="Times New Roman" w:hAnsi="Times New Roman"/>
          <w:sz w:val="24"/>
          <w:szCs w:val="24"/>
        </w:rPr>
        <w:lastRenderedPageBreak/>
        <w:t>One of the key objectives of Kosovo was to establish an operationalize the electricity market through ALPEX. This objective was realized with ALPEX’s operation (Go Live) of the day-ahead market (DAM) for Kosovo’s trading zone on January 31, 2024, marking at the same time a coupled market with Albania’s trading zone. Notably, this also marks the first ever day-ahead market coupling in the Energy Community. With full operation of the DAM in both markets, along with adequate interconnection capacity between these countries (the 400 kV and the 220 kV overhead line providing 1500 MVA of installed interconnection capacity and 400 MW of NTC, with a possibility to be increased to 600 MW), there will be no congestions most of the time, meaning no price difference between Kosovo and Albania. In the timeframe covered by the NECP, the markets of Albania and Kosovo are expected to further couple regionally , as a part of regional initiatives led by the Energy Community as well as by different groups of countries (such as Kosovo, Albania and North Macedonia) and thus eventually result with negligible wholesale price differentials within the region, pending a resolution of the dispute settlement procedure on the non-allocation of capacity on interconnectors between Kosovo and Serbia (case number ECS-2/21) and an agreement with the Serbian TSO. An additional argument for this is the high level of installed capacities in the region.</w:t>
      </w:r>
    </w:p>
    <w:p w14:paraId="627E5733" w14:textId="5CC182A0" w:rsidR="005F1B15" w:rsidRDefault="005F1B15" w:rsidP="005F1B15">
      <w:pPr>
        <w:spacing w:before="240" w:after="120"/>
        <w:jc w:val="both"/>
        <w:rPr>
          <w:rFonts w:ascii="Times New Roman" w:hAnsi="Times New Roman"/>
          <w:sz w:val="24"/>
          <w:szCs w:val="24"/>
        </w:rPr>
      </w:pPr>
      <w:r w:rsidRPr="005F1B15">
        <w:rPr>
          <w:rFonts w:ascii="Times New Roman" w:hAnsi="Times New Roman"/>
          <w:sz w:val="24"/>
          <w:szCs w:val="24"/>
        </w:rPr>
        <w:t>The fifth dimension, research, innovation and competitiveness, has also been addressed in the NECP. Kosovo is working towards developing its research, innovation, and competitiveness system, aiming to enhance its capabilities in these areas.  According to the Law No. 04/l-135 on scientific research activities Kosovo is committed to allocating at least €14 million annually for science and innovation. Kosovo's objective is to establish a research and innovation system capable of identifying the most suitable technologies that its industries need to implement, staying abreast of technological advancements, and discovering inventive approaches to effectively integrate the most viable technologies. The increase of green jobs is in the focus of the government for the time of the NECP.</w:t>
      </w:r>
    </w:p>
    <w:p w14:paraId="06BD226C" w14:textId="4DA68D29" w:rsidR="005F1B15" w:rsidRPr="00B21F39" w:rsidRDefault="005F1B15" w:rsidP="00B21F39">
      <w:pPr>
        <w:jc w:val="both"/>
        <w:rPr>
          <w:rFonts w:ascii="Times New Roman" w:hAnsi="Times New Roman"/>
          <w:b/>
          <w:sz w:val="24"/>
          <w:szCs w:val="24"/>
        </w:rPr>
      </w:pPr>
      <w:r w:rsidRPr="00B21F39">
        <w:rPr>
          <w:rFonts w:ascii="Times New Roman" w:hAnsi="Times New Roman"/>
          <w:b/>
          <w:sz w:val="24"/>
          <w:szCs w:val="24"/>
        </w:rPr>
        <w:t>Purpose of Consultation</w:t>
      </w:r>
    </w:p>
    <w:p w14:paraId="230073B4" w14:textId="3C6E59B8" w:rsidR="005F1B15" w:rsidRPr="005F1B15" w:rsidRDefault="00B21F39" w:rsidP="005F1B15">
      <w:pPr>
        <w:spacing w:before="240" w:after="120"/>
        <w:jc w:val="both"/>
        <w:rPr>
          <w:rFonts w:ascii="Times New Roman" w:hAnsi="Times New Roman"/>
          <w:sz w:val="24"/>
          <w:szCs w:val="24"/>
        </w:rPr>
      </w:pPr>
      <w:r w:rsidRPr="00B21F39">
        <w:rPr>
          <w:rFonts w:ascii="Times New Roman" w:hAnsi="Times New Roman"/>
          <w:sz w:val="24"/>
          <w:szCs w:val="24"/>
        </w:rPr>
        <w:t>The purpose of the consultation is to involve as much as possible all stakeholders. After drafting the initial draft by the responsible official according to the Government's Work Regulations, the draft has been sent for preliminary consultation to all institutions that may be affected by the Drafting of the National Energy and Climate Plan 2025-2030.</w:t>
      </w:r>
    </w:p>
    <w:p w14:paraId="46890ACC" w14:textId="4ED68DC8" w:rsidR="005F1B15" w:rsidRDefault="00B21F39" w:rsidP="005F1B15">
      <w:pPr>
        <w:spacing w:after="0"/>
        <w:jc w:val="both"/>
        <w:rPr>
          <w:rFonts w:ascii="Times New Roman" w:hAnsi="Times New Roman"/>
          <w:sz w:val="24"/>
          <w:szCs w:val="24"/>
        </w:rPr>
      </w:pPr>
      <w:r w:rsidRPr="00B21F39">
        <w:rPr>
          <w:rFonts w:ascii="Times New Roman" w:hAnsi="Times New Roman"/>
          <w:sz w:val="24"/>
          <w:szCs w:val="24"/>
        </w:rPr>
        <w:t>The phase of consultation with the public through various methods, including the electronic platform for public consultations and meetings directly with interested parties, if the need arises, will include all institutions and categories of society, whether those with influence and/or high interest or those of who, due to their characteristics, can contribute to the review of the provisions of this Drafting of the National Energy and Climate Plan 2025-2030.</w:t>
      </w:r>
    </w:p>
    <w:p w14:paraId="71F23F76" w14:textId="77777777" w:rsidR="00B21F39" w:rsidRDefault="00B21F39" w:rsidP="005F1B15">
      <w:pPr>
        <w:spacing w:after="0"/>
        <w:jc w:val="both"/>
        <w:rPr>
          <w:rFonts w:ascii="Times New Roman" w:hAnsi="Times New Roman"/>
          <w:sz w:val="24"/>
          <w:szCs w:val="24"/>
        </w:rPr>
      </w:pPr>
    </w:p>
    <w:p w14:paraId="180A0162" w14:textId="701D924D" w:rsidR="00B21F39" w:rsidRDefault="00B21F39" w:rsidP="005F1B15">
      <w:pPr>
        <w:spacing w:after="0"/>
        <w:jc w:val="both"/>
        <w:rPr>
          <w:rFonts w:ascii="Times New Roman" w:hAnsi="Times New Roman"/>
          <w:sz w:val="24"/>
          <w:szCs w:val="24"/>
        </w:rPr>
      </w:pPr>
      <w:r w:rsidRPr="00B21F39">
        <w:rPr>
          <w:rFonts w:ascii="Times New Roman" w:hAnsi="Times New Roman"/>
          <w:sz w:val="24"/>
          <w:szCs w:val="24"/>
        </w:rPr>
        <w:t>Comments and recommendations for the Drafting of the National Energy and Climate Plan 2025-2030 can be provided for each Strategic Objective through the Electronic Platform for consultations in the section where general and specific comments are provided.</w:t>
      </w:r>
    </w:p>
    <w:p w14:paraId="3982917A" w14:textId="37B5CD0C" w:rsidR="00B21F39" w:rsidRDefault="00B21F39" w:rsidP="005F1B15">
      <w:pPr>
        <w:spacing w:after="0"/>
        <w:jc w:val="both"/>
        <w:rPr>
          <w:rFonts w:ascii="Times New Roman" w:hAnsi="Times New Roman"/>
          <w:sz w:val="24"/>
          <w:szCs w:val="24"/>
        </w:rPr>
      </w:pPr>
    </w:p>
    <w:p w14:paraId="54882198" w14:textId="028C9854" w:rsidR="00B21F39" w:rsidRDefault="00B21F39" w:rsidP="005F1B15">
      <w:pPr>
        <w:spacing w:after="0"/>
        <w:jc w:val="both"/>
        <w:rPr>
          <w:rFonts w:ascii="Times New Roman" w:hAnsi="Times New Roman"/>
          <w:sz w:val="24"/>
          <w:szCs w:val="24"/>
        </w:rPr>
      </w:pPr>
      <w:r w:rsidRPr="00B21F39">
        <w:rPr>
          <w:rFonts w:ascii="Times New Roman" w:hAnsi="Times New Roman"/>
          <w:sz w:val="24"/>
          <w:szCs w:val="24"/>
        </w:rPr>
        <w:lastRenderedPageBreak/>
        <w:t>After the finalization of the public consultation process for the Drafting of the National Energy and Climate Plan 2025-2030, it is planned that the contributions and comments received will be examined separately by the working group.</w:t>
      </w:r>
    </w:p>
    <w:p w14:paraId="66BC87FC" w14:textId="437F4C73" w:rsidR="00B21F39" w:rsidRDefault="00B21F39" w:rsidP="005F1B15">
      <w:pPr>
        <w:spacing w:after="0"/>
        <w:jc w:val="both"/>
        <w:rPr>
          <w:rFonts w:ascii="Times New Roman" w:hAnsi="Times New Roman"/>
          <w:sz w:val="24"/>
          <w:szCs w:val="24"/>
        </w:rPr>
      </w:pPr>
    </w:p>
    <w:p w14:paraId="05A4B5E4" w14:textId="387A1048" w:rsidR="00B21F39" w:rsidRDefault="00B21F39" w:rsidP="005F1B15">
      <w:pPr>
        <w:spacing w:after="0"/>
        <w:jc w:val="both"/>
        <w:rPr>
          <w:rFonts w:ascii="Times New Roman" w:hAnsi="Times New Roman"/>
          <w:sz w:val="24"/>
          <w:szCs w:val="24"/>
        </w:rPr>
      </w:pPr>
      <w:r w:rsidRPr="00B21F39">
        <w:rPr>
          <w:rFonts w:ascii="Times New Roman" w:hAnsi="Times New Roman"/>
          <w:sz w:val="24"/>
          <w:szCs w:val="24"/>
        </w:rPr>
        <w:t>The contribution of the public, or civil society organizations, internal and external experts as well as individuals will be an important element in improving the quality of this Plan.</w:t>
      </w:r>
    </w:p>
    <w:p w14:paraId="3DCF7711" w14:textId="3909FA2F" w:rsidR="00B21F39" w:rsidRDefault="00B21F39" w:rsidP="005F1B15">
      <w:pPr>
        <w:spacing w:after="0"/>
        <w:jc w:val="both"/>
        <w:rPr>
          <w:rFonts w:ascii="Times New Roman" w:hAnsi="Times New Roman"/>
          <w:sz w:val="24"/>
          <w:szCs w:val="24"/>
        </w:rPr>
      </w:pPr>
    </w:p>
    <w:p w14:paraId="4ECFA887" w14:textId="762332BB" w:rsidR="00B21F39" w:rsidRDefault="00B21F39" w:rsidP="005F1B15">
      <w:pPr>
        <w:spacing w:after="0"/>
        <w:jc w:val="both"/>
        <w:rPr>
          <w:rFonts w:ascii="Times New Roman" w:hAnsi="Times New Roman"/>
          <w:sz w:val="24"/>
          <w:szCs w:val="24"/>
        </w:rPr>
      </w:pPr>
      <w:r w:rsidRPr="00B21F39">
        <w:rPr>
          <w:rFonts w:ascii="Times New Roman" w:hAnsi="Times New Roman"/>
          <w:sz w:val="24"/>
          <w:szCs w:val="24"/>
        </w:rPr>
        <w:t>As a result of the work of reviewing the contributions and recommendations of the consultation, the improved final draft of the National Energy and Climate Plan 2025-2030 will be drawn up. The Ministry of Environment, Spatial Planning and Infrastructure will draw up the Consultation Report which will include information on the consultation process, the parties consulted, the methods used during the consultation and detailed information about them, public participation in the consultation process and accepted comments.</w:t>
      </w:r>
    </w:p>
    <w:p w14:paraId="3F5E177C" w14:textId="3D127253" w:rsidR="00B21F39" w:rsidRDefault="00B21F39" w:rsidP="005F1B15">
      <w:pPr>
        <w:spacing w:after="0"/>
        <w:jc w:val="both"/>
        <w:rPr>
          <w:rFonts w:ascii="Times New Roman" w:hAnsi="Times New Roman"/>
          <w:sz w:val="24"/>
          <w:szCs w:val="24"/>
        </w:rPr>
      </w:pPr>
    </w:p>
    <w:p w14:paraId="07B8A23D" w14:textId="6DC1B11A" w:rsidR="00B21F39" w:rsidRDefault="00B21F39" w:rsidP="005F1B15">
      <w:pPr>
        <w:spacing w:after="0"/>
        <w:jc w:val="both"/>
        <w:rPr>
          <w:rFonts w:ascii="Times New Roman" w:hAnsi="Times New Roman"/>
          <w:sz w:val="24"/>
          <w:szCs w:val="24"/>
        </w:rPr>
      </w:pPr>
      <w:r w:rsidRPr="00B21F39">
        <w:rPr>
          <w:rFonts w:ascii="Times New Roman" w:hAnsi="Times New Roman"/>
          <w:sz w:val="24"/>
          <w:szCs w:val="24"/>
        </w:rPr>
        <w:t>The report will also provide information on each comment that was taken into account, clarifications and justifications for each comment that was not taken into account. The report will be accessible to the public as soon as possible after the completion of the consultation process and the finalization of the Drafting of the National Energy and Climate Plan 2025-2030.</w:t>
      </w:r>
    </w:p>
    <w:p w14:paraId="3AB42F0D" w14:textId="687600D5" w:rsidR="00B21F39" w:rsidRDefault="00B21F39" w:rsidP="005F1B15">
      <w:pPr>
        <w:spacing w:after="0"/>
        <w:jc w:val="both"/>
        <w:rPr>
          <w:rFonts w:ascii="Times New Roman" w:hAnsi="Times New Roman"/>
          <w:sz w:val="24"/>
          <w:szCs w:val="24"/>
        </w:rPr>
      </w:pPr>
    </w:p>
    <w:p w14:paraId="120AD2B5" w14:textId="23B50F7F" w:rsidR="00B21F39" w:rsidRPr="00B21F39" w:rsidRDefault="00B21F39" w:rsidP="005F1B15">
      <w:pPr>
        <w:spacing w:after="0"/>
        <w:jc w:val="both"/>
        <w:rPr>
          <w:rFonts w:ascii="Times New Roman" w:hAnsi="Times New Roman"/>
          <w:b/>
          <w:i/>
          <w:sz w:val="24"/>
          <w:szCs w:val="24"/>
        </w:rPr>
      </w:pPr>
      <w:r w:rsidRPr="00B21F39">
        <w:rPr>
          <w:rFonts w:ascii="Times New Roman" w:hAnsi="Times New Roman"/>
          <w:b/>
          <w:i/>
          <w:sz w:val="24"/>
          <w:szCs w:val="24"/>
        </w:rPr>
        <w:t>Deadline for submission of responses</w:t>
      </w:r>
    </w:p>
    <w:p w14:paraId="74203DAC" w14:textId="5F534784" w:rsidR="00B21F39" w:rsidRDefault="00B21F39" w:rsidP="005F1B15">
      <w:pPr>
        <w:spacing w:after="0"/>
        <w:jc w:val="both"/>
        <w:rPr>
          <w:rFonts w:ascii="Times New Roman" w:hAnsi="Times New Roman"/>
          <w:sz w:val="24"/>
          <w:szCs w:val="24"/>
        </w:rPr>
      </w:pPr>
    </w:p>
    <w:p w14:paraId="790B39B8" w14:textId="77777777" w:rsidR="006124F5" w:rsidRPr="00954E3A" w:rsidRDefault="006124F5" w:rsidP="006124F5">
      <w:pPr>
        <w:spacing w:after="0"/>
        <w:jc w:val="both"/>
        <w:rPr>
          <w:rFonts w:ascii="Times New Roman" w:hAnsi="Times New Roman"/>
          <w:sz w:val="24"/>
          <w:szCs w:val="24"/>
        </w:rPr>
      </w:pPr>
      <w:r w:rsidRPr="00954E3A">
        <w:rPr>
          <w:rFonts w:ascii="Times New Roman" w:hAnsi="Times New Roman"/>
          <w:sz w:val="24"/>
          <w:szCs w:val="24"/>
        </w:rPr>
        <w:t xml:space="preserve">The </w:t>
      </w:r>
      <w:proofErr w:type="spellStart"/>
      <w:r w:rsidRPr="00954E3A">
        <w:rPr>
          <w:rFonts w:ascii="Times New Roman" w:hAnsi="Times New Roman"/>
          <w:sz w:val="24"/>
          <w:szCs w:val="24"/>
        </w:rPr>
        <w:t>deadline</w:t>
      </w:r>
      <w:proofErr w:type="spellEnd"/>
      <w:r w:rsidRPr="00954E3A">
        <w:rPr>
          <w:rFonts w:ascii="Times New Roman" w:hAnsi="Times New Roman"/>
          <w:sz w:val="24"/>
          <w:szCs w:val="24"/>
        </w:rPr>
        <w:t xml:space="preserve"> </w:t>
      </w:r>
      <w:proofErr w:type="spellStart"/>
      <w:r w:rsidRPr="00954E3A">
        <w:rPr>
          <w:rFonts w:ascii="Times New Roman" w:hAnsi="Times New Roman"/>
          <w:sz w:val="24"/>
          <w:szCs w:val="24"/>
        </w:rPr>
        <w:t>for</w:t>
      </w:r>
      <w:proofErr w:type="spellEnd"/>
      <w:r w:rsidRPr="00954E3A">
        <w:rPr>
          <w:rFonts w:ascii="Times New Roman" w:hAnsi="Times New Roman"/>
          <w:sz w:val="24"/>
          <w:szCs w:val="24"/>
        </w:rPr>
        <w:t xml:space="preserve"> </w:t>
      </w:r>
      <w:proofErr w:type="spellStart"/>
      <w:r w:rsidRPr="00954E3A">
        <w:rPr>
          <w:rFonts w:ascii="Times New Roman" w:hAnsi="Times New Roman"/>
          <w:sz w:val="24"/>
          <w:szCs w:val="24"/>
        </w:rPr>
        <w:t>submitting</w:t>
      </w:r>
      <w:proofErr w:type="spellEnd"/>
      <w:r w:rsidRPr="00954E3A">
        <w:rPr>
          <w:rFonts w:ascii="Times New Roman" w:hAnsi="Times New Roman"/>
          <w:sz w:val="24"/>
          <w:szCs w:val="24"/>
        </w:rPr>
        <w:t xml:space="preserve"> </w:t>
      </w:r>
      <w:proofErr w:type="spellStart"/>
      <w:r w:rsidRPr="00954E3A">
        <w:rPr>
          <w:rFonts w:ascii="Times New Roman" w:hAnsi="Times New Roman"/>
          <w:sz w:val="24"/>
          <w:szCs w:val="24"/>
        </w:rPr>
        <w:t>written</w:t>
      </w:r>
      <w:proofErr w:type="spellEnd"/>
      <w:r w:rsidRPr="00954E3A">
        <w:rPr>
          <w:rFonts w:ascii="Times New Roman" w:hAnsi="Times New Roman"/>
          <w:sz w:val="24"/>
          <w:szCs w:val="24"/>
        </w:rPr>
        <w:t xml:space="preserve"> </w:t>
      </w:r>
      <w:proofErr w:type="spellStart"/>
      <w:r w:rsidRPr="00954E3A">
        <w:rPr>
          <w:rFonts w:ascii="Times New Roman" w:hAnsi="Times New Roman"/>
          <w:sz w:val="24"/>
          <w:szCs w:val="24"/>
        </w:rPr>
        <w:t>contributions</w:t>
      </w:r>
      <w:proofErr w:type="spellEnd"/>
      <w:r w:rsidRPr="00954E3A">
        <w:rPr>
          <w:rFonts w:ascii="Times New Roman" w:hAnsi="Times New Roman"/>
          <w:sz w:val="24"/>
          <w:szCs w:val="24"/>
        </w:rPr>
        <w:t xml:space="preserve"> </w:t>
      </w:r>
      <w:proofErr w:type="spellStart"/>
      <w:r w:rsidRPr="00954E3A">
        <w:rPr>
          <w:rFonts w:ascii="Times New Roman" w:hAnsi="Times New Roman"/>
          <w:sz w:val="24"/>
          <w:szCs w:val="24"/>
        </w:rPr>
        <w:t>within</w:t>
      </w:r>
      <w:proofErr w:type="spellEnd"/>
      <w:r w:rsidRPr="00954E3A">
        <w:rPr>
          <w:rFonts w:ascii="Times New Roman" w:hAnsi="Times New Roman"/>
          <w:sz w:val="24"/>
          <w:szCs w:val="24"/>
        </w:rPr>
        <w:t xml:space="preserve"> the </w:t>
      </w:r>
      <w:proofErr w:type="spellStart"/>
      <w:r w:rsidRPr="00954E3A">
        <w:rPr>
          <w:rFonts w:ascii="Times New Roman" w:hAnsi="Times New Roman"/>
          <w:sz w:val="24"/>
          <w:szCs w:val="24"/>
        </w:rPr>
        <w:t>framework</w:t>
      </w:r>
      <w:proofErr w:type="spellEnd"/>
      <w:r w:rsidRPr="00954E3A">
        <w:rPr>
          <w:rFonts w:ascii="Times New Roman" w:hAnsi="Times New Roman"/>
          <w:sz w:val="24"/>
          <w:szCs w:val="24"/>
        </w:rPr>
        <w:t xml:space="preserve"> </w:t>
      </w:r>
      <w:proofErr w:type="spellStart"/>
      <w:r w:rsidRPr="00954E3A">
        <w:rPr>
          <w:rFonts w:ascii="Times New Roman" w:hAnsi="Times New Roman"/>
          <w:sz w:val="24"/>
          <w:szCs w:val="24"/>
        </w:rPr>
        <w:t>of</w:t>
      </w:r>
      <w:proofErr w:type="spellEnd"/>
      <w:r w:rsidRPr="00954E3A">
        <w:rPr>
          <w:rFonts w:ascii="Times New Roman" w:hAnsi="Times New Roman"/>
          <w:sz w:val="24"/>
          <w:szCs w:val="24"/>
        </w:rPr>
        <w:t xml:space="preserve"> the </w:t>
      </w:r>
      <w:proofErr w:type="spellStart"/>
      <w:r w:rsidRPr="00954E3A">
        <w:rPr>
          <w:rFonts w:ascii="Times New Roman" w:hAnsi="Times New Roman"/>
          <w:sz w:val="24"/>
          <w:szCs w:val="24"/>
        </w:rPr>
        <w:t>consultation</w:t>
      </w:r>
      <w:proofErr w:type="spellEnd"/>
      <w:r w:rsidRPr="00954E3A">
        <w:rPr>
          <w:rFonts w:ascii="Times New Roman" w:hAnsi="Times New Roman"/>
          <w:sz w:val="24"/>
          <w:szCs w:val="24"/>
        </w:rPr>
        <w:t xml:space="preserve"> </w:t>
      </w:r>
      <w:proofErr w:type="spellStart"/>
      <w:r w:rsidRPr="00954E3A">
        <w:rPr>
          <w:rFonts w:ascii="Times New Roman" w:hAnsi="Times New Roman"/>
          <w:sz w:val="24"/>
          <w:szCs w:val="24"/>
        </w:rPr>
        <w:t>process</w:t>
      </w:r>
      <w:proofErr w:type="spellEnd"/>
      <w:r w:rsidRPr="00954E3A">
        <w:rPr>
          <w:rFonts w:ascii="Times New Roman" w:hAnsi="Times New Roman"/>
          <w:sz w:val="24"/>
          <w:szCs w:val="24"/>
        </w:rPr>
        <w:t xml:space="preserve"> </w:t>
      </w:r>
      <w:proofErr w:type="spellStart"/>
      <w:r w:rsidRPr="00954E3A">
        <w:rPr>
          <w:rFonts w:ascii="Times New Roman" w:hAnsi="Times New Roman"/>
          <w:sz w:val="24"/>
          <w:szCs w:val="24"/>
        </w:rPr>
        <w:t>for</w:t>
      </w:r>
      <w:proofErr w:type="spellEnd"/>
      <w:r w:rsidRPr="00954E3A">
        <w:rPr>
          <w:rFonts w:ascii="Times New Roman" w:hAnsi="Times New Roman"/>
          <w:sz w:val="24"/>
          <w:szCs w:val="24"/>
        </w:rPr>
        <w:t xml:space="preserve"> the </w:t>
      </w:r>
      <w:proofErr w:type="spellStart"/>
      <w:r w:rsidRPr="00954E3A">
        <w:rPr>
          <w:rFonts w:ascii="Times New Roman" w:hAnsi="Times New Roman"/>
          <w:sz w:val="24"/>
          <w:szCs w:val="24"/>
        </w:rPr>
        <w:t>National</w:t>
      </w:r>
      <w:proofErr w:type="spellEnd"/>
      <w:r w:rsidRPr="00954E3A">
        <w:rPr>
          <w:rFonts w:ascii="Times New Roman" w:hAnsi="Times New Roman"/>
          <w:sz w:val="24"/>
          <w:szCs w:val="24"/>
        </w:rPr>
        <w:t xml:space="preserve"> </w:t>
      </w:r>
      <w:proofErr w:type="spellStart"/>
      <w:r w:rsidRPr="00954E3A">
        <w:rPr>
          <w:rFonts w:ascii="Times New Roman" w:hAnsi="Times New Roman"/>
          <w:sz w:val="24"/>
          <w:szCs w:val="24"/>
        </w:rPr>
        <w:t>Energy</w:t>
      </w:r>
      <w:proofErr w:type="spellEnd"/>
      <w:r w:rsidRPr="00954E3A">
        <w:rPr>
          <w:rFonts w:ascii="Times New Roman" w:hAnsi="Times New Roman"/>
          <w:sz w:val="24"/>
          <w:szCs w:val="24"/>
        </w:rPr>
        <w:t xml:space="preserve"> </w:t>
      </w:r>
      <w:proofErr w:type="spellStart"/>
      <w:r w:rsidRPr="00954E3A">
        <w:rPr>
          <w:rFonts w:ascii="Times New Roman" w:hAnsi="Times New Roman"/>
          <w:sz w:val="24"/>
          <w:szCs w:val="24"/>
        </w:rPr>
        <w:t>and</w:t>
      </w:r>
      <w:proofErr w:type="spellEnd"/>
      <w:r w:rsidRPr="00954E3A">
        <w:rPr>
          <w:rFonts w:ascii="Times New Roman" w:hAnsi="Times New Roman"/>
          <w:sz w:val="24"/>
          <w:szCs w:val="24"/>
        </w:rPr>
        <w:t xml:space="preserve"> </w:t>
      </w:r>
      <w:proofErr w:type="spellStart"/>
      <w:r w:rsidRPr="00954E3A">
        <w:rPr>
          <w:rFonts w:ascii="Times New Roman" w:hAnsi="Times New Roman"/>
          <w:sz w:val="24"/>
          <w:szCs w:val="24"/>
        </w:rPr>
        <w:t>Climate</w:t>
      </w:r>
      <w:proofErr w:type="spellEnd"/>
      <w:r w:rsidRPr="00954E3A">
        <w:rPr>
          <w:rFonts w:ascii="Times New Roman" w:hAnsi="Times New Roman"/>
          <w:sz w:val="24"/>
          <w:szCs w:val="24"/>
        </w:rPr>
        <w:t xml:space="preserve"> Plan 2025-2030 </w:t>
      </w:r>
      <w:proofErr w:type="spellStart"/>
      <w:r w:rsidRPr="00954E3A">
        <w:rPr>
          <w:rFonts w:ascii="Times New Roman" w:hAnsi="Times New Roman"/>
          <w:sz w:val="24"/>
          <w:szCs w:val="24"/>
        </w:rPr>
        <w:t>is</w:t>
      </w:r>
      <w:proofErr w:type="spellEnd"/>
      <w:r w:rsidRPr="00954E3A">
        <w:rPr>
          <w:rFonts w:ascii="Times New Roman" w:hAnsi="Times New Roman"/>
          <w:sz w:val="24"/>
          <w:szCs w:val="24"/>
        </w:rPr>
        <w:t xml:space="preserve"> 15 </w:t>
      </w:r>
      <w:proofErr w:type="spellStart"/>
      <w:r w:rsidRPr="00954E3A">
        <w:rPr>
          <w:rFonts w:ascii="Times New Roman" w:hAnsi="Times New Roman"/>
          <w:sz w:val="24"/>
          <w:szCs w:val="24"/>
        </w:rPr>
        <w:t>working</w:t>
      </w:r>
      <w:proofErr w:type="spellEnd"/>
      <w:r w:rsidRPr="00954E3A">
        <w:rPr>
          <w:rFonts w:ascii="Times New Roman" w:hAnsi="Times New Roman"/>
          <w:sz w:val="24"/>
          <w:szCs w:val="24"/>
        </w:rPr>
        <w:t xml:space="preserve"> </w:t>
      </w:r>
      <w:proofErr w:type="spellStart"/>
      <w:r w:rsidRPr="00954E3A">
        <w:rPr>
          <w:rFonts w:ascii="Times New Roman" w:hAnsi="Times New Roman"/>
          <w:sz w:val="24"/>
          <w:szCs w:val="24"/>
        </w:rPr>
        <w:t>days</w:t>
      </w:r>
      <w:proofErr w:type="spellEnd"/>
      <w:r w:rsidRPr="00954E3A">
        <w:rPr>
          <w:rFonts w:ascii="Times New Roman" w:hAnsi="Times New Roman"/>
          <w:sz w:val="24"/>
          <w:szCs w:val="24"/>
        </w:rPr>
        <w:t xml:space="preserve">, as </w:t>
      </w:r>
      <w:proofErr w:type="spellStart"/>
      <w:r w:rsidRPr="00954E3A">
        <w:rPr>
          <w:rFonts w:ascii="Times New Roman" w:hAnsi="Times New Roman"/>
          <w:sz w:val="24"/>
          <w:szCs w:val="24"/>
        </w:rPr>
        <w:t>provided</w:t>
      </w:r>
      <w:proofErr w:type="spellEnd"/>
      <w:r w:rsidRPr="00954E3A">
        <w:rPr>
          <w:rFonts w:ascii="Times New Roman" w:hAnsi="Times New Roman"/>
          <w:sz w:val="24"/>
          <w:szCs w:val="24"/>
        </w:rPr>
        <w:t xml:space="preserve"> </w:t>
      </w:r>
      <w:proofErr w:type="spellStart"/>
      <w:r w:rsidRPr="00954E3A">
        <w:rPr>
          <w:rFonts w:ascii="Times New Roman" w:hAnsi="Times New Roman"/>
          <w:sz w:val="24"/>
          <w:szCs w:val="24"/>
        </w:rPr>
        <w:t>for</w:t>
      </w:r>
      <w:proofErr w:type="spellEnd"/>
      <w:r w:rsidRPr="00954E3A">
        <w:rPr>
          <w:rFonts w:ascii="Times New Roman" w:hAnsi="Times New Roman"/>
          <w:sz w:val="24"/>
          <w:szCs w:val="24"/>
        </w:rPr>
        <w:t xml:space="preserve"> in the </w:t>
      </w:r>
      <w:proofErr w:type="spellStart"/>
      <w:r w:rsidRPr="00954E3A">
        <w:rPr>
          <w:rFonts w:ascii="Times New Roman" w:hAnsi="Times New Roman"/>
          <w:sz w:val="24"/>
          <w:szCs w:val="24"/>
        </w:rPr>
        <w:t>Regulation</w:t>
      </w:r>
      <w:proofErr w:type="spellEnd"/>
      <w:r w:rsidRPr="00954E3A">
        <w:rPr>
          <w:rFonts w:ascii="Times New Roman" w:hAnsi="Times New Roman"/>
          <w:sz w:val="24"/>
          <w:szCs w:val="24"/>
        </w:rPr>
        <w:t xml:space="preserve"> (GRK) - </w:t>
      </w:r>
      <w:proofErr w:type="spellStart"/>
      <w:r w:rsidRPr="00954E3A">
        <w:rPr>
          <w:rFonts w:ascii="Times New Roman" w:hAnsi="Times New Roman"/>
          <w:sz w:val="24"/>
          <w:szCs w:val="24"/>
        </w:rPr>
        <w:t>No</w:t>
      </w:r>
      <w:proofErr w:type="spellEnd"/>
      <w:r w:rsidRPr="00954E3A">
        <w:rPr>
          <w:rFonts w:ascii="Times New Roman" w:hAnsi="Times New Roman"/>
          <w:sz w:val="24"/>
          <w:szCs w:val="24"/>
        </w:rPr>
        <w:t xml:space="preserve">. 17/2024 </w:t>
      </w:r>
      <w:proofErr w:type="spellStart"/>
      <w:r w:rsidRPr="00954E3A">
        <w:rPr>
          <w:rFonts w:ascii="Times New Roman" w:hAnsi="Times New Roman"/>
          <w:sz w:val="24"/>
          <w:szCs w:val="24"/>
        </w:rPr>
        <w:t>of</w:t>
      </w:r>
      <w:proofErr w:type="spellEnd"/>
      <w:r w:rsidRPr="00954E3A">
        <w:rPr>
          <w:rFonts w:ascii="Times New Roman" w:hAnsi="Times New Roman"/>
          <w:sz w:val="24"/>
          <w:szCs w:val="24"/>
        </w:rPr>
        <w:t xml:space="preserve"> the </w:t>
      </w:r>
      <w:proofErr w:type="spellStart"/>
      <w:r w:rsidRPr="00954E3A">
        <w:rPr>
          <w:rFonts w:ascii="Times New Roman" w:hAnsi="Times New Roman"/>
          <w:sz w:val="24"/>
          <w:szCs w:val="24"/>
        </w:rPr>
        <w:t>Work</w:t>
      </w:r>
      <w:proofErr w:type="spellEnd"/>
      <w:r w:rsidRPr="00954E3A">
        <w:rPr>
          <w:rFonts w:ascii="Times New Roman" w:hAnsi="Times New Roman"/>
          <w:sz w:val="24"/>
          <w:szCs w:val="24"/>
        </w:rPr>
        <w:t xml:space="preserve"> </w:t>
      </w:r>
      <w:proofErr w:type="spellStart"/>
      <w:r w:rsidRPr="00954E3A">
        <w:rPr>
          <w:rFonts w:ascii="Times New Roman" w:hAnsi="Times New Roman"/>
          <w:sz w:val="24"/>
          <w:szCs w:val="24"/>
        </w:rPr>
        <w:t>of</w:t>
      </w:r>
      <w:proofErr w:type="spellEnd"/>
      <w:r w:rsidRPr="00954E3A">
        <w:rPr>
          <w:rFonts w:ascii="Times New Roman" w:hAnsi="Times New Roman"/>
          <w:sz w:val="24"/>
          <w:szCs w:val="24"/>
        </w:rPr>
        <w:t xml:space="preserve"> the </w:t>
      </w:r>
      <w:proofErr w:type="spellStart"/>
      <w:r w:rsidRPr="00954E3A">
        <w:rPr>
          <w:rFonts w:ascii="Times New Roman" w:hAnsi="Times New Roman"/>
          <w:sz w:val="24"/>
          <w:szCs w:val="24"/>
        </w:rPr>
        <w:t>Government</w:t>
      </w:r>
      <w:proofErr w:type="spellEnd"/>
      <w:r w:rsidRPr="00954E3A">
        <w:rPr>
          <w:rFonts w:ascii="Times New Roman" w:hAnsi="Times New Roman"/>
          <w:sz w:val="24"/>
          <w:szCs w:val="24"/>
        </w:rPr>
        <w:t xml:space="preserve"> </w:t>
      </w:r>
      <w:proofErr w:type="spellStart"/>
      <w:r w:rsidRPr="00954E3A">
        <w:rPr>
          <w:rFonts w:ascii="Times New Roman" w:hAnsi="Times New Roman"/>
          <w:sz w:val="24"/>
          <w:szCs w:val="24"/>
        </w:rPr>
        <w:t>of</w:t>
      </w:r>
      <w:proofErr w:type="spellEnd"/>
      <w:r w:rsidRPr="00954E3A">
        <w:rPr>
          <w:rFonts w:ascii="Times New Roman" w:hAnsi="Times New Roman"/>
          <w:sz w:val="24"/>
          <w:szCs w:val="24"/>
        </w:rPr>
        <w:t xml:space="preserve"> the </w:t>
      </w:r>
      <w:proofErr w:type="spellStart"/>
      <w:r w:rsidRPr="00954E3A">
        <w:rPr>
          <w:rFonts w:ascii="Times New Roman" w:hAnsi="Times New Roman"/>
          <w:sz w:val="24"/>
          <w:szCs w:val="24"/>
        </w:rPr>
        <w:t>Republic</w:t>
      </w:r>
      <w:proofErr w:type="spellEnd"/>
      <w:r w:rsidRPr="00954E3A">
        <w:rPr>
          <w:rFonts w:ascii="Times New Roman" w:hAnsi="Times New Roman"/>
          <w:sz w:val="24"/>
          <w:szCs w:val="24"/>
        </w:rPr>
        <w:t xml:space="preserve"> </w:t>
      </w:r>
      <w:proofErr w:type="spellStart"/>
      <w:r w:rsidRPr="00954E3A">
        <w:rPr>
          <w:rFonts w:ascii="Times New Roman" w:hAnsi="Times New Roman"/>
          <w:sz w:val="24"/>
          <w:szCs w:val="24"/>
        </w:rPr>
        <w:t>of</w:t>
      </w:r>
      <w:proofErr w:type="spellEnd"/>
      <w:r w:rsidRPr="00954E3A">
        <w:rPr>
          <w:rFonts w:ascii="Times New Roman" w:hAnsi="Times New Roman"/>
          <w:sz w:val="24"/>
          <w:szCs w:val="24"/>
        </w:rPr>
        <w:t xml:space="preserve"> Kosovo.</w:t>
      </w:r>
    </w:p>
    <w:p w14:paraId="7EB749CA" w14:textId="79270E83" w:rsidR="006124F5" w:rsidRDefault="006124F5" w:rsidP="005F1B15">
      <w:pPr>
        <w:spacing w:after="0"/>
        <w:jc w:val="both"/>
        <w:rPr>
          <w:rFonts w:ascii="Times New Roman" w:hAnsi="Times New Roman"/>
          <w:sz w:val="24"/>
          <w:szCs w:val="24"/>
        </w:rPr>
      </w:pPr>
    </w:p>
    <w:p w14:paraId="18EB861F" w14:textId="35D9C715" w:rsidR="00B21F39" w:rsidRPr="00B21F39" w:rsidRDefault="00B21F39" w:rsidP="005F1B15">
      <w:pPr>
        <w:spacing w:after="0"/>
        <w:jc w:val="both"/>
        <w:rPr>
          <w:rFonts w:ascii="Times New Roman" w:hAnsi="Times New Roman"/>
          <w:b/>
          <w:i/>
          <w:sz w:val="24"/>
          <w:szCs w:val="24"/>
        </w:rPr>
      </w:pPr>
      <w:proofErr w:type="spellStart"/>
      <w:r w:rsidRPr="00B21F39">
        <w:rPr>
          <w:rFonts w:ascii="Times New Roman" w:hAnsi="Times New Roman"/>
          <w:b/>
          <w:i/>
          <w:sz w:val="24"/>
          <w:szCs w:val="24"/>
        </w:rPr>
        <w:t>Where</w:t>
      </w:r>
      <w:proofErr w:type="spellEnd"/>
      <w:r w:rsidRPr="00B21F39">
        <w:rPr>
          <w:rFonts w:ascii="Times New Roman" w:hAnsi="Times New Roman"/>
          <w:b/>
          <w:i/>
          <w:sz w:val="24"/>
          <w:szCs w:val="24"/>
        </w:rPr>
        <w:t xml:space="preserve"> </w:t>
      </w:r>
      <w:proofErr w:type="spellStart"/>
      <w:r w:rsidRPr="00B21F39">
        <w:rPr>
          <w:rFonts w:ascii="Times New Roman" w:hAnsi="Times New Roman"/>
          <w:b/>
          <w:i/>
          <w:sz w:val="24"/>
          <w:szCs w:val="24"/>
        </w:rPr>
        <w:t>and</w:t>
      </w:r>
      <w:proofErr w:type="spellEnd"/>
      <w:r w:rsidRPr="00B21F39">
        <w:rPr>
          <w:rFonts w:ascii="Times New Roman" w:hAnsi="Times New Roman"/>
          <w:b/>
          <w:i/>
          <w:sz w:val="24"/>
          <w:szCs w:val="24"/>
        </w:rPr>
        <w:t xml:space="preserve"> </w:t>
      </w:r>
      <w:proofErr w:type="spellStart"/>
      <w:r w:rsidRPr="00B21F39">
        <w:rPr>
          <w:rFonts w:ascii="Times New Roman" w:hAnsi="Times New Roman"/>
          <w:b/>
          <w:i/>
          <w:sz w:val="24"/>
          <w:szCs w:val="24"/>
        </w:rPr>
        <w:t>how</w:t>
      </w:r>
      <w:proofErr w:type="spellEnd"/>
      <w:r w:rsidRPr="00B21F39">
        <w:rPr>
          <w:rFonts w:ascii="Times New Roman" w:hAnsi="Times New Roman"/>
          <w:b/>
          <w:i/>
          <w:sz w:val="24"/>
          <w:szCs w:val="24"/>
        </w:rPr>
        <w:t xml:space="preserve"> </w:t>
      </w:r>
      <w:proofErr w:type="spellStart"/>
      <w:r w:rsidRPr="00B21F39">
        <w:rPr>
          <w:rFonts w:ascii="Times New Roman" w:hAnsi="Times New Roman"/>
          <w:b/>
          <w:i/>
          <w:sz w:val="24"/>
          <w:szCs w:val="24"/>
        </w:rPr>
        <w:t>you</w:t>
      </w:r>
      <w:proofErr w:type="spellEnd"/>
      <w:r w:rsidRPr="00B21F39">
        <w:rPr>
          <w:rFonts w:ascii="Times New Roman" w:hAnsi="Times New Roman"/>
          <w:b/>
          <w:i/>
          <w:sz w:val="24"/>
          <w:szCs w:val="24"/>
        </w:rPr>
        <w:t xml:space="preserve"> should send your contributions in writing</w:t>
      </w:r>
    </w:p>
    <w:p w14:paraId="67DE7C9A" w14:textId="568770EA" w:rsidR="00B21F39" w:rsidRDefault="00B21F39" w:rsidP="005F1B15">
      <w:pPr>
        <w:spacing w:after="0"/>
        <w:jc w:val="both"/>
        <w:rPr>
          <w:rFonts w:ascii="Times New Roman" w:hAnsi="Times New Roman"/>
          <w:sz w:val="24"/>
          <w:szCs w:val="24"/>
        </w:rPr>
      </w:pPr>
    </w:p>
    <w:p w14:paraId="25039AB3" w14:textId="7D523587" w:rsidR="00B21F39" w:rsidRDefault="00B21F39" w:rsidP="005F1B15">
      <w:pPr>
        <w:spacing w:after="0"/>
        <w:jc w:val="both"/>
        <w:rPr>
          <w:rFonts w:ascii="Times New Roman" w:hAnsi="Times New Roman"/>
          <w:sz w:val="24"/>
          <w:szCs w:val="24"/>
        </w:rPr>
      </w:pPr>
      <w:r w:rsidRPr="00B21F39">
        <w:rPr>
          <w:rFonts w:ascii="Times New Roman" w:hAnsi="Times New Roman"/>
          <w:sz w:val="24"/>
          <w:szCs w:val="24"/>
        </w:rPr>
        <w:t>All written contributions must be submitted elect</w:t>
      </w:r>
      <w:r>
        <w:rPr>
          <w:rFonts w:ascii="Times New Roman" w:hAnsi="Times New Roman"/>
          <w:sz w:val="24"/>
          <w:szCs w:val="24"/>
        </w:rPr>
        <w:t xml:space="preserve">ronically to the e-mail address </w:t>
      </w:r>
      <w:r w:rsidRPr="00B21F39">
        <w:rPr>
          <w:rFonts w:ascii="Times New Roman" w:hAnsi="Times New Roman"/>
          <w:sz w:val="24"/>
          <w:szCs w:val="24"/>
        </w:rPr>
        <w:t xml:space="preserve"> </w:t>
      </w:r>
      <w:hyperlink r:id="rId12" w:history="1">
        <w:r w:rsidRPr="00AC659E">
          <w:rPr>
            <w:rStyle w:val="Hyperlink"/>
            <w:rFonts w:ascii="Times New Roman" w:hAnsi="Times New Roman"/>
            <w:sz w:val="24"/>
            <w:szCs w:val="24"/>
          </w:rPr>
          <w:t>Adem.Berisha@rks-gov.net</w:t>
        </w:r>
      </w:hyperlink>
      <w:r>
        <w:rPr>
          <w:rFonts w:ascii="Times New Roman" w:hAnsi="Times New Roman"/>
          <w:sz w:val="24"/>
          <w:szCs w:val="24"/>
        </w:rPr>
        <w:t xml:space="preserve"> </w:t>
      </w:r>
      <w:r w:rsidRPr="00B21F39">
        <w:rPr>
          <w:rFonts w:ascii="Times New Roman" w:hAnsi="Times New Roman"/>
          <w:sz w:val="24"/>
          <w:szCs w:val="24"/>
        </w:rPr>
        <w:t xml:space="preserve">; </w:t>
      </w:r>
      <w:hyperlink r:id="rId13" w:history="1">
        <w:r w:rsidRPr="00AC659E">
          <w:rPr>
            <w:rStyle w:val="Hyperlink"/>
            <w:rFonts w:ascii="Times New Roman" w:hAnsi="Times New Roman"/>
            <w:sz w:val="24"/>
            <w:szCs w:val="24"/>
          </w:rPr>
          <w:t>vlora.osaj@rks-gov.net</w:t>
        </w:r>
      </w:hyperlink>
      <w:r>
        <w:rPr>
          <w:rFonts w:ascii="Times New Roman" w:hAnsi="Times New Roman"/>
          <w:sz w:val="24"/>
          <w:szCs w:val="24"/>
        </w:rPr>
        <w:t xml:space="preserve"> </w:t>
      </w:r>
      <w:r w:rsidRPr="00B21F39">
        <w:rPr>
          <w:rFonts w:ascii="Times New Roman" w:hAnsi="Times New Roman"/>
          <w:sz w:val="24"/>
          <w:szCs w:val="24"/>
        </w:rPr>
        <w:t xml:space="preserve">and </w:t>
      </w:r>
      <w:hyperlink r:id="rId14" w:history="1">
        <w:r w:rsidRPr="00AC659E">
          <w:rPr>
            <w:rStyle w:val="Hyperlink"/>
            <w:rFonts w:ascii="Times New Roman" w:hAnsi="Times New Roman"/>
            <w:sz w:val="24"/>
            <w:szCs w:val="24"/>
          </w:rPr>
          <w:t>abdullah.pirce@rks-gov.net</w:t>
        </w:r>
      </w:hyperlink>
      <w:r>
        <w:rPr>
          <w:rFonts w:ascii="Times New Roman" w:hAnsi="Times New Roman"/>
          <w:sz w:val="24"/>
          <w:szCs w:val="24"/>
        </w:rPr>
        <w:t xml:space="preserve"> </w:t>
      </w:r>
      <w:r w:rsidRPr="00B21F39">
        <w:rPr>
          <w:rFonts w:ascii="Times New Roman" w:hAnsi="Times New Roman"/>
          <w:sz w:val="24"/>
          <w:szCs w:val="24"/>
        </w:rPr>
        <w:t>with title - Draft for the National Energy and Climate Plan 2025-2030.</w:t>
      </w:r>
    </w:p>
    <w:p w14:paraId="55DC7547" w14:textId="7C77103F" w:rsidR="00B21F39" w:rsidRDefault="00B21F39" w:rsidP="005F1B15">
      <w:pPr>
        <w:spacing w:after="0"/>
        <w:jc w:val="both"/>
        <w:rPr>
          <w:rFonts w:ascii="Times New Roman" w:hAnsi="Times New Roman"/>
          <w:sz w:val="24"/>
          <w:szCs w:val="24"/>
        </w:rPr>
      </w:pPr>
    </w:p>
    <w:p w14:paraId="7861E426" w14:textId="77777777" w:rsidR="00B21F39" w:rsidRPr="006544CA" w:rsidRDefault="00B21F39" w:rsidP="00B21F39">
      <w:pPr>
        <w:spacing w:after="0"/>
        <w:jc w:val="both"/>
        <w:rPr>
          <w:rFonts w:ascii="Times New Roman" w:hAnsi="Times New Roman"/>
          <w:b/>
          <w:sz w:val="24"/>
          <w:szCs w:val="24"/>
        </w:rPr>
      </w:pPr>
      <w:r w:rsidRPr="006544CA">
        <w:rPr>
          <w:rFonts w:ascii="Times New Roman" w:hAnsi="Times New Roman"/>
          <w:b/>
          <w:sz w:val="24"/>
          <w:szCs w:val="24"/>
        </w:rPr>
        <w:t>What should the comments contain?</w:t>
      </w:r>
    </w:p>
    <w:p w14:paraId="5E7A778B" w14:textId="77777777" w:rsidR="00B21F39" w:rsidRPr="006544CA" w:rsidRDefault="00B21F39" w:rsidP="00B21F39">
      <w:pPr>
        <w:spacing w:after="0"/>
        <w:jc w:val="both"/>
        <w:rPr>
          <w:rFonts w:ascii="Times New Roman" w:hAnsi="Times New Roman"/>
          <w:b/>
          <w:sz w:val="24"/>
          <w:szCs w:val="24"/>
        </w:rPr>
      </w:pPr>
      <w:r w:rsidRPr="006544CA">
        <w:rPr>
          <w:rFonts w:ascii="Times New Roman" w:hAnsi="Times New Roman"/>
          <w:b/>
          <w:sz w:val="24"/>
          <w:szCs w:val="24"/>
        </w:rPr>
        <w:t>Name of person/organization providing comments:</w:t>
      </w:r>
    </w:p>
    <w:p w14:paraId="1B490583" w14:textId="77777777" w:rsidR="00B21F39" w:rsidRPr="006544CA" w:rsidRDefault="00B21F39" w:rsidP="00B21F39">
      <w:pPr>
        <w:spacing w:after="0"/>
        <w:jc w:val="both"/>
        <w:rPr>
          <w:rFonts w:ascii="Times New Roman" w:hAnsi="Times New Roman"/>
          <w:b/>
          <w:sz w:val="24"/>
          <w:szCs w:val="24"/>
        </w:rPr>
      </w:pPr>
      <w:r w:rsidRPr="006544CA">
        <w:rPr>
          <w:rFonts w:ascii="Times New Roman" w:hAnsi="Times New Roman"/>
          <w:b/>
          <w:sz w:val="24"/>
          <w:szCs w:val="24"/>
        </w:rPr>
        <w:t>The main areas of activity of the organization:</w:t>
      </w:r>
    </w:p>
    <w:p w14:paraId="5B652949" w14:textId="77777777" w:rsidR="00B21F39" w:rsidRPr="006544CA" w:rsidRDefault="00B21F39" w:rsidP="00B21F39">
      <w:pPr>
        <w:spacing w:after="0"/>
        <w:jc w:val="both"/>
        <w:rPr>
          <w:rFonts w:ascii="Times New Roman" w:hAnsi="Times New Roman"/>
          <w:b/>
          <w:sz w:val="24"/>
          <w:szCs w:val="24"/>
        </w:rPr>
      </w:pPr>
      <w:r w:rsidRPr="006544CA">
        <w:rPr>
          <w:rFonts w:ascii="Times New Roman" w:hAnsi="Times New Roman"/>
          <w:b/>
          <w:sz w:val="24"/>
          <w:szCs w:val="24"/>
        </w:rPr>
        <w:t>Contact information of the person/organization (address, email, phone):</w:t>
      </w:r>
    </w:p>
    <w:p w14:paraId="52EDC649" w14:textId="77777777" w:rsidR="00B21F39" w:rsidRPr="006544CA" w:rsidRDefault="00B21F39" w:rsidP="00B21F39">
      <w:pPr>
        <w:spacing w:after="0"/>
        <w:jc w:val="both"/>
        <w:rPr>
          <w:rFonts w:ascii="Times New Roman" w:hAnsi="Times New Roman"/>
          <w:b/>
          <w:sz w:val="24"/>
          <w:szCs w:val="24"/>
        </w:rPr>
      </w:pPr>
      <w:r w:rsidRPr="006544CA">
        <w:rPr>
          <w:rFonts w:ascii="Times New Roman" w:hAnsi="Times New Roman"/>
          <w:b/>
          <w:sz w:val="24"/>
          <w:szCs w:val="24"/>
        </w:rPr>
        <w:t>Comments:</w:t>
      </w:r>
    </w:p>
    <w:p w14:paraId="7EB73C5D" w14:textId="06DCC686" w:rsidR="00B21F39" w:rsidRPr="006544CA" w:rsidRDefault="00B21F39" w:rsidP="00B21F39">
      <w:pPr>
        <w:spacing w:after="0"/>
        <w:jc w:val="both"/>
        <w:rPr>
          <w:rFonts w:ascii="Times New Roman" w:hAnsi="Times New Roman"/>
          <w:b/>
          <w:sz w:val="24"/>
          <w:szCs w:val="24"/>
        </w:rPr>
      </w:pPr>
      <w:r w:rsidRPr="006544CA">
        <w:rPr>
          <w:rFonts w:ascii="Times New Roman" w:hAnsi="Times New Roman"/>
          <w:b/>
          <w:sz w:val="24"/>
          <w:szCs w:val="24"/>
        </w:rPr>
        <w:t>Date of sending comments:</w:t>
      </w:r>
    </w:p>
    <w:p w14:paraId="3FF356E2" w14:textId="4F15B64D" w:rsidR="005F1B15" w:rsidRDefault="005F1B15" w:rsidP="005F1B15">
      <w:pPr>
        <w:spacing w:after="0"/>
        <w:jc w:val="both"/>
        <w:rPr>
          <w:rFonts w:ascii="Times New Roman" w:hAnsi="Times New Roman"/>
          <w:sz w:val="24"/>
          <w:szCs w:val="24"/>
        </w:rPr>
      </w:pPr>
    </w:p>
    <w:p w14:paraId="0EFF8111" w14:textId="785A9766" w:rsidR="006544CA" w:rsidRDefault="006544CA" w:rsidP="005F1B15">
      <w:pPr>
        <w:spacing w:after="0"/>
        <w:jc w:val="both"/>
        <w:rPr>
          <w:rFonts w:ascii="Times New Roman" w:hAnsi="Times New Roman"/>
          <w:sz w:val="24"/>
          <w:szCs w:val="24"/>
        </w:rPr>
      </w:pPr>
      <w:r w:rsidRPr="006544CA">
        <w:rPr>
          <w:rFonts w:ascii="Times New Roman" w:hAnsi="Times New Roman"/>
          <w:sz w:val="24"/>
          <w:szCs w:val="24"/>
        </w:rPr>
        <w:t>The contribution form is open, but it is preferable that you include your contributions within the table attached below to this document, which includes the key issues of this document.</w:t>
      </w:r>
    </w:p>
    <w:p w14:paraId="466F1F50" w14:textId="01F6D33C" w:rsidR="006544CA" w:rsidRDefault="006544CA" w:rsidP="005F1B15">
      <w:pPr>
        <w:spacing w:after="0"/>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4"/>
        <w:gridCol w:w="2886"/>
        <w:gridCol w:w="3042"/>
        <w:gridCol w:w="2694"/>
      </w:tblGrid>
      <w:tr w:rsidR="006544CA" w:rsidRPr="00BA57A6" w14:paraId="533067EE" w14:textId="77777777" w:rsidTr="00D7163B">
        <w:tc>
          <w:tcPr>
            <w:tcW w:w="396" w:type="dxa"/>
            <w:shd w:val="clear" w:color="auto" w:fill="8DB3E2"/>
          </w:tcPr>
          <w:p w14:paraId="0E6EA284" w14:textId="77777777" w:rsidR="006544CA" w:rsidRPr="00BA57A6" w:rsidRDefault="006544CA" w:rsidP="00D7163B">
            <w:pPr>
              <w:spacing w:before="240" w:after="120"/>
              <w:jc w:val="both"/>
              <w:rPr>
                <w:rFonts w:ascii="Times New Roman" w:hAnsi="Times New Roman"/>
                <w:b/>
                <w:sz w:val="24"/>
                <w:szCs w:val="24"/>
              </w:rPr>
            </w:pPr>
          </w:p>
        </w:tc>
        <w:tc>
          <w:tcPr>
            <w:tcW w:w="2976" w:type="dxa"/>
            <w:shd w:val="clear" w:color="auto" w:fill="8DB3E2"/>
          </w:tcPr>
          <w:p w14:paraId="28C5AD15" w14:textId="489ED4D8" w:rsidR="006544CA" w:rsidRPr="00BA57A6" w:rsidRDefault="006544CA" w:rsidP="00D7163B">
            <w:pPr>
              <w:spacing w:before="240" w:after="120"/>
              <w:jc w:val="both"/>
              <w:rPr>
                <w:rFonts w:ascii="Times New Roman" w:hAnsi="Times New Roman"/>
                <w:b/>
                <w:sz w:val="24"/>
                <w:szCs w:val="24"/>
              </w:rPr>
            </w:pPr>
            <w:r w:rsidRPr="006544CA">
              <w:rPr>
                <w:rFonts w:ascii="Times New Roman" w:hAnsi="Times New Roman"/>
                <w:b/>
                <w:sz w:val="24"/>
                <w:szCs w:val="24"/>
              </w:rPr>
              <w:t>Key issues</w:t>
            </w:r>
          </w:p>
        </w:tc>
        <w:tc>
          <w:tcPr>
            <w:tcW w:w="3116" w:type="dxa"/>
            <w:shd w:val="clear" w:color="auto" w:fill="8DB3E2"/>
          </w:tcPr>
          <w:p w14:paraId="428DCCEE" w14:textId="02D952B3" w:rsidR="006544CA" w:rsidRPr="00BA57A6" w:rsidRDefault="006544CA" w:rsidP="00D7163B">
            <w:pPr>
              <w:spacing w:before="240" w:after="120"/>
              <w:jc w:val="both"/>
              <w:rPr>
                <w:rFonts w:ascii="Times New Roman" w:hAnsi="Times New Roman"/>
                <w:b/>
                <w:sz w:val="24"/>
                <w:szCs w:val="24"/>
              </w:rPr>
            </w:pPr>
            <w:r w:rsidRPr="006544CA">
              <w:rPr>
                <w:rFonts w:ascii="Times New Roman" w:hAnsi="Times New Roman"/>
                <w:b/>
                <w:sz w:val="24"/>
                <w:szCs w:val="24"/>
              </w:rPr>
              <w:t>Comments about the current draft</w:t>
            </w:r>
          </w:p>
        </w:tc>
        <w:tc>
          <w:tcPr>
            <w:tcW w:w="2754" w:type="dxa"/>
            <w:shd w:val="clear" w:color="auto" w:fill="8DB3E2"/>
          </w:tcPr>
          <w:p w14:paraId="54FB992E" w14:textId="5CD87A8F" w:rsidR="006544CA" w:rsidRPr="00BA57A6" w:rsidRDefault="006544CA" w:rsidP="00D7163B">
            <w:pPr>
              <w:spacing w:before="240" w:after="120"/>
              <w:jc w:val="both"/>
              <w:rPr>
                <w:rFonts w:ascii="Times New Roman" w:hAnsi="Times New Roman"/>
                <w:b/>
                <w:sz w:val="24"/>
                <w:szCs w:val="24"/>
              </w:rPr>
            </w:pPr>
            <w:r w:rsidRPr="006544CA">
              <w:rPr>
                <w:rFonts w:ascii="Times New Roman" w:hAnsi="Times New Roman"/>
                <w:b/>
                <w:sz w:val="24"/>
                <w:szCs w:val="24"/>
              </w:rPr>
              <w:t>Additional comments</w:t>
            </w:r>
          </w:p>
        </w:tc>
      </w:tr>
      <w:tr w:rsidR="006544CA" w:rsidRPr="00BA57A6" w14:paraId="65646963" w14:textId="77777777" w:rsidTr="00D7163B">
        <w:tc>
          <w:tcPr>
            <w:tcW w:w="396" w:type="dxa"/>
            <w:shd w:val="clear" w:color="auto" w:fill="D6E3BC"/>
          </w:tcPr>
          <w:p w14:paraId="030FF6B9" w14:textId="77777777" w:rsidR="006544CA" w:rsidRPr="00BA57A6" w:rsidRDefault="006544CA" w:rsidP="00D7163B">
            <w:pPr>
              <w:spacing w:before="240" w:after="120"/>
              <w:jc w:val="both"/>
              <w:rPr>
                <w:rFonts w:ascii="Times New Roman" w:hAnsi="Times New Roman"/>
                <w:b/>
                <w:sz w:val="24"/>
                <w:szCs w:val="24"/>
              </w:rPr>
            </w:pPr>
            <w:r w:rsidRPr="00BA57A6">
              <w:rPr>
                <w:rFonts w:ascii="Times New Roman" w:hAnsi="Times New Roman"/>
                <w:b/>
                <w:sz w:val="24"/>
                <w:szCs w:val="24"/>
              </w:rPr>
              <w:t>1</w:t>
            </w:r>
          </w:p>
        </w:tc>
        <w:tc>
          <w:tcPr>
            <w:tcW w:w="2976" w:type="dxa"/>
          </w:tcPr>
          <w:p w14:paraId="1678C1D8" w14:textId="77777777" w:rsidR="006544CA" w:rsidRPr="00BA57A6" w:rsidRDefault="006544CA" w:rsidP="00D7163B">
            <w:pPr>
              <w:pStyle w:val="CM10"/>
              <w:spacing w:before="240" w:after="120" w:line="276" w:lineRule="auto"/>
              <w:rPr>
                <w:rFonts w:ascii="Times New Roman" w:hAnsi="Times New Roman"/>
                <w:lang w:val="sq-AL"/>
              </w:rPr>
            </w:pPr>
          </w:p>
        </w:tc>
        <w:tc>
          <w:tcPr>
            <w:tcW w:w="3116" w:type="dxa"/>
          </w:tcPr>
          <w:p w14:paraId="31B13C83" w14:textId="77777777" w:rsidR="006544CA" w:rsidRPr="00BA57A6" w:rsidRDefault="006544CA" w:rsidP="00D7163B">
            <w:pPr>
              <w:spacing w:before="240" w:after="120"/>
              <w:jc w:val="both"/>
              <w:rPr>
                <w:rFonts w:ascii="Times New Roman" w:hAnsi="Times New Roman"/>
                <w:sz w:val="24"/>
                <w:szCs w:val="24"/>
              </w:rPr>
            </w:pPr>
          </w:p>
        </w:tc>
        <w:tc>
          <w:tcPr>
            <w:tcW w:w="2754" w:type="dxa"/>
          </w:tcPr>
          <w:p w14:paraId="776B2B2E" w14:textId="77777777" w:rsidR="006544CA" w:rsidRPr="00BA57A6" w:rsidRDefault="006544CA" w:rsidP="00D7163B">
            <w:pPr>
              <w:spacing w:before="240" w:after="120"/>
              <w:jc w:val="both"/>
              <w:rPr>
                <w:rFonts w:ascii="Times New Roman" w:hAnsi="Times New Roman"/>
                <w:sz w:val="24"/>
                <w:szCs w:val="24"/>
              </w:rPr>
            </w:pPr>
          </w:p>
        </w:tc>
      </w:tr>
      <w:tr w:rsidR="006544CA" w:rsidRPr="00BA57A6" w14:paraId="088E3F21" w14:textId="77777777" w:rsidTr="00D7163B">
        <w:tc>
          <w:tcPr>
            <w:tcW w:w="396" w:type="dxa"/>
            <w:shd w:val="clear" w:color="auto" w:fill="D6E3BC"/>
          </w:tcPr>
          <w:p w14:paraId="582BE789" w14:textId="77777777" w:rsidR="006544CA" w:rsidRPr="00BA57A6" w:rsidRDefault="006544CA" w:rsidP="00D7163B">
            <w:pPr>
              <w:spacing w:before="240" w:after="120"/>
              <w:jc w:val="both"/>
              <w:rPr>
                <w:rFonts w:ascii="Times New Roman" w:hAnsi="Times New Roman"/>
                <w:b/>
                <w:sz w:val="24"/>
                <w:szCs w:val="24"/>
              </w:rPr>
            </w:pPr>
            <w:r w:rsidRPr="00BA57A6">
              <w:rPr>
                <w:rFonts w:ascii="Times New Roman" w:hAnsi="Times New Roman"/>
                <w:b/>
                <w:sz w:val="24"/>
                <w:szCs w:val="24"/>
              </w:rPr>
              <w:t>2</w:t>
            </w:r>
          </w:p>
        </w:tc>
        <w:tc>
          <w:tcPr>
            <w:tcW w:w="2976" w:type="dxa"/>
          </w:tcPr>
          <w:p w14:paraId="275E542E" w14:textId="77777777" w:rsidR="006544CA" w:rsidRPr="00BA57A6" w:rsidRDefault="006544CA" w:rsidP="00D7163B">
            <w:pPr>
              <w:spacing w:before="240" w:after="120"/>
              <w:rPr>
                <w:rFonts w:ascii="Times New Roman" w:hAnsi="Times New Roman"/>
                <w:sz w:val="24"/>
                <w:szCs w:val="24"/>
              </w:rPr>
            </w:pPr>
          </w:p>
        </w:tc>
        <w:tc>
          <w:tcPr>
            <w:tcW w:w="3116" w:type="dxa"/>
          </w:tcPr>
          <w:p w14:paraId="68D02148" w14:textId="77777777" w:rsidR="006544CA" w:rsidRPr="00BA57A6" w:rsidRDefault="006544CA" w:rsidP="00D7163B">
            <w:pPr>
              <w:spacing w:before="240" w:after="120"/>
              <w:jc w:val="both"/>
              <w:rPr>
                <w:rFonts w:ascii="Times New Roman" w:hAnsi="Times New Roman"/>
                <w:sz w:val="24"/>
                <w:szCs w:val="24"/>
              </w:rPr>
            </w:pPr>
          </w:p>
        </w:tc>
        <w:tc>
          <w:tcPr>
            <w:tcW w:w="2754" w:type="dxa"/>
          </w:tcPr>
          <w:p w14:paraId="1399A651" w14:textId="77777777" w:rsidR="006544CA" w:rsidRPr="00BA57A6" w:rsidRDefault="006544CA" w:rsidP="00D7163B">
            <w:pPr>
              <w:spacing w:before="240" w:after="120"/>
              <w:jc w:val="both"/>
              <w:rPr>
                <w:rFonts w:ascii="Times New Roman" w:hAnsi="Times New Roman"/>
                <w:sz w:val="24"/>
                <w:szCs w:val="24"/>
              </w:rPr>
            </w:pPr>
          </w:p>
        </w:tc>
      </w:tr>
      <w:tr w:rsidR="006544CA" w:rsidRPr="00BA57A6" w14:paraId="63DF3C1D" w14:textId="77777777" w:rsidTr="00D7163B">
        <w:tc>
          <w:tcPr>
            <w:tcW w:w="396" w:type="dxa"/>
            <w:shd w:val="clear" w:color="auto" w:fill="D6E3BC"/>
          </w:tcPr>
          <w:p w14:paraId="54189653" w14:textId="77777777" w:rsidR="006544CA" w:rsidRPr="00BA57A6" w:rsidRDefault="006544CA" w:rsidP="00D7163B">
            <w:pPr>
              <w:spacing w:before="240" w:after="120"/>
              <w:jc w:val="both"/>
              <w:rPr>
                <w:rFonts w:ascii="Times New Roman" w:hAnsi="Times New Roman"/>
                <w:b/>
                <w:sz w:val="24"/>
                <w:szCs w:val="24"/>
              </w:rPr>
            </w:pPr>
            <w:r w:rsidRPr="00BA57A6">
              <w:rPr>
                <w:rFonts w:ascii="Times New Roman" w:hAnsi="Times New Roman"/>
                <w:b/>
                <w:sz w:val="24"/>
                <w:szCs w:val="24"/>
              </w:rPr>
              <w:t>3</w:t>
            </w:r>
          </w:p>
        </w:tc>
        <w:tc>
          <w:tcPr>
            <w:tcW w:w="2976" w:type="dxa"/>
          </w:tcPr>
          <w:p w14:paraId="4E4BD6FA" w14:textId="77777777" w:rsidR="006544CA" w:rsidRPr="00BA57A6" w:rsidRDefault="006544CA" w:rsidP="00D7163B">
            <w:pPr>
              <w:spacing w:before="240" w:after="120"/>
              <w:rPr>
                <w:rFonts w:ascii="Times New Roman" w:hAnsi="Times New Roman"/>
                <w:sz w:val="24"/>
                <w:szCs w:val="24"/>
              </w:rPr>
            </w:pPr>
          </w:p>
        </w:tc>
        <w:tc>
          <w:tcPr>
            <w:tcW w:w="3116" w:type="dxa"/>
          </w:tcPr>
          <w:p w14:paraId="4E831314" w14:textId="77777777" w:rsidR="006544CA" w:rsidRPr="00BA57A6" w:rsidRDefault="006544CA" w:rsidP="00D7163B">
            <w:pPr>
              <w:spacing w:before="240" w:after="120"/>
              <w:jc w:val="both"/>
              <w:rPr>
                <w:rFonts w:ascii="Times New Roman" w:hAnsi="Times New Roman"/>
                <w:sz w:val="24"/>
                <w:szCs w:val="24"/>
              </w:rPr>
            </w:pPr>
          </w:p>
        </w:tc>
        <w:tc>
          <w:tcPr>
            <w:tcW w:w="2754" w:type="dxa"/>
          </w:tcPr>
          <w:p w14:paraId="157FD370" w14:textId="77777777" w:rsidR="006544CA" w:rsidRPr="00BA57A6" w:rsidRDefault="006544CA" w:rsidP="00D7163B">
            <w:pPr>
              <w:spacing w:before="240" w:after="120"/>
              <w:jc w:val="both"/>
              <w:rPr>
                <w:rFonts w:ascii="Times New Roman" w:hAnsi="Times New Roman"/>
                <w:sz w:val="24"/>
                <w:szCs w:val="24"/>
              </w:rPr>
            </w:pPr>
          </w:p>
        </w:tc>
      </w:tr>
    </w:tbl>
    <w:p w14:paraId="7512636F" w14:textId="38C926B9" w:rsidR="006544CA" w:rsidRDefault="006544CA" w:rsidP="005F1B15">
      <w:pPr>
        <w:spacing w:after="0"/>
        <w:jc w:val="both"/>
        <w:rPr>
          <w:rFonts w:ascii="Times New Roman" w:hAnsi="Times New Roman"/>
          <w:sz w:val="24"/>
          <w:szCs w:val="24"/>
        </w:rPr>
      </w:pPr>
    </w:p>
    <w:p w14:paraId="17DF66F8" w14:textId="7FB06280" w:rsidR="006544CA" w:rsidRDefault="006544CA" w:rsidP="005F1B15">
      <w:pPr>
        <w:spacing w:after="0"/>
        <w:jc w:val="both"/>
        <w:rPr>
          <w:rFonts w:ascii="Times New Roman" w:hAnsi="Times New Roman"/>
          <w:b/>
          <w:sz w:val="24"/>
          <w:szCs w:val="24"/>
        </w:rPr>
      </w:pPr>
      <w:r w:rsidRPr="006544CA">
        <w:rPr>
          <w:rFonts w:ascii="Times New Roman" w:hAnsi="Times New Roman"/>
          <w:sz w:val="24"/>
          <w:szCs w:val="24"/>
        </w:rPr>
        <w:t xml:space="preserve">Attached to this document you will find the </w:t>
      </w:r>
      <w:r w:rsidRPr="006544CA">
        <w:rPr>
          <w:rFonts w:ascii="Times New Roman" w:hAnsi="Times New Roman"/>
          <w:b/>
          <w:sz w:val="24"/>
          <w:szCs w:val="24"/>
        </w:rPr>
        <w:t>Draft of the National Energy and Climate Plan 2025-2030.</w:t>
      </w:r>
    </w:p>
    <w:p w14:paraId="207A27B9" w14:textId="77777777" w:rsidR="00E35888" w:rsidRDefault="00E35888" w:rsidP="0018506D">
      <w:pPr>
        <w:spacing w:before="240" w:after="120"/>
        <w:jc w:val="both"/>
        <w:rPr>
          <w:rFonts w:ascii="Arial" w:hAnsi="Arial" w:cs="Arial"/>
          <w:sz w:val="24"/>
          <w:szCs w:val="24"/>
        </w:rPr>
      </w:pPr>
    </w:p>
    <w:p w14:paraId="5CD8C8A8" w14:textId="77777777" w:rsidR="00E35888" w:rsidRDefault="00E35888" w:rsidP="0018506D">
      <w:pPr>
        <w:spacing w:before="240" w:after="120"/>
        <w:jc w:val="both"/>
        <w:rPr>
          <w:rFonts w:ascii="Arial" w:hAnsi="Arial" w:cs="Arial"/>
          <w:sz w:val="24"/>
          <w:szCs w:val="24"/>
        </w:rPr>
      </w:pPr>
    </w:p>
    <w:p w14:paraId="24E581DD" w14:textId="77777777" w:rsidR="00E35888" w:rsidRDefault="00E35888" w:rsidP="0018506D">
      <w:pPr>
        <w:spacing w:before="240" w:after="120"/>
        <w:jc w:val="both"/>
        <w:rPr>
          <w:rFonts w:ascii="Arial" w:hAnsi="Arial" w:cs="Arial"/>
          <w:sz w:val="24"/>
          <w:szCs w:val="24"/>
        </w:rPr>
      </w:pPr>
    </w:p>
    <w:p w14:paraId="6EA6D11C" w14:textId="77777777" w:rsidR="00E35888" w:rsidRDefault="00E35888" w:rsidP="0018506D">
      <w:pPr>
        <w:spacing w:before="240" w:after="120"/>
        <w:jc w:val="both"/>
        <w:rPr>
          <w:rFonts w:ascii="Arial" w:hAnsi="Arial" w:cs="Arial"/>
          <w:sz w:val="24"/>
          <w:szCs w:val="24"/>
        </w:rPr>
      </w:pPr>
    </w:p>
    <w:p w14:paraId="67C5289A" w14:textId="77777777" w:rsidR="00E35888" w:rsidRDefault="00E35888" w:rsidP="0018506D">
      <w:pPr>
        <w:spacing w:before="240" w:after="120"/>
        <w:jc w:val="both"/>
        <w:rPr>
          <w:rFonts w:ascii="Arial" w:hAnsi="Arial" w:cs="Arial"/>
          <w:sz w:val="24"/>
          <w:szCs w:val="24"/>
        </w:rPr>
      </w:pPr>
    </w:p>
    <w:p w14:paraId="5A6C7E7C" w14:textId="77777777" w:rsidR="00E35888" w:rsidRDefault="00E35888" w:rsidP="0018506D">
      <w:pPr>
        <w:spacing w:before="240" w:after="120"/>
        <w:jc w:val="both"/>
        <w:rPr>
          <w:rFonts w:ascii="Arial" w:hAnsi="Arial" w:cs="Arial"/>
          <w:sz w:val="24"/>
          <w:szCs w:val="24"/>
        </w:rPr>
      </w:pPr>
    </w:p>
    <w:p w14:paraId="53A1DF45" w14:textId="77777777" w:rsidR="00E35888" w:rsidRDefault="00E35888" w:rsidP="0018506D">
      <w:pPr>
        <w:spacing w:before="240" w:after="120"/>
        <w:jc w:val="both"/>
        <w:rPr>
          <w:rFonts w:ascii="Arial" w:hAnsi="Arial" w:cs="Arial"/>
          <w:sz w:val="24"/>
          <w:szCs w:val="24"/>
        </w:rPr>
      </w:pPr>
    </w:p>
    <w:p w14:paraId="7EC9F0BA" w14:textId="77777777" w:rsidR="00E35888" w:rsidRDefault="00E35888" w:rsidP="0018506D">
      <w:pPr>
        <w:spacing w:before="240" w:after="120"/>
        <w:jc w:val="both"/>
        <w:rPr>
          <w:rFonts w:ascii="Arial" w:hAnsi="Arial" w:cs="Arial"/>
          <w:sz w:val="24"/>
          <w:szCs w:val="24"/>
        </w:rPr>
      </w:pPr>
    </w:p>
    <w:p w14:paraId="1D777191" w14:textId="77777777" w:rsidR="00E35888" w:rsidRDefault="00E35888" w:rsidP="0018506D">
      <w:pPr>
        <w:spacing w:before="240" w:after="120"/>
        <w:jc w:val="both"/>
        <w:rPr>
          <w:rFonts w:ascii="Arial" w:hAnsi="Arial" w:cs="Arial"/>
          <w:sz w:val="24"/>
          <w:szCs w:val="24"/>
        </w:rPr>
      </w:pPr>
    </w:p>
    <w:p w14:paraId="7E807A6C" w14:textId="77777777" w:rsidR="00E35888" w:rsidRDefault="00E35888" w:rsidP="0018506D">
      <w:pPr>
        <w:spacing w:before="240" w:after="120"/>
        <w:jc w:val="both"/>
        <w:rPr>
          <w:rFonts w:ascii="Arial" w:hAnsi="Arial" w:cs="Arial"/>
          <w:sz w:val="24"/>
          <w:szCs w:val="24"/>
        </w:rPr>
      </w:pPr>
    </w:p>
    <w:p w14:paraId="08C0EE9C" w14:textId="77777777" w:rsidR="00E35888" w:rsidRDefault="00E35888" w:rsidP="0018506D">
      <w:pPr>
        <w:spacing w:before="240" w:after="120"/>
        <w:jc w:val="both"/>
        <w:rPr>
          <w:rFonts w:ascii="Arial" w:hAnsi="Arial" w:cs="Arial"/>
          <w:sz w:val="24"/>
          <w:szCs w:val="24"/>
        </w:rPr>
      </w:pPr>
    </w:p>
    <w:p w14:paraId="3241E8A8" w14:textId="77777777" w:rsidR="00E35888" w:rsidRDefault="00E35888" w:rsidP="0018506D">
      <w:pPr>
        <w:spacing w:before="240" w:after="120"/>
        <w:jc w:val="both"/>
        <w:rPr>
          <w:rFonts w:ascii="Arial" w:hAnsi="Arial" w:cs="Arial"/>
          <w:sz w:val="24"/>
          <w:szCs w:val="24"/>
        </w:rPr>
      </w:pPr>
    </w:p>
    <w:p w14:paraId="55C48BC6" w14:textId="77777777" w:rsidR="00E35888" w:rsidRDefault="00E35888" w:rsidP="0018506D">
      <w:pPr>
        <w:spacing w:before="240" w:after="120"/>
        <w:jc w:val="both"/>
        <w:rPr>
          <w:rFonts w:ascii="Arial" w:hAnsi="Arial" w:cs="Arial"/>
          <w:sz w:val="24"/>
          <w:szCs w:val="24"/>
        </w:rPr>
      </w:pPr>
    </w:p>
    <w:p w14:paraId="6E2412CF" w14:textId="77777777" w:rsidR="00E35888" w:rsidRDefault="00E35888" w:rsidP="0018506D">
      <w:pPr>
        <w:spacing w:before="240" w:after="120"/>
        <w:jc w:val="both"/>
        <w:rPr>
          <w:rFonts w:ascii="Arial" w:hAnsi="Arial" w:cs="Arial"/>
          <w:sz w:val="24"/>
          <w:szCs w:val="24"/>
        </w:rPr>
      </w:pPr>
    </w:p>
    <w:p w14:paraId="7F608FC6" w14:textId="77777777" w:rsidR="00E35888" w:rsidRDefault="00E35888" w:rsidP="0018506D">
      <w:pPr>
        <w:spacing w:before="240" w:after="120"/>
        <w:jc w:val="both"/>
        <w:rPr>
          <w:rFonts w:ascii="Arial" w:hAnsi="Arial" w:cs="Arial"/>
          <w:sz w:val="24"/>
          <w:szCs w:val="24"/>
        </w:rPr>
      </w:pPr>
    </w:p>
    <w:p w14:paraId="5DB8408D" w14:textId="05CF5E47" w:rsidR="0018506D" w:rsidRPr="00BA57A6" w:rsidRDefault="0018506D" w:rsidP="0018506D">
      <w:pPr>
        <w:spacing w:before="240" w:after="120"/>
        <w:jc w:val="both"/>
        <w:rPr>
          <w:rFonts w:ascii="Arial" w:hAnsi="Arial" w:cs="Arial"/>
          <w:sz w:val="24"/>
          <w:szCs w:val="24"/>
        </w:rPr>
      </w:pPr>
      <w:r>
        <w:rPr>
          <w:rFonts w:ascii="Times New Roman" w:eastAsia="Times New Roman" w:hAnsi="Times New Roman"/>
          <w:noProof/>
          <w:color w:val="000000"/>
          <w:sz w:val="20"/>
          <w:szCs w:val="20"/>
          <w:lang w:val="en-US"/>
        </w:rPr>
        <w:lastRenderedPageBreak/>
        <w:drawing>
          <wp:anchor distT="0" distB="0" distL="114300" distR="114300" simplePos="0" relativeHeight="251663360" behindDoc="0" locked="0" layoutInCell="0" allowOverlap="0" wp14:anchorId="1C584664" wp14:editId="01913749">
            <wp:simplePos x="0" y="0"/>
            <wp:positionH relativeFrom="margin">
              <wp:posOffset>2312670</wp:posOffset>
            </wp:positionH>
            <wp:positionV relativeFrom="paragraph">
              <wp:posOffset>261620</wp:posOffset>
            </wp:positionV>
            <wp:extent cx="862965" cy="811530"/>
            <wp:effectExtent l="0" t="0" r="0" b="7620"/>
            <wp:wrapSquare wrapText="bothSides"/>
            <wp:docPr id="3" name="Picture 3" descr="Description: 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jpg" descr="Description: stema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2965" cy="811530"/>
                    </a:xfrm>
                    <a:prstGeom prst="rect">
                      <a:avLst/>
                    </a:prstGeom>
                    <a:noFill/>
                    <a:ln>
                      <a:noFill/>
                    </a:ln>
                  </pic:spPr>
                </pic:pic>
              </a:graphicData>
            </a:graphic>
          </wp:anchor>
        </w:drawing>
      </w:r>
    </w:p>
    <w:p w14:paraId="0091591D" w14:textId="77777777" w:rsidR="0018506D" w:rsidRPr="00BA57A6" w:rsidRDefault="0018506D" w:rsidP="0018506D">
      <w:pPr>
        <w:tabs>
          <w:tab w:val="left" w:pos="7020"/>
        </w:tabs>
        <w:jc w:val="both"/>
        <w:rPr>
          <w:b/>
        </w:rPr>
      </w:pPr>
    </w:p>
    <w:p w14:paraId="6314529F" w14:textId="77777777" w:rsidR="0018506D" w:rsidRPr="00D849E3" w:rsidRDefault="0018506D" w:rsidP="0018506D">
      <w:pPr>
        <w:spacing w:after="0"/>
        <w:jc w:val="both"/>
        <w:rPr>
          <w:rFonts w:ascii="Times New Roman" w:eastAsia="Times New Roman" w:hAnsi="Times New Roman"/>
          <w:color w:val="000000"/>
          <w:sz w:val="20"/>
          <w:szCs w:val="20"/>
          <w:lang w:eastAsia="sq-AL"/>
        </w:rPr>
      </w:pPr>
    </w:p>
    <w:p w14:paraId="1DB29A99" w14:textId="77777777" w:rsidR="0018506D" w:rsidRPr="00D849E3" w:rsidRDefault="0018506D" w:rsidP="0018506D">
      <w:pPr>
        <w:spacing w:after="0"/>
        <w:jc w:val="center"/>
        <w:rPr>
          <w:rFonts w:ascii="Times New Roman" w:eastAsia="Times New Roman" w:hAnsi="Times New Roman"/>
          <w:color w:val="000000"/>
          <w:sz w:val="20"/>
          <w:szCs w:val="20"/>
          <w:lang w:eastAsia="sq-AL"/>
        </w:rPr>
      </w:pPr>
    </w:p>
    <w:p w14:paraId="67E18FAF" w14:textId="77777777" w:rsidR="0018506D" w:rsidRPr="00D849E3" w:rsidRDefault="0018506D" w:rsidP="0018506D">
      <w:pPr>
        <w:spacing w:after="0"/>
        <w:jc w:val="center"/>
        <w:rPr>
          <w:rFonts w:ascii="Times New Roman" w:eastAsia="Times New Roman" w:hAnsi="Times New Roman"/>
          <w:color w:val="000000"/>
          <w:sz w:val="20"/>
          <w:szCs w:val="20"/>
          <w:lang w:eastAsia="sq-AL"/>
        </w:rPr>
      </w:pPr>
      <w:r w:rsidRPr="00D849E3">
        <w:rPr>
          <w:rFonts w:ascii="Times New Roman" w:eastAsia="Times New Roman" w:hAnsi="Times New Roman"/>
          <w:color w:val="000000"/>
          <w:sz w:val="20"/>
          <w:szCs w:val="20"/>
          <w:lang w:eastAsia="sq-AL"/>
        </w:rPr>
        <w:t xml:space="preserve">                                                                                                                                                                                                                                                                                                                                                                                                                                                                                                                                                                                                                                                                                                                                                                                                                                                                                                                                                                                                                                                                                                                                                                                                                                                                                                                                                                                                          </w:t>
      </w:r>
    </w:p>
    <w:p w14:paraId="53521DF1" w14:textId="77777777" w:rsidR="0018506D" w:rsidRPr="00D849E3" w:rsidRDefault="0018506D" w:rsidP="0018506D">
      <w:pPr>
        <w:spacing w:after="0"/>
        <w:jc w:val="center"/>
        <w:rPr>
          <w:rFonts w:ascii="Times New Roman" w:eastAsia="Times New Roman" w:hAnsi="Times New Roman"/>
          <w:i/>
          <w:color w:val="000000"/>
          <w:sz w:val="20"/>
          <w:szCs w:val="20"/>
          <w:lang w:eastAsia="sq-AL"/>
        </w:rPr>
      </w:pPr>
    </w:p>
    <w:p w14:paraId="10537993" w14:textId="77777777" w:rsidR="0018506D" w:rsidRPr="00D849E3" w:rsidRDefault="0018506D" w:rsidP="0018506D">
      <w:pPr>
        <w:spacing w:after="0"/>
        <w:jc w:val="center"/>
        <w:rPr>
          <w:rFonts w:ascii="Times New Roman" w:eastAsia="Times New Roman" w:hAnsi="Times New Roman"/>
          <w:i/>
          <w:color w:val="000000"/>
          <w:sz w:val="20"/>
          <w:szCs w:val="20"/>
          <w:lang w:eastAsia="sq-AL"/>
        </w:rPr>
      </w:pPr>
      <w:r w:rsidRPr="00D849E3">
        <w:rPr>
          <w:rFonts w:ascii="Times New Roman" w:eastAsia="Times New Roman" w:hAnsi="Times New Roman"/>
          <w:b/>
          <w:i/>
          <w:color w:val="000000"/>
          <w:sz w:val="24"/>
          <w:szCs w:val="24"/>
          <w:lang w:eastAsia="sq-AL"/>
        </w:rPr>
        <w:t>Republika e Kosovës</w:t>
      </w:r>
    </w:p>
    <w:p w14:paraId="6D6BB9C4" w14:textId="77777777" w:rsidR="0018506D" w:rsidRPr="00D849E3" w:rsidRDefault="0018506D" w:rsidP="0018506D">
      <w:pPr>
        <w:spacing w:after="0"/>
        <w:jc w:val="center"/>
        <w:rPr>
          <w:rFonts w:ascii="Times New Roman" w:eastAsia="Times New Roman" w:hAnsi="Times New Roman"/>
          <w:i/>
          <w:color w:val="000000"/>
          <w:sz w:val="20"/>
          <w:szCs w:val="20"/>
          <w:lang w:eastAsia="sq-AL"/>
        </w:rPr>
      </w:pPr>
      <w:r w:rsidRPr="00D849E3">
        <w:rPr>
          <w:rFonts w:ascii="Times New Roman" w:eastAsia="Times New Roman" w:hAnsi="Times New Roman"/>
          <w:b/>
          <w:i/>
          <w:color w:val="000000"/>
          <w:sz w:val="24"/>
          <w:szCs w:val="24"/>
          <w:lang w:eastAsia="sq-AL"/>
        </w:rPr>
        <w:t>Republika Kosovo-Republic of Kosovo</w:t>
      </w:r>
    </w:p>
    <w:p w14:paraId="58C28B57" w14:textId="77777777" w:rsidR="0018506D" w:rsidRDefault="0018506D" w:rsidP="0018506D">
      <w:pPr>
        <w:spacing w:after="0"/>
        <w:jc w:val="center"/>
        <w:rPr>
          <w:rFonts w:ascii="Times New Roman" w:eastAsia="Times New Roman" w:hAnsi="Times New Roman"/>
          <w:b/>
          <w:i/>
          <w:color w:val="000000"/>
          <w:sz w:val="24"/>
          <w:szCs w:val="24"/>
          <w:lang w:eastAsia="sq-AL"/>
        </w:rPr>
      </w:pPr>
      <w:r w:rsidRPr="00D849E3">
        <w:rPr>
          <w:rFonts w:ascii="Times New Roman" w:eastAsia="Times New Roman" w:hAnsi="Times New Roman"/>
          <w:b/>
          <w:i/>
          <w:color w:val="000000"/>
          <w:sz w:val="24"/>
          <w:szCs w:val="24"/>
          <w:lang w:eastAsia="sq-AL"/>
        </w:rPr>
        <w:t>Qeveria-Vlada-Government</w:t>
      </w:r>
    </w:p>
    <w:p w14:paraId="3A685B41" w14:textId="77777777" w:rsidR="0018506D" w:rsidRPr="006965C2" w:rsidRDefault="0018506D" w:rsidP="0018506D">
      <w:pPr>
        <w:spacing w:after="0"/>
        <w:jc w:val="center"/>
        <w:rPr>
          <w:rFonts w:ascii="Times New Roman" w:eastAsia="Times New Roman" w:hAnsi="Times New Roman"/>
          <w:b/>
          <w:i/>
          <w:color w:val="000000"/>
          <w:sz w:val="24"/>
          <w:szCs w:val="24"/>
          <w:lang w:eastAsia="sq-AL"/>
        </w:rPr>
      </w:pPr>
      <w:r w:rsidRPr="006965C2">
        <w:rPr>
          <w:rFonts w:ascii="Times New Roman" w:eastAsia="Times New Roman" w:hAnsi="Times New Roman"/>
          <w:b/>
          <w:i/>
          <w:color w:val="000000"/>
          <w:sz w:val="24"/>
          <w:szCs w:val="24"/>
          <w:lang w:eastAsia="sq-AL"/>
        </w:rPr>
        <w:t>Ministria e Mjedisit, Planifikimit Hapësinor dhe Infrastrukturës</w:t>
      </w:r>
    </w:p>
    <w:p w14:paraId="50818D80" w14:textId="77777777" w:rsidR="0018506D" w:rsidRPr="006965C2" w:rsidRDefault="0018506D" w:rsidP="0018506D">
      <w:pPr>
        <w:spacing w:after="0"/>
        <w:jc w:val="center"/>
        <w:rPr>
          <w:rFonts w:ascii="Times New Roman" w:eastAsia="Times New Roman" w:hAnsi="Times New Roman"/>
          <w:b/>
          <w:i/>
          <w:color w:val="000000"/>
          <w:sz w:val="24"/>
          <w:szCs w:val="24"/>
          <w:lang w:eastAsia="sq-AL"/>
        </w:rPr>
      </w:pPr>
      <w:r w:rsidRPr="006965C2">
        <w:rPr>
          <w:rFonts w:ascii="Times New Roman" w:eastAsia="Times New Roman" w:hAnsi="Times New Roman"/>
          <w:b/>
          <w:i/>
          <w:color w:val="000000"/>
          <w:sz w:val="24"/>
          <w:szCs w:val="24"/>
          <w:lang w:eastAsia="sq-AL"/>
        </w:rPr>
        <w:t>Ministry of Environment, Spatial Planning and Infrastructure</w:t>
      </w:r>
    </w:p>
    <w:p w14:paraId="151E4CE2" w14:textId="77777777" w:rsidR="0018506D" w:rsidRDefault="0018506D" w:rsidP="0018506D">
      <w:pPr>
        <w:spacing w:after="0"/>
        <w:jc w:val="center"/>
        <w:rPr>
          <w:rFonts w:ascii="Times New Roman" w:eastAsia="Times New Roman" w:hAnsi="Times New Roman"/>
          <w:b/>
          <w:i/>
          <w:color w:val="000000"/>
          <w:sz w:val="24"/>
          <w:szCs w:val="24"/>
          <w:lang w:eastAsia="sq-AL"/>
        </w:rPr>
      </w:pPr>
      <w:r w:rsidRPr="006965C2">
        <w:rPr>
          <w:rFonts w:ascii="Times New Roman" w:eastAsia="Times New Roman" w:hAnsi="Times New Roman"/>
          <w:b/>
          <w:i/>
          <w:color w:val="000000"/>
          <w:sz w:val="24"/>
          <w:szCs w:val="24"/>
          <w:lang w:eastAsia="sq-AL"/>
        </w:rPr>
        <w:t>Ministarstvo Životne Sredine, Prostornog Planiranja i Infrastrukture</w:t>
      </w:r>
    </w:p>
    <w:p w14:paraId="4678245C" w14:textId="77777777" w:rsidR="0018506D" w:rsidRPr="00D849E3" w:rsidRDefault="0018506D" w:rsidP="0018506D">
      <w:pPr>
        <w:tabs>
          <w:tab w:val="left" w:pos="5774"/>
        </w:tabs>
        <w:spacing w:after="0"/>
        <w:rPr>
          <w:rFonts w:ascii="Times New Roman" w:eastAsia="Times New Roman" w:hAnsi="Times New Roman"/>
          <w:i/>
          <w:color w:val="000000"/>
          <w:sz w:val="20"/>
          <w:szCs w:val="20"/>
          <w:lang w:eastAsia="sq-AL"/>
        </w:rPr>
      </w:pPr>
    </w:p>
    <w:p w14:paraId="0A17C859" w14:textId="77777777" w:rsidR="0018506D" w:rsidRPr="00D849E3" w:rsidRDefault="0018506D" w:rsidP="0018506D">
      <w:pPr>
        <w:pBdr>
          <w:bottom w:val="single" w:sz="12" w:space="1" w:color="auto"/>
        </w:pBdr>
        <w:tabs>
          <w:tab w:val="left" w:pos="5067"/>
        </w:tabs>
        <w:spacing w:before="2" w:after="0"/>
        <w:rPr>
          <w:rFonts w:ascii="Times New Roman" w:eastAsia="Times New Roman" w:hAnsi="Times New Roman"/>
          <w:color w:val="000000"/>
          <w:sz w:val="20"/>
          <w:szCs w:val="20"/>
          <w:lang w:eastAsia="sq-AL"/>
        </w:rPr>
      </w:pPr>
    </w:p>
    <w:p w14:paraId="4D6DB986" w14:textId="77777777" w:rsidR="0018506D" w:rsidRPr="00D849E3" w:rsidRDefault="0018506D" w:rsidP="0018506D">
      <w:pPr>
        <w:tabs>
          <w:tab w:val="left" w:pos="5067"/>
        </w:tabs>
        <w:spacing w:before="2" w:after="0"/>
        <w:jc w:val="center"/>
        <w:rPr>
          <w:rFonts w:ascii="Times New Roman" w:eastAsia="Times New Roman" w:hAnsi="Times New Roman"/>
          <w:color w:val="000000"/>
          <w:sz w:val="20"/>
          <w:szCs w:val="20"/>
          <w:lang w:eastAsia="sq-AL"/>
        </w:rPr>
      </w:pPr>
    </w:p>
    <w:p w14:paraId="0573368E" w14:textId="77777777" w:rsidR="0018506D" w:rsidRPr="00BA57A6" w:rsidRDefault="0018506D" w:rsidP="0018506D">
      <w:pPr>
        <w:spacing w:before="240" w:after="120"/>
        <w:rPr>
          <w:rFonts w:ascii="Times New Roman" w:hAnsi="Times New Roman"/>
          <w:sz w:val="24"/>
          <w:szCs w:val="24"/>
        </w:rPr>
      </w:pPr>
    </w:p>
    <w:p w14:paraId="4C45F88D" w14:textId="1C0AF65C" w:rsidR="0018506D" w:rsidRPr="0018506D" w:rsidRDefault="0018506D" w:rsidP="0018506D">
      <w:pPr>
        <w:spacing w:before="120" w:after="120"/>
        <w:jc w:val="center"/>
        <w:rPr>
          <w:rFonts w:ascii="Times New Roman" w:hAnsi="Times New Roman"/>
          <w:b/>
          <w:sz w:val="32"/>
          <w:szCs w:val="32"/>
        </w:rPr>
      </w:pPr>
      <w:r w:rsidRPr="0018506D">
        <w:rPr>
          <w:rFonts w:ascii="Times New Roman" w:hAnsi="Times New Roman"/>
          <w:b/>
          <w:sz w:val="32"/>
          <w:szCs w:val="32"/>
        </w:rPr>
        <w:t xml:space="preserve">Dokument za konsultacije za izradu Nacionalnog </w:t>
      </w:r>
      <w:r>
        <w:rPr>
          <w:rFonts w:ascii="Times New Roman" w:hAnsi="Times New Roman"/>
          <w:b/>
          <w:sz w:val="32"/>
          <w:szCs w:val="32"/>
        </w:rPr>
        <w:t>P</w:t>
      </w:r>
      <w:r w:rsidRPr="0018506D">
        <w:rPr>
          <w:rFonts w:ascii="Times New Roman" w:hAnsi="Times New Roman"/>
          <w:b/>
          <w:sz w:val="32"/>
          <w:szCs w:val="32"/>
        </w:rPr>
        <w:t>lana</w:t>
      </w:r>
    </w:p>
    <w:p w14:paraId="2D8368B4" w14:textId="2DAF9FD7" w:rsidR="0018506D" w:rsidRPr="001C4FB1" w:rsidRDefault="00E35888" w:rsidP="0018506D">
      <w:pPr>
        <w:spacing w:before="120" w:after="120"/>
        <w:jc w:val="center"/>
        <w:rPr>
          <w:b/>
          <w:sz w:val="28"/>
          <w:szCs w:val="28"/>
        </w:rPr>
      </w:pPr>
      <w:r>
        <w:rPr>
          <w:rFonts w:ascii="Times New Roman" w:hAnsi="Times New Roman"/>
          <w:b/>
          <w:sz w:val="32"/>
          <w:szCs w:val="32"/>
        </w:rPr>
        <w:t xml:space="preserve">za </w:t>
      </w:r>
      <w:r w:rsidR="0018506D">
        <w:rPr>
          <w:rFonts w:ascii="Times New Roman" w:hAnsi="Times New Roman"/>
          <w:b/>
          <w:sz w:val="32"/>
          <w:szCs w:val="32"/>
        </w:rPr>
        <w:t>E</w:t>
      </w:r>
      <w:r w:rsidR="0018506D" w:rsidRPr="0018506D">
        <w:rPr>
          <w:rFonts w:ascii="Times New Roman" w:hAnsi="Times New Roman"/>
          <w:b/>
          <w:sz w:val="32"/>
          <w:szCs w:val="32"/>
        </w:rPr>
        <w:t xml:space="preserve">nergiju i </w:t>
      </w:r>
      <w:r w:rsidR="0018506D">
        <w:rPr>
          <w:rFonts w:ascii="Times New Roman" w:hAnsi="Times New Roman"/>
          <w:b/>
          <w:sz w:val="32"/>
          <w:szCs w:val="32"/>
        </w:rPr>
        <w:t>K</w:t>
      </w:r>
      <w:r w:rsidR="0018506D" w:rsidRPr="0018506D">
        <w:rPr>
          <w:rFonts w:ascii="Times New Roman" w:hAnsi="Times New Roman"/>
          <w:b/>
          <w:sz w:val="32"/>
          <w:szCs w:val="32"/>
        </w:rPr>
        <w:t>limu</w:t>
      </w:r>
      <w:r>
        <w:rPr>
          <w:rFonts w:ascii="Times New Roman" w:hAnsi="Times New Roman"/>
          <w:b/>
          <w:sz w:val="32"/>
          <w:szCs w:val="32"/>
        </w:rPr>
        <w:t xml:space="preserve"> 2025-2030</w:t>
      </w:r>
    </w:p>
    <w:p w14:paraId="25548102" w14:textId="77777777" w:rsidR="0018506D" w:rsidRPr="00BA57A6" w:rsidRDefault="0018506D" w:rsidP="0018506D">
      <w:pPr>
        <w:spacing w:before="240" w:after="120"/>
        <w:jc w:val="center"/>
        <w:rPr>
          <w:rFonts w:ascii="Times New Roman" w:hAnsi="Times New Roman"/>
          <w:sz w:val="24"/>
          <w:szCs w:val="24"/>
        </w:rPr>
      </w:pPr>
    </w:p>
    <w:p w14:paraId="35E5E55F" w14:textId="77777777" w:rsidR="0018506D" w:rsidRDefault="0018506D" w:rsidP="0018506D">
      <w:pPr>
        <w:spacing w:before="240" w:after="120"/>
        <w:jc w:val="center"/>
        <w:rPr>
          <w:rFonts w:ascii="Times New Roman" w:hAnsi="Times New Roman"/>
          <w:sz w:val="24"/>
          <w:szCs w:val="24"/>
        </w:rPr>
      </w:pPr>
    </w:p>
    <w:p w14:paraId="4F9D3777" w14:textId="77777777" w:rsidR="0018506D" w:rsidRPr="00BA57A6" w:rsidRDefault="0018506D" w:rsidP="0018506D">
      <w:pPr>
        <w:spacing w:before="240" w:after="120"/>
        <w:jc w:val="center"/>
        <w:rPr>
          <w:rFonts w:ascii="Times New Roman" w:hAnsi="Times New Roman"/>
          <w:sz w:val="24"/>
          <w:szCs w:val="24"/>
        </w:rPr>
      </w:pPr>
    </w:p>
    <w:p w14:paraId="5D65B4C8" w14:textId="77777777" w:rsidR="0018506D" w:rsidRPr="00BA57A6" w:rsidRDefault="0018506D" w:rsidP="0018506D">
      <w:pPr>
        <w:spacing w:before="240" w:after="120"/>
        <w:jc w:val="center"/>
        <w:rPr>
          <w:rFonts w:ascii="Times New Roman" w:hAnsi="Times New Roman"/>
          <w:sz w:val="24"/>
          <w:szCs w:val="24"/>
        </w:rPr>
      </w:pPr>
    </w:p>
    <w:p w14:paraId="21D553B8" w14:textId="77777777" w:rsidR="0018506D" w:rsidRDefault="0018506D" w:rsidP="0018506D">
      <w:pPr>
        <w:spacing w:before="240" w:after="120"/>
        <w:jc w:val="center"/>
        <w:rPr>
          <w:rFonts w:ascii="Times New Roman" w:hAnsi="Times New Roman"/>
          <w:sz w:val="24"/>
          <w:szCs w:val="24"/>
        </w:rPr>
      </w:pPr>
    </w:p>
    <w:p w14:paraId="0FF98560" w14:textId="77777777" w:rsidR="0018506D" w:rsidRDefault="0018506D" w:rsidP="0018506D">
      <w:pPr>
        <w:spacing w:before="240" w:after="120"/>
        <w:jc w:val="center"/>
        <w:rPr>
          <w:rFonts w:ascii="Times New Roman" w:hAnsi="Times New Roman"/>
          <w:sz w:val="24"/>
          <w:szCs w:val="24"/>
        </w:rPr>
      </w:pPr>
    </w:p>
    <w:p w14:paraId="727E6AF2" w14:textId="77777777" w:rsidR="0018506D" w:rsidRDefault="0018506D" w:rsidP="0018506D">
      <w:pPr>
        <w:spacing w:before="240" w:after="120"/>
        <w:jc w:val="center"/>
        <w:rPr>
          <w:rFonts w:ascii="Times New Roman" w:hAnsi="Times New Roman"/>
          <w:sz w:val="24"/>
          <w:szCs w:val="24"/>
        </w:rPr>
      </w:pPr>
    </w:p>
    <w:p w14:paraId="76D9B328" w14:textId="77777777" w:rsidR="0018506D" w:rsidRDefault="0018506D" w:rsidP="0018506D">
      <w:pPr>
        <w:spacing w:before="240" w:after="120"/>
        <w:jc w:val="center"/>
        <w:rPr>
          <w:rFonts w:ascii="Times New Roman" w:hAnsi="Times New Roman"/>
          <w:sz w:val="24"/>
          <w:szCs w:val="24"/>
        </w:rPr>
      </w:pPr>
    </w:p>
    <w:p w14:paraId="18BAFF71" w14:textId="77777777" w:rsidR="0018506D" w:rsidRDefault="0018506D" w:rsidP="0018506D">
      <w:pPr>
        <w:spacing w:before="240" w:after="120"/>
        <w:jc w:val="center"/>
        <w:rPr>
          <w:rFonts w:ascii="Times New Roman" w:hAnsi="Times New Roman"/>
          <w:sz w:val="24"/>
          <w:szCs w:val="24"/>
        </w:rPr>
      </w:pPr>
    </w:p>
    <w:p w14:paraId="58E659E8" w14:textId="77777777" w:rsidR="0018506D" w:rsidRDefault="0018506D" w:rsidP="0018506D">
      <w:pPr>
        <w:spacing w:before="240" w:after="120"/>
        <w:jc w:val="center"/>
        <w:rPr>
          <w:rFonts w:ascii="Times New Roman" w:hAnsi="Times New Roman"/>
          <w:sz w:val="24"/>
          <w:szCs w:val="24"/>
        </w:rPr>
      </w:pPr>
    </w:p>
    <w:p w14:paraId="1813FA8A" w14:textId="77777777" w:rsidR="0018506D" w:rsidRDefault="0018506D" w:rsidP="0018506D">
      <w:pPr>
        <w:spacing w:before="240" w:after="120"/>
        <w:jc w:val="center"/>
        <w:rPr>
          <w:rFonts w:ascii="Times New Roman" w:hAnsi="Times New Roman"/>
          <w:sz w:val="24"/>
          <w:szCs w:val="24"/>
        </w:rPr>
      </w:pPr>
      <w:r>
        <w:rPr>
          <w:rFonts w:ascii="Times New Roman" w:hAnsi="Times New Roman"/>
          <w:sz w:val="24"/>
          <w:szCs w:val="24"/>
        </w:rPr>
        <w:t>(2024)</w:t>
      </w:r>
    </w:p>
    <w:p w14:paraId="517F5121" w14:textId="77777777" w:rsidR="0018506D" w:rsidRPr="00BA57A6" w:rsidRDefault="0018506D" w:rsidP="0018506D">
      <w:pPr>
        <w:spacing w:before="240" w:after="120"/>
        <w:rPr>
          <w:rFonts w:ascii="Times New Roman" w:hAnsi="Times New Roman"/>
          <w:sz w:val="24"/>
          <w:szCs w:val="24"/>
        </w:rPr>
      </w:pPr>
    </w:p>
    <w:p w14:paraId="2CBFC375" w14:textId="50781B60" w:rsidR="006544CA" w:rsidRDefault="006544CA" w:rsidP="005F1B15">
      <w:pPr>
        <w:spacing w:after="0"/>
        <w:jc w:val="both"/>
        <w:rPr>
          <w:rFonts w:ascii="Times New Roman" w:hAnsi="Times New Roman"/>
          <w:b/>
          <w:sz w:val="24"/>
          <w:szCs w:val="24"/>
        </w:rPr>
      </w:pPr>
    </w:p>
    <w:p w14:paraId="2ABF1BC0" w14:textId="04403B35" w:rsidR="0018506D" w:rsidRDefault="0018506D" w:rsidP="005F1B15">
      <w:pPr>
        <w:spacing w:after="0"/>
        <w:jc w:val="both"/>
        <w:rPr>
          <w:rFonts w:ascii="Times New Roman" w:hAnsi="Times New Roman"/>
          <w:b/>
          <w:sz w:val="24"/>
          <w:szCs w:val="24"/>
        </w:rPr>
      </w:pPr>
    </w:p>
    <w:p w14:paraId="2F2C0C17" w14:textId="713CBFF3" w:rsidR="0018506D" w:rsidRDefault="0018506D" w:rsidP="005F1B15">
      <w:pPr>
        <w:spacing w:after="0"/>
        <w:jc w:val="both"/>
        <w:rPr>
          <w:rFonts w:ascii="Times New Roman" w:hAnsi="Times New Roman"/>
          <w:b/>
          <w:sz w:val="24"/>
          <w:szCs w:val="24"/>
        </w:rPr>
      </w:pPr>
    </w:p>
    <w:p w14:paraId="429CB787" w14:textId="669A47F2" w:rsidR="0018506D" w:rsidRDefault="0018506D" w:rsidP="005F1B15">
      <w:pPr>
        <w:spacing w:after="0"/>
        <w:jc w:val="both"/>
        <w:rPr>
          <w:rFonts w:ascii="Times New Roman" w:hAnsi="Times New Roman"/>
          <w:b/>
          <w:sz w:val="24"/>
          <w:szCs w:val="24"/>
        </w:rPr>
      </w:pPr>
      <w:r w:rsidRPr="0018506D">
        <w:rPr>
          <w:rFonts w:ascii="Times New Roman" w:hAnsi="Times New Roman"/>
          <w:b/>
          <w:sz w:val="24"/>
          <w:szCs w:val="24"/>
        </w:rPr>
        <w:lastRenderedPageBreak/>
        <w:t>Kratak rezime</w:t>
      </w:r>
    </w:p>
    <w:p w14:paraId="47C704DA" w14:textId="3AED866D" w:rsidR="0018506D" w:rsidRDefault="0018506D" w:rsidP="005F1B15">
      <w:pPr>
        <w:spacing w:after="0"/>
        <w:jc w:val="both"/>
        <w:rPr>
          <w:rFonts w:ascii="Times New Roman" w:hAnsi="Times New Roman"/>
          <w:b/>
          <w:sz w:val="24"/>
          <w:szCs w:val="24"/>
        </w:rPr>
      </w:pPr>
    </w:p>
    <w:p w14:paraId="461850BA" w14:textId="77777777" w:rsidR="0018506D" w:rsidRPr="0018506D" w:rsidRDefault="0018506D" w:rsidP="0018506D">
      <w:pPr>
        <w:spacing w:after="0"/>
        <w:jc w:val="both"/>
        <w:rPr>
          <w:rFonts w:ascii="Times New Roman" w:hAnsi="Times New Roman"/>
          <w:sz w:val="24"/>
          <w:szCs w:val="24"/>
        </w:rPr>
      </w:pPr>
      <w:r w:rsidRPr="0018506D">
        <w:rPr>
          <w:rFonts w:ascii="Times New Roman" w:hAnsi="Times New Roman"/>
          <w:sz w:val="24"/>
          <w:szCs w:val="24"/>
        </w:rPr>
        <w:t xml:space="preserve">Proces izrade Nacionalnog energetskog i klimatskog plana (NEKP) Kosova je počeo 2020-2021. Međutim, proces je stavljen na čekanje do usvajanja novih ciljeva za 2030. na nivou Energetske zajednice. Da bi se uskladila sa ovim obavezama, Vlada Kosova je usvojila novu Energetsku strategiju za period 2022-2031 koja postavlja dugoročne strateške ciljeve za energetsku efikasnost, obnovljivu energiju i emisiju gasova sa efektom staklene bašte. Energetska strategija je ambiciozna, postavlja ciljeve za dekarbonizaciju i usklađuje se sa regionalnim sporazumima i ciljevima EU o kojima se razgovaralo i usaglasilo u Ministarskom savetu Energetske zajednice. </w:t>
      </w:r>
    </w:p>
    <w:p w14:paraId="2B1A5032" w14:textId="77777777" w:rsidR="00E35888" w:rsidRDefault="00E35888" w:rsidP="0018506D">
      <w:pPr>
        <w:spacing w:after="0"/>
        <w:jc w:val="both"/>
        <w:rPr>
          <w:rFonts w:ascii="Times New Roman" w:hAnsi="Times New Roman"/>
          <w:sz w:val="24"/>
          <w:szCs w:val="24"/>
        </w:rPr>
      </w:pPr>
    </w:p>
    <w:p w14:paraId="2DDDC19E" w14:textId="0E3F3D2B" w:rsidR="0018506D" w:rsidRPr="0018506D" w:rsidRDefault="0018506D" w:rsidP="0018506D">
      <w:pPr>
        <w:spacing w:after="0"/>
        <w:jc w:val="both"/>
        <w:rPr>
          <w:rFonts w:ascii="Times New Roman" w:hAnsi="Times New Roman"/>
          <w:sz w:val="24"/>
          <w:szCs w:val="24"/>
        </w:rPr>
      </w:pPr>
      <w:r w:rsidRPr="0018506D">
        <w:rPr>
          <w:rFonts w:ascii="Times New Roman" w:hAnsi="Times New Roman"/>
          <w:sz w:val="24"/>
          <w:szCs w:val="24"/>
        </w:rPr>
        <w:t xml:space="preserve">Kosovo je usvojilo program za sprovođenje Energetske strategije 2022/2031 u septembru 2023. godine, koji uključuje listu od 5 strateških ciljeva: Poboljšanje otpornosti sistema, dekarbonizacija i promocija obnovljivih izvora energije, povećanje energetske efikasnosti, jačanje regionalne saradnje i funkcionisanja tržišta i zaštita i osnaživanje potrošača. </w:t>
      </w:r>
    </w:p>
    <w:p w14:paraId="2F59A045" w14:textId="23AAF6C3" w:rsidR="0018506D" w:rsidRPr="0018506D" w:rsidRDefault="0018506D" w:rsidP="0018506D">
      <w:pPr>
        <w:spacing w:after="0"/>
        <w:jc w:val="both"/>
        <w:rPr>
          <w:rFonts w:ascii="Times New Roman" w:hAnsi="Times New Roman"/>
          <w:sz w:val="24"/>
          <w:szCs w:val="24"/>
        </w:rPr>
      </w:pPr>
      <w:r w:rsidRPr="0018506D">
        <w:rPr>
          <w:rFonts w:ascii="Times New Roman" w:hAnsi="Times New Roman"/>
          <w:sz w:val="24"/>
          <w:szCs w:val="24"/>
        </w:rPr>
        <w:t xml:space="preserve">Ovi strateški ciljevi su pretočeni u 15 specifičnih ciljeva i </w:t>
      </w:r>
      <w:r w:rsidR="00D679F6">
        <w:rPr>
          <w:rFonts w:ascii="Times New Roman" w:hAnsi="Times New Roman"/>
          <w:sz w:val="24"/>
          <w:szCs w:val="24"/>
        </w:rPr>
        <w:t>7</w:t>
      </w:r>
      <w:r w:rsidRPr="0018506D">
        <w:rPr>
          <w:rFonts w:ascii="Times New Roman" w:hAnsi="Times New Roman"/>
          <w:sz w:val="24"/>
          <w:szCs w:val="24"/>
        </w:rPr>
        <w:t>0 mera za sprovođenje, a napredak će se pratiti kroz godišnji izveštaj o napretku. NEKP se zasniva na ciljevima, politikama i merama energetske strategije, i usklađen je sa najnovijim strateškim i regulatornim dokumentima koje je usvojila Vlada Kosova.  Ovaj sveobuhvatni pristup osigurava da su energetske politike Kosova u skladu sa širim regionalnim i evropskim ciljevima, podstičući regionalnu saradnju i integraciju u okviru energetske mreže zapadnog Balkana.</w:t>
      </w:r>
    </w:p>
    <w:p w14:paraId="2BE42FCF" w14:textId="77777777" w:rsidR="00E35888" w:rsidRDefault="00E35888" w:rsidP="0018506D">
      <w:pPr>
        <w:spacing w:after="0"/>
        <w:jc w:val="both"/>
        <w:rPr>
          <w:rFonts w:ascii="Times New Roman" w:hAnsi="Times New Roman"/>
          <w:sz w:val="24"/>
          <w:szCs w:val="24"/>
        </w:rPr>
      </w:pPr>
    </w:p>
    <w:p w14:paraId="1C6630B0" w14:textId="28E9C981" w:rsidR="0018506D" w:rsidRPr="0018506D" w:rsidRDefault="0018506D" w:rsidP="0018506D">
      <w:pPr>
        <w:spacing w:after="0"/>
        <w:jc w:val="both"/>
        <w:rPr>
          <w:rFonts w:ascii="Times New Roman" w:hAnsi="Times New Roman"/>
          <w:sz w:val="24"/>
          <w:szCs w:val="24"/>
        </w:rPr>
      </w:pPr>
      <w:r w:rsidRPr="0018506D">
        <w:rPr>
          <w:rFonts w:ascii="Times New Roman" w:hAnsi="Times New Roman"/>
          <w:sz w:val="24"/>
          <w:szCs w:val="24"/>
        </w:rPr>
        <w:t xml:space="preserve">S obzirom na da to Kosovo nije potpisnica Okvirne konvencije Ujedinjenih nacija o klimatskim promenama (UNFCCC), u januaru 2024. godine po prvi put je usvojen Zakon o klimatskim promenama, koji razgraničava dužnosti i odgovornosti državnih organa u ublažavanju efekata klimatskih promena, koordinaciji i praćenju njihovih ishoda i ispunjavanju obaveza navedenih u međunarodnim sporazumima koje je Kosovo obavezno da poštuje. </w:t>
      </w:r>
    </w:p>
    <w:p w14:paraId="3E30D93D" w14:textId="77777777" w:rsidR="00E35888" w:rsidRDefault="00E35888" w:rsidP="0018506D">
      <w:pPr>
        <w:spacing w:after="0"/>
        <w:jc w:val="both"/>
        <w:rPr>
          <w:rFonts w:ascii="Times New Roman" w:hAnsi="Times New Roman"/>
          <w:sz w:val="24"/>
          <w:szCs w:val="24"/>
        </w:rPr>
      </w:pPr>
    </w:p>
    <w:p w14:paraId="17669D91" w14:textId="181379B5" w:rsidR="0018506D" w:rsidRPr="0018506D" w:rsidRDefault="0018506D" w:rsidP="0018506D">
      <w:pPr>
        <w:spacing w:after="0"/>
        <w:jc w:val="both"/>
        <w:rPr>
          <w:rFonts w:ascii="Times New Roman" w:hAnsi="Times New Roman"/>
          <w:sz w:val="24"/>
          <w:szCs w:val="24"/>
        </w:rPr>
      </w:pPr>
      <w:r w:rsidRPr="0018506D">
        <w:rPr>
          <w:rFonts w:ascii="Times New Roman" w:hAnsi="Times New Roman"/>
          <w:sz w:val="24"/>
          <w:szCs w:val="24"/>
        </w:rPr>
        <w:t>Zakon o klimatskim promenama uspostavlja pravni okvir za NEKP, zajedno sa odgovarajućim mehanizmima praćenja i izveštavanja. On postavlja pravnu osnovu za razvoj dobrovoljnih nacionalno određenih doprinosa (NDC). Tokom godina, postignut je napredak u razvoju inventara gasova sa efektom staklene bašte (GHG) i usvajanju Strategije za klimatske promene 2018-2027 i akcionog plana za klimatske promene, 2019-2021. Sa Zakonom o klimatskim promenama na snazi, Kosovo je uspostavilo snažan regulatorni okvir za nacionalni sistem izveštavanja o emisijama GHG, ovo je značajan razvoj za dalje jačanje postojećih inicijativa za rešavanje klimatskih pitanja.</w:t>
      </w:r>
    </w:p>
    <w:p w14:paraId="5B656831" w14:textId="77777777" w:rsidR="00E35888" w:rsidRDefault="00E35888" w:rsidP="0018506D">
      <w:pPr>
        <w:spacing w:after="0"/>
        <w:jc w:val="both"/>
        <w:rPr>
          <w:rFonts w:ascii="Times New Roman" w:hAnsi="Times New Roman"/>
          <w:sz w:val="24"/>
          <w:szCs w:val="24"/>
        </w:rPr>
      </w:pPr>
    </w:p>
    <w:p w14:paraId="2B2F479B" w14:textId="77777777" w:rsidR="00E35888" w:rsidRDefault="0018506D" w:rsidP="0018506D">
      <w:pPr>
        <w:spacing w:after="0"/>
        <w:jc w:val="both"/>
        <w:rPr>
          <w:rFonts w:ascii="Times New Roman" w:hAnsi="Times New Roman"/>
          <w:sz w:val="24"/>
          <w:szCs w:val="24"/>
        </w:rPr>
      </w:pPr>
      <w:r w:rsidRPr="0018506D">
        <w:rPr>
          <w:rFonts w:ascii="Times New Roman" w:hAnsi="Times New Roman"/>
          <w:sz w:val="24"/>
          <w:szCs w:val="24"/>
        </w:rPr>
        <w:t xml:space="preserve">Štaviše, Kosovo je 2024. godine usvojilo novi Zakon o obnovljivim izvorima energije, sa ciljem da značajno podstakne korišćenje obnovljivih izvora energije u različitim sektorima. </w:t>
      </w:r>
    </w:p>
    <w:p w14:paraId="6A70A65A" w14:textId="77777777" w:rsidR="00E35888" w:rsidRDefault="00E35888" w:rsidP="0018506D">
      <w:pPr>
        <w:spacing w:after="0"/>
        <w:jc w:val="both"/>
        <w:rPr>
          <w:rFonts w:ascii="Times New Roman" w:hAnsi="Times New Roman"/>
          <w:sz w:val="24"/>
          <w:szCs w:val="24"/>
        </w:rPr>
      </w:pPr>
    </w:p>
    <w:p w14:paraId="56B77E0B" w14:textId="1A773673" w:rsidR="0018506D" w:rsidRPr="0018506D" w:rsidRDefault="0018506D" w:rsidP="0018506D">
      <w:pPr>
        <w:spacing w:after="0"/>
        <w:jc w:val="both"/>
        <w:rPr>
          <w:rFonts w:ascii="Times New Roman" w:hAnsi="Times New Roman"/>
          <w:sz w:val="24"/>
          <w:szCs w:val="24"/>
        </w:rPr>
      </w:pPr>
      <w:r w:rsidRPr="0018506D">
        <w:rPr>
          <w:rFonts w:ascii="Times New Roman" w:hAnsi="Times New Roman"/>
          <w:sz w:val="24"/>
          <w:szCs w:val="24"/>
        </w:rPr>
        <w:t>Konkretno, cilj nam je širenje obnovljivih izvora energije u proizvodnji električne energije, promovisanje kogeneracije u sektoru grejanja i hlađenja i podsticanje integracije obnovljive energije u sektor saobraćaja. Ova zakonodavna prekretnica pokazuje našu posvećenost prelasku na održiviji i ekološki prihvatljiviji energetski pejzaž.</w:t>
      </w:r>
    </w:p>
    <w:p w14:paraId="454AE980" w14:textId="578F4531" w:rsidR="0018506D" w:rsidRDefault="0018506D" w:rsidP="0018506D">
      <w:pPr>
        <w:spacing w:after="0"/>
        <w:jc w:val="both"/>
        <w:rPr>
          <w:rFonts w:ascii="Times New Roman" w:hAnsi="Times New Roman"/>
          <w:sz w:val="24"/>
          <w:szCs w:val="24"/>
        </w:rPr>
      </w:pPr>
      <w:r w:rsidRPr="0018506D">
        <w:rPr>
          <w:rFonts w:ascii="Times New Roman" w:hAnsi="Times New Roman"/>
          <w:sz w:val="24"/>
          <w:szCs w:val="24"/>
        </w:rPr>
        <w:lastRenderedPageBreak/>
        <w:t>Akcije navedene u NEKP-u pokazuju posvećenost i privreženost Kosova da transformacija energetskog sektora bude međusobno povezana sa socijalnom pravdom. Građani će biti centralni za ovu transformativnu energetsku budućnost, obezbeđujući im pristup pristupačnoj energiji i mogućnostima da aktivno učestvuju u sektoru, uključujući i proizvodnju i sopstvenu potrošnju. Posebna podrška će biti pružena najugroženijim grupama, pomažući im da imaju koristi od inicijativa kao što su šeme socijalne podrške, ili programi podrške za smanjenje tereta u smislu pristupačnosti pristupa energiji, kako bi se osigurala transparentnost Kosovo je posvećeno razvoju pravne definicije za ugrožene kupce i uspostavljanju sveobuhvatnog registra ugroženih kupaca.</w:t>
      </w:r>
    </w:p>
    <w:p w14:paraId="2E5E4D22" w14:textId="2FE7D2A6" w:rsidR="0018506D" w:rsidRDefault="0018506D" w:rsidP="0018506D">
      <w:pPr>
        <w:spacing w:after="0"/>
        <w:jc w:val="both"/>
        <w:rPr>
          <w:rFonts w:ascii="Times New Roman" w:hAnsi="Times New Roman"/>
          <w:sz w:val="24"/>
          <w:szCs w:val="24"/>
        </w:rPr>
      </w:pPr>
    </w:p>
    <w:p w14:paraId="7448029C" w14:textId="77777777" w:rsidR="0018506D" w:rsidRPr="0018506D" w:rsidRDefault="0018506D" w:rsidP="0018506D">
      <w:pPr>
        <w:spacing w:after="0"/>
        <w:jc w:val="both"/>
        <w:rPr>
          <w:rFonts w:ascii="Times New Roman" w:hAnsi="Times New Roman"/>
          <w:sz w:val="24"/>
          <w:szCs w:val="24"/>
        </w:rPr>
      </w:pPr>
      <w:r w:rsidRPr="0018506D">
        <w:rPr>
          <w:rFonts w:ascii="Times New Roman" w:hAnsi="Times New Roman"/>
          <w:sz w:val="24"/>
          <w:szCs w:val="24"/>
        </w:rPr>
        <w:t xml:space="preserve">Osnova za budućnost energetske i klimatske dekarbonizacije Kosova postavljena u NEKP-u je usklađena sa energetskom strategijom Kosova i njenim glavnim i specifičnim ciljevima. Ovi ciljevi su razrađeni i modelovani korišćenjem postojećih politika i mera (SPM - sa postojećim merama) i dodatnih politika i mera (SDM - sa dodatnim merama), koje će doprineti postizanju nacionalnih ciljeva zacrtanih u Energetskoj strategiji do 2031. godine i dogovorenih na nivou energetske zajednice.  </w:t>
      </w:r>
    </w:p>
    <w:p w14:paraId="515E4698" w14:textId="77777777" w:rsidR="00E35888" w:rsidRDefault="00E35888" w:rsidP="0018506D">
      <w:pPr>
        <w:spacing w:after="0"/>
        <w:jc w:val="both"/>
        <w:rPr>
          <w:rFonts w:ascii="Times New Roman" w:hAnsi="Times New Roman"/>
          <w:sz w:val="24"/>
          <w:szCs w:val="24"/>
        </w:rPr>
      </w:pPr>
    </w:p>
    <w:p w14:paraId="0999138A" w14:textId="387A92CB" w:rsidR="0018506D" w:rsidRPr="0018506D" w:rsidRDefault="0018506D" w:rsidP="0018506D">
      <w:pPr>
        <w:spacing w:after="0"/>
        <w:jc w:val="both"/>
        <w:rPr>
          <w:rFonts w:ascii="Times New Roman" w:hAnsi="Times New Roman"/>
          <w:sz w:val="24"/>
          <w:szCs w:val="24"/>
        </w:rPr>
      </w:pPr>
      <w:r w:rsidRPr="0018506D">
        <w:rPr>
          <w:rFonts w:ascii="Times New Roman" w:hAnsi="Times New Roman"/>
          <w:sz w:val="24"/>
          <w:szCs w:val="24"/>
        </w:rPr>
        <w:t>Postojeće i dodatne politike i mere (SPM i SDM) postavljaju okvir koji obezbeđuje sigurnost snabdevanja električnom energijom, promoviše čistu energiju, povećava energetsku efikasnost i podstiče aktivno učešće građana i podršku ranjivim grupama.</w:t>
      </w:r>
    </w:p>
    <w:p w14:paraId="49FDDC05" w14:textId="77777777" w:rsidR="00E35888" w:rsidRDefault="00E35888" w:rsidP="0018506D">
      <w:pPr>
        <w:spacing w:after="0"/>
        <w:jc w:val="both"/>
        <w:rPr>
          <w:rFonts w:ascii="Times New Roman" w:hAnsi="Times New Roman"/>
          <w:sz w:val="24"/>
          <w:szCs w:val="24"/>
        </w:rPr>
      </w:pPr>
    </w:p>
    <w:p w14:paraId="508F38B9" w14:textId="664A431F" w:rsidR="0018506D" w:rsidRPr="0018506D" w:rsidRDefault="0018506D" w:rsidP="0018506D">
      <w:pPr>
        <w:spacing w:after="0"/>
        <w:jc w:val="both"/>
        <w:rPr>
          <w:rFonts w:ascii="Times New Roman" w:hAnsi="Times New Roman"/>
          <w:sz w:val="24"/>
          <w:szCs w:val="24"/>
        </w:rPr>
      </w:pPr>
      <w:r w:rsidRPr="0018506D">
        <w:rPr>
          <w:rFonts w:ascii="Times New Roman" w:hAnsi="Times New Roman"/>
          <w:sz w:val="24"/>
          <w:szCs w:val="24"/>
        </w:rPr>
        <w:t xml:space="preserve">Uticaj politika i mera se modeluje korišćenjem softvera LEAP (Platforma za analizu niskih emisija), sa modelom posebno razvijenim za Kosovo, i sprovodi se kao iterativni proces uzimajući u obzir obim i intenzitet svakog PAM-a, kako bi se ispunili nacionalni dogovoreni ciljevi. </w:t>
      </w:r>
    </w:p>
    <w:p w14:paraId="06E03124" w14:textId="77777777" w:rsidR="00E35888" w:rsidRDefault="00E35888" w:rsidP="0018506D">
      <w:pPr>
        <w:spacing w:after="0"/>
        <w:jc w:val="both"/>
        <w:rPr>
          <w:rFonts w:ascii="Times New Roman" w:hAnsi="Times New Roman"/>
          <w:sz w:val="24"/>
          <w:szCs w:val="24"/>
        </w:rPr>
      </w:pPr>
    </w:p>
    <w:p w14:paraId="217FF5C3" w14:textId="7A757396" w:rsidR="0018506D" w:rsidRPr="0018506D" w:rsidRDefault="0018506D" w:rsidP="0018506D">
      <w:pPr>
        <w:spacing w:after="0"/>
        <w:jc w:val="both"/>
        <w:rPr>
          <w:rFonts w:ascii="Times New Roman" w:hAnsi="Times New Roman"/>
          <w:sz w:val="24"/>
          <w:szCs w:val="24"/>
        </w:rPr>
      </w:pPr>
      <w:r w:rsidRPr="0018506D">
        <w:rPr>
          <w:rFonts w:ascii="Times New Roman" w:hAnsi="Times New Roman"/>
          <w:sz w:val="24"/>
          <w:szCs w:val="24"/>
        </w:rPr>
        <w:t xml:space="preserve">Tokom procesa izrade NEKP-a, Smernice za politiku Sekretarijata Energetske zajednice o razvoju NEKP-a i njegovi komentari, zajedno sa drugim relevantnim propisima i direktivama koje se odnose na pet dimenzija NEKP-a, sledile su se kao vodeći principi. </w:t>
      </w:r>
    </w:p>
    <w:p w14:paraId="31FBC625" w14:textId="77777777" w:rsidR="00E35888" w:rsidRDefault="00E35888" w:rsidP="0018506D">
      <w:pPr>
        <w:spacing w:after="0"/>
        <w:jc w:val="both"/>
        <w:rPr>
          <w:rFonts w:ascii="Times New Roman" w:hAnsi="Times New Roman"/>
          <w:sz w:val="24"/>
          <w:szCs w:val="24"/>
        </w:rPr>
      </w:pPr>
    </w:p>
    <w:p w14:paraId="45040A8A" w14:textId="286E7E9B" w:rsidR="0018506D" w:rsidRPr="0018506D" w:rsidRDefault="0018506D" w:rsidP="0018506D">
      <w:pPr>
        <w:spacing w:after="0"/>
        <w:jc w:val="both"/>
        <w:rPr>
          <w:rFonts w:ascii="Times New Roman" w:hAnsi="Times New Roman"/>
          <w:sz w:val="24"/>
          <w:szCs w:val="24"/>
        </w:rPr>
      </w:pPr>
      <w:r w:rsidRPr="0018506D">
        <w:rPr>
          <w:rFonts w:ascii="Times New Roman" w:hAnsi="Times New Roman"/>
          <w:sz w:val="24"/>
          <w:szCs w:val="24"/>
        </w:rPr>
        <w:t>U okviru dimenzije dekarbonizacije NEKP-a, Kosovo je posvećeno sprovođenju politika i mera u svim sektorima kako bi se smanjile emisije GHG i povećao udeo OIE u bruto konačnoj potrošnji energije na održiv način. Većina emisija GHG u zemlji, oko 87%, nastaje sagorevanjem fosilnih goriva u energetskom sektoru, posebno u energetskoj transformaciji, industriji i transportu. Stoga je ključni cilj promovisanje prelaska na tehnologije sa niskim sadržajem ugljenika u ovim sektorima povećanjem upotrebe OIE u miksu proizvodnje energije, sprovođenjem mera energetske efikasnosti u svim sektorima i postepenim ukidanjem upotrebe fosilnih goriva.</w:t>
      </w:r>
    </w:p>
    <w:p w14:paraId="1B34E357" w14:textId="77777777" w:rsidR="00E35888" w:rsidRDefault="00E35888" w:rsidP="0018506D">
      <w:pPr>
        <w:spacing w:after="0"/>
        <w:jc w:val="both"/>
        <w:rPr>
          <w:rFonts w:ascii="Times New Roman" w:hAnsi="Times New Roman"/>
          <w:sz w:val="24"/>
          <w:szCs w:val="24"/>
        </w:rPr>
      </w:pPr>
    </w:p>
    <w:p w14:paraId="47151BA9" w14:textId="00A6D48D" w:rsidR="0018506D" w:rsidRPr="0018506D" w:rsidRDefault="0018506D" w:rsidP="0018506D">
      <w:pPr>
        <w:spacing w:after="0"/>
        <w:jc w:val="both"/>
        <w:rPr>
          <w:rFonts w:ascii="Times New Roman" w:hAnsi="Times New Roman"/>
          <w:sz w:val="24"/>
          <w:szCs w:val="24"/>
        </w:rPr>
      </w:pPr>
      <w:r w:rsidRPr="0018506D">
        <w:rPr>
          <w:rFonts w:ascii="Times New Roman" w:hAnsi="Times New Roman"/>
          <w:sz w:val="24"/>
          <w:szCs w:val="24"/>
        </w:rPr>
        <w:t xml:space="preserve">Sprovedena analiza i procena uticaja u ovom planu služe kao temeljna osnova, ali ne uzimaju u obzir primenu cene ugljenika. Međutim, neke analize osetljivosti su sprovedene korišćenjem različitih cena ugljenika da bi se pokazali uticaji. Odlučeno je da se sprovedu dodatne analize, uključujući i procenu efekata uvođenja Mehanizma za prilagođavanje granice ugljenika (CBAM) od strane Evropske unije na Republiku Kosovo. Ove aktivnosti su već počele, a </w:t>
      </w:r>
      <w:r w:rsidRPr="0018506D">
        <w:rPr>
          <w:rFonts w:ascii="Times New Roman" w:hAnsi="Times New Roman"/>
          <w:sz w:val="24"/>
          <w:szCs w:val="24"/>
        </w:rPr>
        <w:lastRenderedPageBreak/>
        <w:t xml:space="preserve">CBAM studiju je izradila unutarvladina radna grupa zajedno sa Međunarodnim monetarnim fondom (MMF). </w:t>
      </w:r>
    </w:p>
    <w:p w14:paraId="123E544D" w14:textId="77777777" w:rsidR="00E35888" w:rsidRDefault="00E35888" w:rsidP="0018506D">
      <w:pPr>
        <w:spacing w:after="0"/>
        <w:jc w:val="both"/>
        <w:rPr>
          <w:rFonts w:ascii="Times New Roman" w:hAnsi="Times New Roman"/>
          <w:sz w:val="24"/>
          <w:szCs w:val="24"/>
        </w:rPr>
      </w:pPr>
    </w:p>
    <w:p w14:paraId="0FD2FFD5" w14:textId="3F393F4D" w:rsidR="0018506D" w:rsidRPr="0018506D" w:rsidRDefault="0018506D" w:rsidP="0018506D">
      <w:pPr>
        <w:spacing w:after="0"/>
        <w:jc w:val="both"/>
        <w:rPr>
          <w:rFonts w:ascii="Times New Roman" w:hAnsi="Times New Roman"/>
          <w:sz w:val="24"/>
          <w:szCs w:val="24"/>
        </w:rPr>
      </w:pPr>
      <w:r w:rsidRPr="0018506D">
        <w:rPr>
          <w:rFonts w:ascii="Times New Roman" w:hAnsi="Times New Roman"/>
          <w:sz w:val="24"/>
          <w:szCs w:val="24"/>
        </w:rPr>
        <w:t xml:space="preserve">Što se tiče obnovljive energije, cilj Kosova je da poveća udeo OIE u potrošnji električne energije na 35% do 2031. godine sa 6,3% koliko je bilo 2021. godine. Pored teme obnovljivih izvora energije, dimenzija dekarbonizacije uključuje emisije GHG kao i politike i mere koje se odnose na neenergetske sektore. Ciljevi GHG usvojeni za 2030. u apsolutnim iznosima su 8,95 Mt CO2-eq ili smanjenje od 16,3% u poređenju sa nivoima GHG iz 2016. godine, što osigurava sveobuhvatan pristup rešavanju smanjenja emisija i održivosti u svim sektorima privrede.  </w:t>
      </w:r>
    </w:p>
    <w:p w14:paraId="6A81E160" w14:textId="77777777" w:rsidR="00E35888" w:rsidRDefault="00E35888" w:rsidP="0018506D">
      <w:pPr>
        <w:spacing w:after="0"/>
        <w:jc w:val="both"/>
        <w:rPr>
          <w:rFonts w:ascii="Times New Roman" w:hAnsi="Times New Roman"/>
          <w:sz w:val="24"/>
          <w:szCs w:val="24"/>
        </w:rPr>
      </w:pPr>
    </w:p>
    <w:p w14:paraId="2CAD5543" w14:textId="19EE6ABF" w:rsidR="0018506D" w:rsidRPr="0018506D" w:rsidRDefault="0018506D" w:rsidP="0018506D">
      <w:pPr>
        <w:spacing w:after="0"/>
        <w:jc w:val="both"/>
        <w:rPr>
          <w:rFonts w:ascii="Times New Roman" w:hAnsi="Times New Roman"/>
          <w:sz w:val="24"/>
          <w:szCs w:val="24"/>
        </w:rPr>
      </w:pPr>
      <w:r w:rsidRPr="0018506D">
        <w:rPr>
          <w:rFonts w:ascii="Times New Roman" w:hAnsi="Times New Roman"/>
          <w:sz w:val="24"/>
          <w:szCs w:val="24"/>
        </w:rPr>
        <w:t>Prvi princip energetske efikasnosti je uveden u NEKP kao deo dimenzije energetske efikasnosti, uzimajući u obzir isplative mere energetske efikasnosti u oblikovanju energetske politike i donošenju relevantnih investicionih odluka. Cilj za Kosovo je usklađen sa Odlukom 2022/02/MC-EnC koju je usvojio Ministarski savet Energetske zajednice, u odnosu na primarnu potrošnju energije u 2030. godini iznosi 2,7 Mtoe, dok je za konačnu potrošnju energije 1,8 Mtoe. Većina mera u okviru ove dimenzije fokusira se na renoviranje zgrada sa ciljem poboljšanja energetske efikasnosti. Međutim, postoje i mere koje se odnose na druge sektore, kao što je sektor saobraćaja.</w:t>
      </w:r>
    </w:p>
    <w:p w14:paraId="19EE4508" w14:textId="77777777" w:rsidR="00E35888" w:rsidRDefault="00E35888" w:rsidP="0018506D">
      <w:pPr>
        <w:spacing w:after="0"/>
        <w:jc w:val="both"/>
        <w:rPr>
          <w:rFonts w:ascii="Times New Roman" w:hAnsi="Times New Roman"/>
          <w:sz w:val="24"/>
          <w:szCs w:val="24"/>
        </w:rPr>
      </w:pPr>
    </w:p>
    <w:p w14:paraId="10ACBEBD" w14:textId="6CFF51B4" w:rsidR="0018506D" w:rsidRPr="0018506D" w:rsidRDefault="0018506D" w:rsidP="0018506D">
      <w:pPr>
        <w:spacing w:after="0"/>
        <w:jc w:val="both"/>
        <w:rPr>
          <w:rFonts w:ascii="Times New Roman" w:hAnsi="Times New Roman"/>
          <w:sz w:val="24"/>
          <w:szCs w:val="24"/>
        </w:rPr>
      </w:pPr>
      <w:r w:rsidRPr="0018506D">
        <w:rPr>
          <w:rFonts w:ascii="Times New Roman" w:hAnsi="Times New Roman"/>
          <w:sz w:val="24"/>
          <w:szCs w:val="24"/>
        </w:rPr>
        <w:t xml:space="preserve">U pogledu energetske sigurnosti, NEKP se uglavnom zasniva na ciljevima i politikama sadržanim u Nacionalnoj energetskoj strategiji (2022-2031), sa svojim ključnim ciljevima. U pogledu ravnoteže između proizvodnje električne energije i potrošnje električne energije, situacija na Kosovu je slična sa drugim zemljama u regionu. Međutim, problemi sa kojima se Kosovo suočava povezani su sa obezbeđivanjem potrebnih kapaciteta za pokrivanje vršne potražnje, posebno zimi, i sa ispunjavanjem zahteva za rezervnim kapacitetom elektroenergetskih sistema. Sistem za skladištenje je u fokusu da podrži energetsku sigurnost, tehnološki pristup je da pomogne stabilizaciji fluktuirajuće frekvencije električne energije, promeni opterećenje i pomogne integraciju obnovljive proizvodnje. Spremnost na rizik u sektoru električne energije je deo energetske sigurnosti.  </w:t>
      </w:r>
    </w:p>
    <w:p w14:paraId="42737726" w14:textId="77777777" w:rsidR="00E35888" w:rsidRDefault="00E35888" w:rsidP="0018506D">
      <w:pPr>
        <w:spacing w:after="0"/>
        <w:jc w:val="both"/>
        <w:rPr>
          <w:rFonts w:ascii="Times New Roman" w:hAnsi="Times New Roman"/>
          <w:sz w:val="24"/>
          <w:szCs w:val="24"/>
        </w:rPr>
      </w:pPr>
    </w:p>
    <w:p w14:paraId="4E1E1281" w14:textId="7EB009C3" w:rsidR="0018506D" w:rsidRPr="0018506D" w:rsidRDefault="0018506D" w:rsidP="0018506D">
      <w:pPr>
        <w:spacing w:after="0"/>
        <w:jc w:val="both"/>
        <w:rPr>
          <w:rFonts w:ascii="Times New Roman" w:hAnsi="Times New Roman"/>
          <w:sz w:val="24"/>
          <w:szCs w:val="24"/>
        </w:rPr>
      </w:pPr>
      <w:r w:rsidRPr="0018506D">
        <w:rPr>
          <w:rFonts w:ascii="Times New Roman" w:hAnsi="Times New Roman"/>
          <w:sz w:val="24"/>
          <w:szCs w:val="24"/>
        </w:rPr>
        <w:t xml:space="preserve">Očekuje se da liberalizacija tržišta i regionalna integracija obezbede efekte ublažavanja u pogledu problema snabdevanja, iako postoje značajni izazovi kojima se treba baviti kako bi se obezbedilo održivo snabdevanje električnom energijom. </w:t>
      </w:r>
    </w:p>
    <w:p w14:paraId="0DDE4092" w14:textId="77777777" w:rsidR="00E35888" w:rsidRDefault="00E35888" w:rsidP="0018506D">
      <w:pPr>
        <w:spacing w:after="0"/>
        <w:jc w:val="both"/>
        <w:rPr>
          <w:rFonts w:ascii="Times New Roman" w:hAnsi="Times New Roman"/>
          <w:sz w:val="24"/>
          <w:szCs w:val="24"/>
        </w:rPr>
      </w:pPr>
    </w:p>
    <w:p w14:paraId="72B8C164" w14:textId="13E68739" w:rsidR="0018506D" w:rsidRPr="0018506D" w:rsidRDefault="0018506D" w:rsidP="0018506D">
      <w:pPr>
        <w:spacing w:after="0"/>
        <w:jc w:val="both"/>
        <w:rPr>
          <w:rFonts w:ascii="Times New Roman" w:hAnsi="Times New Roman"/>
          <w:sz w:val="24"/>
          <w:szCs w:val="24"/>
        </w:rPr>
      </w:pPr>
      <w:r w:rsidRPr="0018506D">
        <w:rPr>
          <w:rFonts w:ascii="Times New Roman" w:hAnsi="Times New Roman"/>
          <w:sz w:val="24"/>
          <w:szCs w:val="24"/>
        </w:rPr>
        <w:t>U dimenziji unutrašnjeg energetskog tržišta, stepen interkonektivnosti elektroenergetskog sistema je jedan od osnovnih preduslova za razvoj i integraciju tržišta električne energije. Zemlje članice EU imaju za cilj novi target od 15% vršnog opterećenja koje će biti instalirano u interkonektivnim kapacitetima do 2030. godine. Međutim, Kosovo je već izvan ovog cilja, sa instaliranim kapacitetom interkonekcije koji je nekoliko puta veći od vršnog opterećenja sistema. Štaviše, Kosovo je među prve tri zemlje u Evropi kako po odnosu između kapaciteta interkonekcije i instaliranih proizvodnih kapaciteta, tako i po odnosu između kapaciteta interkonekcije i vršnog opterećenja.</w:t>
      </w:r>
    </w:p>
    <w:p w14:paraId="6079D0C7" w14:textId="77777777" w:rsidR="00E35888" w:rsidRDefault="00E35888" w:rsidP="0018506D">
      <w:pPr>
        <w:spacing w:after="0"/>
        <w:jc w:val="both"/>
        <w:rPr>
          <w:rFonts w:ascii="Times New Roman" w:hAnsi="Times New Roman"/>
          <w:sz w:val="24"/>
          <w:szCs w:val="24"/>
        </w:rPr>
      </w:pPr>
    </w:p>
    <w:p w14:paraId="37CDCA0F" w14:textId="77777777" w:rsidR="00E35888" w:rsidRDefault="0018506D" w:rsidP="0018506D">
      <w:pPr>
        <w:spacing w:after="0"/>
        <w:jc w:val="both"/>
        <w:rPr>
          <w:rFonts w:ascii="Times New Roman" w:hAnsi="Times New Roman"/>
          <w:sz w:val="24"/>
          <w:szCs w:val="24"/>
        </w:rPr>
      </w:pPr>
      <w:r w:rsidRPr="0018506D">
        <w:rPr>
          <w:rFonts w:ascii="Times New Roman" w:hAnsi="Times New Roman"/>
          <w:sz w:val="24"/>
          <w:szCs w:val="24"/>
        </w:rPr>
        <w:lastRenderedPageBreak/>
        <w:t xml:space="preserve">Jedan od ključnih ciljeva Kosova bio je uspostavljanje operativnog tržišta električne energije kroz ALPEX. Ovaj cilj je realizovan ALPEX-ovom operacijom (Go Live) tržišta za dan unapred (DAM) za kosovsku trgovinsku zonu 31. januara 2024. godine, obeležavajući istovremeno i spojeno tržište sa berzom Albanije. Posebno, ovo takođe označava prvo spajanje tržišta za dan unapred u Energetskoj zajednici. Uz potpuni rad DAM-a na oba tržišta, uz adekvatne kapacitete interkonekcije između ovih zemalja (nadzemni vod 400 kV i 220 kV obezbeđuju 1500 MVA instaliranog interkonekcionog kapaciteta i 400 MW NTC, sa mogućnošću povećanja na 600 MW ), većinu vremena neće biti gužvi, što znači da nema razlike u ceni između Kosova i Albanije. U vremenskom okviru koji pokriva NEKP, očekuje se da će se tržišta Albanije i Kosova dalje regionalno povezivati, kao deo regionalnih inicijativa koje vodi Energetska zajednica, kao i različite grupe zemalja (kao što su Kosovo, Albanija i Severna Makedonija) i tako na kraju za posledicu imati zanemarljive razlike u veleprodajnim cenama u regionu, u očekivanju rešavanja postupka rešavanja sporova o nedodeli kapaciteta na interkonektorima između Kosova i Srbije (broj slučaja ECS-2/21) i dogovora sa OPS Srbije. </w:t>
      </w:r>
    </w:p>
    <w:p w14:paraId="34E01410" w14:textId="283A41AB" w:rsidR="0018506D" w:rsidRPr="0018506D" w:rsidRDefault="0018506D" w:rsidP="0018506D">
      <w:pPr>
        <w:spacing w:after="0"/>
        <w:jc w:val="both"/>
        <w:rPr>
          <w:rFonts w:ascii="Times New Roman" w:hAnsi="Times New Roman"/>
          <w:sz w:val="24"/>
          <w:szCs w:val="24"/>
        </w:rPr>
      </w:pPr>
      <w:r w:rsidRPr="0018506D">
        <w:rPr>
          <w:rFonts w:ascii="Times New Roman" w:hAnsi="Times New Roman"/>
          <w:sz w:val="24"/>
          <w:szCs w:val="24"/>
        </w:rPr>
        <w:t>Dodatni argument za ovo je visok nivo instaliranih kapaciteta u regionu.</w:t>
      </w:r>
    </w:p>
    <w:p w14:paraId="7E969CB1" w14:textId="77777777" w:rsidR="00E35888" w:rsidRDefault="00E35888" w:rsidP="0018506D">
      <w:pPr>
        <w:spacing w:after="0"/>
        <w:jc w:val="both"/>
        <w:rPr>
          <w:rFonts w:ascii="Times New Roman" w:hAnsi="Times New Roman"/>
          <w:sz w:val="24"/>
          <w:szCs w:val="24"/>
        </w:rPr>
      </w:pPr>
    </w:p>
    <w:p w14:paraId="6B88E7F8" w14:textId="3CAAC6BA" w:rsidR="0018506D" w:rsidRDefault="0018506D" w:rsidP="0018506D">
      <w:pPr>
        <w:spacing w:after="0"/>
        <w:jc w:val="both"/>
        <w:rPr>
          <w:rFonts w:ascii="Times New Roman" w:hAnsi="Times New Roman"/>
          <w:sz w:val="24"/>
          <w:szCs w:val="24"/>
        </w:rPr>
      </w:pPr>
      <w:r w:rsidRPr="0018506D">
        <w:rPr>
          <w:rFonts w:ascii="Times New Roman" w:hAnsi="Times New Roman"/>
          <w:sz w:val="24"/>
          <w:szCs w:val="24"/>
        </w:rPr>
        <w:t>Peta dimenzija, istraživanje, inovacija i konkurentnost, takođe je obrađena u NEKP-u. Kosovo radi na razvoju svog sistema istraživanja, inovacija i konkurentnosti, sa ciljem da unapredi svoje sposobnosti u ovim oblastima.  Prema Zakonu br. 04/l-135 o naučno-istraživačkoj delatnosti, Kosovo je posvećeno izdvajanju najmanje 14 miliona evra godišnje za nauku i inovacije. Cilj Kosova je da uspostavi istraživački i inovativni sistem sposoban da identifikuje najpogodnije tehnologije koje njegove industrije treba da realizuju, da budu u toku sa tehnološkim napretkom i otkriju inventivne pristupe za efektivnu integraciju najizvodljivijih tehnologija. Povećanje zelenih radnih mesta je u fokusu vlade za vreme NEKP-a.</w:t>
      </w:r>
    </w:p>
    <w:p w14:paraId="4800E60C" w14:textId="21CD3F1E" w:rsidR="0018506D" w:rsidRDefault="0018506D" w:rsidP="0018506D">
      <w:pPr>
        <w:spacing w:after="0"/>
        <w:jc w:val="both"/>
        <w:rPr>
          <w:rFonts w:ascii="Times New Roman" w:hAnsi="Times New Roman"/>
          <w:sz w:val="24"/>
          <w:szCs w:val="24"/>
        </w:rPr>
      </w:pPr>
    </w:p>
    <w:p w14:paraId="59FB1393" w14:textId="1F582DF8" w:rsidR="0018506D" w:rsidRPr="0018506D" w:rsidRDefault="0018506D" w:rsidP="0018506D">
      <w:pPr>
        <w:spacing w:after="0"/>
        <w:jc w:val="both"/>
        <w:rPr>
          <w:rFonts w:ascii="Times New Roman" w:hAnsi="Times New Roman"/>
          <w:b/>
          <w:sz w:val="24"/>
          <w:szCs w:val="24"/>
        </w:rPr>
      </w:pPr>
      <w:r w:rsidRPr="0018506D">
        <w:rPr>
          <w:rFonts w:ascii="Times New Roman" w:hAnsi="Times New Roman"/>
          <w:b/>
          <w:sz w:val="24"/>
          <w:szCs w:val="24"/>
        </w:rPr>
        <w:t>Svrha konsultacija</w:t>
      </w:r>
    </w:p>
    <w:p w14:paraId="4B613DDB" w14:textId="7DAE35AF" w:rsidR="0018506D" w:rsidRDefault="0018506D" w:rsidP="005F1B15">
      <w:pPr>
        <w:spacing w:after="0"/>
        <w:jc w:val="both"/>
        <w:rPr>
          <w:rFonts w:ascii="Times New Roman" w:hAnsi="Times New Roman"/>
          <w:b/>
          <w:sz w:val="24"/>
          <w:szCs w:val="24"/>
        </w:rPr>
      </w:pPr>
    </w:p>
    <w:p w14:paraId="1F4E77B5" w14:textId="113B3723" w:rsidR="0018506D" w:rsidRDefault="00E35888" w:rsidP="005F1B15">
      <w:pPr>
        <w:spacing w:after="0"/>
        <w:jc w:val="both"/>
        <w:rPr>
          <w:rFonts w:ascii="Times New Roman" w:hAnsi="Times New Roman"/>
          <w:sz w:val="24"/>
          <w:szCs w:val="24"/>
        </w:rPr>
      </w:pPr>
      <w:r>
        <w:rPr>
          <w:rFonts w:ascii="Times New Roman" w:hAnsi="Times New Roman"/>
          <w:sz w:val="24"/>
          <w:szCs w:val="24"/>
        </w:rPr>
        <w:t>Svrha</w:t>
      </w:r>
      <w:r w:rsidR="0018506D" w:rsidRPr="00F2673C">
        <w:rPr>
          <w:rFonts w:ascii="Times New Roman" w:hAnsi="Times New Roman"/>
          <w:sz w:val="24"/>
          <w:szCs w:val="24"/>
        </w:rPr>
        <w:t xml:space="preserve"> konsultacija je da se u što većem broju uključe svi akteri. Nakon izrade prvobitnog nacrta od strane odgovornog službenika u skladu sa Pravilnikom o radu Vlade, nacrt je upućen na preliminarne konsultacije svim institucijama na koje može uticati Izrada Nacionalnog </w:t>
      </w:r>
      <w:r w:rsidR="00F2673C" w:rsidRPr="00F2673C">
        <w:rPr>
          <w:rFonts w:ascii="Times New Roman" w:hAnsi="Times New Roman"/>
          <w:sz w:val="24"/>
          <w:szCs w:val="24"/>
        </w:rPr>
        <w:t>E</w:t>
      </w:r>
      <w:r w:rsidR="0018506D" w:rsidRPr="00F2673C">
        <w:rPr>
          <w:rFonts w:ascii="Times New Roman" w:hAnsi="Times New Roman"/>
          <w:sz w:val="24"/>
          <w:szCs w:val="24"/>
        </w:rPr>
        <w:t xml:space="preserve">nergetskog i </w:t>
      </w:r>
      <w:r w:rsidR="00F2673C" w:rsidRPr="00F2673C">
        <w:rPr>
          <w:rFonts w:ascii="Times New Roman" w:hAnsi="Times New Roman"/>
          <w:sz w:val="24"/>
          <w:szCs w:val="24"/>
        </w:rPr>
        <w:t>K</w:t>
      </w:r>
      <w:r w:rsidR="0018506D" w:rsidRPr="00F2673C">
        <w:rPr>
          <w:rFonts w:ascii="Times New Roman" w:hAnsi="Times New Roman"/>
          <w:sz w:val="24"/>
          <w:szCs w:val="24"/>
        </w:rPr>
        <w:t xml:space="preserve">limatskog </w:t>
      </w:r>
      <w:r w:rsidR="00F2673C" w:rsidRPr="00F2673C">
        <w:rPr>
          <w:rFonts w:ascii="Times New Roman" w:hAnsi="Times New Roman"/>
          <w:sz w:val="24"/>
          <w:szCs w:val="24"/>
        </w:rPr>
        <w:t>P</w:t>
      </w:r>
      <w:r w:rsidR="0018506D" w:rsidRPr="00F2673C">
        <w:rPr>
          <w:rFonts w:ascii="Times New Roman" w:hAnsi="Times New Roman"/>
          <w:sz w:val="24"/>
          <w:szCs w:val="24"/>
        </w:rPr>
        <w:t>lana 2025-2030.</w:t>
      </w:r>
    </w:p>
    <w:p w14:paraId="21F0F218" w14:textId="0A28E667" w:rsidR="00F2673C" w:rsidRDefault="00F2673C" w:rsidP="005F1B15">
      <w:pPr>
        <w:spacing w:after="0"/>
        <w:jc w:val="both"/>
        <w:rPr>
          <w:rFonts w:ascii="Times New Roman" w:hAnsi="Times New Roman"/>
          <w:sz w:val="24"/>
          <w:szCs w:val="24"/>
        </w:rPr>
      </w:pPr>
    </w:p>
    <w:p w14:paraId="5E1BB743" w14:textId="0A3C9D14" w:rsidR="00F2673C" w:rsidRDefault="00F2673C" w:rsidP="005F1B15">
      <w:pPr>
        <w:spacing w:after="0"/>
        <w:jc w:val="both"/>
        <w:rPr>
          <w:rFonts w:ascii="Times New Roman" w:hAnsi="Times New Roman"/>
          <w:sz w:val="24"/>
          <w:szCs w:val="24"/>
        </w:rPr>
      </w:pPr>
      <w:r w:rsidRPr="00F2673C">
        <w:rPr>
          <w:rFonts w:ascii="Times New Roman" w:hAnsi="Times New Roman"/>
          <w:sz w:val="24"/>
          <w:szCs w:val="24"/>
        </w:rPr>
        <w:t xml:space="preserve">Faza konsultacija sa javnošću kroz različite metode, uključujući i elektronsku platformu za javne konsultacije i sastanke direktno sa zainteresovanim stranama, ukoliko se ukaže potreba, obuhvatiće sve institucije i kategorije društva, bilo da imaju uticaj i/ili veliki interes ili od kojih zbog svojih karakteristika mogu doprineti preispitivanju odredaba ovog Nacrta Nacionalnog </w:t>
      </w:r>
      <w:r>
        <w:rPr>
          <w:rFonts w:ascii="Times New Roman" w:hAnsi="Times New Roman"/>
          <w:sz w:val="24"/>
          <w:szCs w:val="24"/>
        </w:rPr>
        <w:t>E</w:t>
      </w:r>
      <w:r w:rsidRPr="00F2673C">
        <w:rPr>
          <w:rFonts w:ascii="Times New Roman" w:hAnsi="Times New Roman"/>
          <w:sz w:val="24"/>
          <w:szCs w:val="24"/>
        </w:rPr>
        <w:t xml:space="preserve">nergetskog i </w:t>
      </w:r>
      <w:r>
        <w:rPr>
          <w:rFonts w:ascii="Times New Roman" w:hAnsi="Times New Roman"/>
          <w:sz w:val="24"/>
          <w:szCs w:val="24"/>
        </w:rPr>
        <w:t>K</w:t>
      </w:r>
      <w:r w:rsidRPr="00F2673C">
        <w:rPr>
          <w:rFonts w:ascii="Times New Roman" w:hAnsi="Times New Roman"/>
          <w:sz w:val="24"/>
          <w:szCs w:val="24"/>
        </w:rPr>
        <w:t xml:space="preserve">limatskog </w:t>
      </w:r>
      <w:r>
        <w:rPr>
          <w:rFonts w:ascii="Times New Roman" w:hAnsi="Times New Roman"/>
          <w:sz w:val="24"/>
          <w:szCs w:val="24"/>
        </w:rPr>
        <w:t>P</w:t>
      </w:r>
      <w:r w:rsidRPr="00F2673C">
        <w:rPr>
          <w:rFonts w:ascii="Times New Roman" w:hAnsi="Times New Roman"/>
          <w:sz w:val="24"/>
          <w:szCs w:val="24"/>
        </w:rPr>
        <w:t>lana 2025-2030.</w:t>
      </w:r>
    </w:p>
    <w:p w14:paraId="5262C9E7" w14:textId="7A65B410" w:rsidR="00F2673C" w:rsidRDefault="00F2673C" w:rsidP="005F1B15">
      <w:pPr>
        <w:spacing w:after="0"/>
        <w:jc w:val="both"/>
        <w:rPr>
          <w:rFonts w:ascii="Times New Roman" w:hAnsi="Times New Roman"/>
          <w:sz w:val="24"/>
          <w:szCs w:val="24"/>
        </w:rPr>
      </w:pPr>
    </w:p>
    <w:p w14:paraId="2AB9B676" w14:textId="5785331C" w:rsidR="00F2673C" w:rsidRDefault="00F2673C" w:rsidP="005F1B15">
      <w:pPr>
        <w:spacing w:after="0"/>
        <w:jc w:val="both"/>
        <w:rPr>
          <w:rFonts w:ascii="Times New Roman" w:hAnsi="Times New Roman"/>
          <w:sz w:val="24"/>
          <w:szCs w:val="24"/>
        </w:rPr>
      </w:pPr>
      <w:r w:rsidRPr="00F2673C">
        <w:rPr>
          <w:rFonts w:ascii="Times New Roman" w:hAnsi="Times New Roman"/>
          <w:sz w:val="24"/>
          <w:szCs w:val="24"/>
        </w:rPr>
        <w:t xml:space="preserve">Komentari i preporuke za izradu Nacionalnog </w:t>
      </w:r>
      <w:r>
        <w:rPr>
          <w:rFonts w:ascii="Times New Roman" w:hAnsi="Times New Roman"/>
          <w:sz w:val="24"/>
          <w:szCs w:val="24"/>
        </w:rPr>
        <w:t>P</w:t>
      </w:r>
      <w:r w:rsidRPr="00F2673C">
        <w:rPr>
          <w:rFonts w:ascii="Times New Roman" w:hAnsi="Times New Roman"/>
          <w:sz w:val="24"/>
          <w:szCs w:val="24"/>
        </w:rPr>
        <w:t xml:space="preserve">lana za </w:t>
      </w:r>
      <w:r>
        <w:rPr>
          <w:rFonts w:ascii="Times New Roman" w:hAnsi="Times New Roman"/>
          <w:sz w:val="24"/>
          <w:szCs w:val="24"/>
        </w:rPr>
        <w:t>E</w:t>
      </w:r>
      <w:r w:rsidRPr="00F2673C">
        <w:rPr>
          <w:rFonts w:ascii="Times New Roman" w:hAnsi="Times New Roman"/>
          <w:sz w:val="24"/>
          <w:szCs w:val="24"/>
        </w:rPr>
        <w:t xml:space="preserve">nergetiku i </w:t>
      </w:r>
      <w:r>
        <w:rPr>
          <w:rFonts w:ascii="Times New Roman" w:hAnsi="Times New Roman"/>
          <w:sz w:val="24"/>
          <w:szCs w:val="24"/>
        </w:rPr>
        <w:t>K</w:t>
      </w:r>
      <w:r w:rsidRPr="00F2673C">
        <w:rPr>
          <w:rFonts w:ascii="Times New Roman" w:hAnsi="Times New Roman"/>
          <w:sz w:val="24"/>
          <w:szCs w:val="24"/>
        </w:rPr>
        <w:t xml:space="preserve">limu 2025-2030 mogu se dati za svaki Strateški </w:t>
      </w:r>
      <w:r>
        <w:rPr>
          <w:rFonts w:ascii="Times New Roman" w:hAnsi="Times New Roman"/>
          <w:sz w:val="24"/>
          <w:szCs w:val="24"/>
        </w:rPr>
        <w:t>C</w:t>
      </w:r>
      <w:r w:rsidRPr="00F2673C">
        <w:rPr>
          <w:rFonts w:ascii="Times New Roman" w:hAnsi="Times New Roman"/>
          <w:sz w:val="24"/>
          <w:szCs w:val="24"/>
        </w:rPr>
        <w:t xml:space="preserve">ilj putem </w:t>
      </w:r>
      <w:r>
        <w:rPr>
          <w:rFonts w:ascii="Times New Roman" w:hAnsi="Times New Roman"/>
          <w:sz w:val="24"/>
          <w:szCs w:val="24"/>
        </w:rPr>
        <w:t>E</w:t>
      </w:r>
      <w:r w:rsidRPr="00F2673C">
        <w:rPr>
          <w:rFonts w:ascii="Times New Roman" w:hAnsi="Times New Roman"/>
          <w:sz w:val="24"/>
          <w:szCs w:val="24"/>
        </w:rPr>
        <w:t xml:space="preserve">lektronske </w:t>
      </w:r>
      <w:r>
        <w:rPr>
          <w:rFonts w:ascii="Times New Roman" w:hAnsi="Times New Roman"/>
          <w:sz w:val="24"/>
          <w:szCs w:val="24"/>
        </w:rPr>
        <w:t>P</w:t>
      </w:r>
      <w:r w:rsidRPr="00F2673C">
        <w:rPr>
          <w:rFonts w:ascii="Times New Roman" w:hAnsi="Times New Roman"/>
          <w:sz w:val="24"/>
          <w:szCs w:val="24"/>
        </w:rPr>
        <w:t>latforme za konsultacije u delu gde se daju opšti i konkretni komentari.</w:t>
      </w:r>
    </w:p>
    <w:p w14:paraId="2C069E40" w14:textId="1650D02B" w:rsidR="00F2673C" w:rsidRDefault="00F2673C" w:rsidP="005F1B15">
      <w:pPr>
        <w:spacing w:after="0"/>
        <w:jc w:val="both"/>
        <w:rPr>
          <w:rFonts w:ascii="Times New Roman" w:hAnsi="Times New Roman"/>
          <w:sz w:val="24"/>
          <w:szCs w:val="24"/>
        </w:rPr>
      </w:pPr>
    </w:p>
    <w:p w14:paraId="1FB2CA74" w14:textId="119DE794" w:rsidR="00F2673C" w:rsidRPr="00F2673C" w:rsidRDefault="00F2673C" w:rsidP="00F2673C">
      <w:pPr>
        <w:spacing w:after="0"/>
        <w:jc w:val="both"/>
        <w:rPr>
          <w:rFonts w:ascii="Times New Roman" w:hAnsi="Times New Roman"/>
          <w:sz w:val="24"/>
          <w:szCs w:val="24"/>
        </w:rPr>
      </w:pPr>
      <w:r w:rsidRPr="00F2673C">
        <w:rPr>
          <w:rFonts w:ascii="Times New Roman" w:hAnsi="Times New Roman"/>
          <w:sz w:val="24"/>
          <w:szCs w:val="24"/>
        </w:rPr>
        <w:lastRenderedPageBreak/>
        <w:t xml:space="preserve">Nakon završetka procesa javnih konsultacija za izradu Nacionalnog </w:t>
      </w:r>
      <w:r>
        <w:rPr>
          <w:rFonts w:ascii="Times New Roman" w:hAnsi="Times New Roman"/>
          <w:sz w:val="24"/>
          <w:szCs w:val="24"/>
        </w:rPr>
        <w:t>E</w:t>
      </w:r>
      <w:r w:rsidRPr="00F2673C">
        <w:rPr>
          <w:rFonts w:ascii="Times New Roman" w:hAnsi="Times New Roman"/>
          <w:sz w:val="24"/>
          <w:szCs w:val="24"/>
        </w:rPr>
        <w:t xml:space="preserve">nergetskog i </w:t>
      </w:r>
      <w:r>
        <w:rPr>
          <w:rFonts w:ascii="Times New Roman" w:hAnsi="Times New Roman"/>
          <w:sz w:val="24"/>
          <w:szCs w:val="24"/>
        </w:rPr>
        <w:t>K</w:t>
      </w:r>
      <w:r w:rsidRPr="00F2673C">
        <w:rPr>
          <w:rFonts w:ascii="Times New Roman" w:hAnsi="Times New Roman"/>
          <w:sz w:val="24"/>
          <w:szCs w:val="24"/>
        </w:rPr>
        <w:t xml:space="preserve">limatskog </w:t>
      </w:r>
      <w:r>
        <w:rPr>
          <w:rFonts w:ascii="Times New Roman" w:hAnsi="Times New Roman"/>
          <w:sz w:val="24"/>
          <w:szCs w:val="24"/>
        </w:rPr>
        <w:t>P</w:t>
      </w:r>
      <w:r w:rsidRPr="00F2673C">
        <w:rPr>
          <w:rFonts w:ascii="Times New Roman" w:hAnsi="Times New Roman"/>
          <w:sz w:val="24"/>
          <w:szCs w:val="24"/>
        </w:rPr>
        <w:t xml:space="preserve">lana 2025-2030, planirano je da pristigle doprinose i komentare radna grupa posebno razmatra.  </w:t>
      </w:r>
    </w:p>
    <w:p w14:paraId="20EC2104" w14:textId="77777777" w:rsidR="00F2673C" w:rsidRDefault="00F2673C" w:rsidP="00F2673C">
      <w:pPr>
        <w:spacing w:after="0"/>
        <w:jc w:val="both"/>
        <w:rPr>
          <w:rFonts w:ascii="Times New Roman" w:hAnsi="Times New Roman"/>
          <w:sz w:val="24"/>
          <w:szCs w:val="24"/>
        </w:rPr>
      </w:pPr>
    </w:p>
    <w:p w14:paraId="354ED026" w14:textId="65B1E2C6" w:rsidR="00F2673C" w:rsidRDefault="00F2673C" w:rsidP="00F2673C">
      <w:pPr>
        <w:spacing w:after="0"/>
        <w:jc w:val="both"/>
        <w:rPr>
          <w:rFonts w:ascii="Times New Roman" w:hAnsi="Times New Roman"/>
          <w:sz w:val="24"/>
          <w:szCs w:val="24"/>
        </w:rPr>
      </w:pPr>
      <w:r w:rsidRPr="00F2673C">
        <w:rPr>
          <w:rFonts w:ascii="Times New Roman" w:hAnsi="Times New Roman"/>
          <w:sz w:val="24"/>
          <w:szCs w:val="24"/>
        </w:rPr>
        <w:t>Doprinos javnosti, odnosno organizacija civilnog društva, internih i eksternih stručnjaka, kao i pojedinaca biće važan element u poboljšanju kvaliteta ovog Plana.</w:t>
      </w:r>
    </w:p>
    <w:p w14:paraId="7455B5DF" w14:textId="2C048825" w:rsidR="00F2673C" w:rsidRDefault="00F2673C" w:rsidP="00F2673C">
      <w:pPr>
        <w:spacing w:after="0"/>
        <w:jc w:val="both"/>
        <w:rPr>
          <w:rFonts w:ascii="Times New Roman" w:hAnsi="Times New Roman"/>
          <w:sz w:val="24"/>
          <w:szCs w:val="24"/>
        </w:rPr>
      </w:pPr>
    </w:p>
    <w:p w14:paraId="44E7AD96" w14:textId="2C048825" w:rsidR="00F2673C" w:rsidRDefault="00F2673C" w:rsidP="00F2673C">
      <w:pPr>
        <w:spacing w:after="0"/>
        <w:jc w:val="both"/>
        <w:rPr>
          <w:rFonts w:ascii="Times New Roman" w:hAnsi="Times New Roman"/>
          <w:sz w:val="24"/>
          <w:szCs w:val="24"/>
        </w:rPr>
      </w:pPr>
      <w:r w:rsidRPr="00F2673C">
        <w:rPr>
          <w:rFonts w:ascii="Times New Roman" w:hAnsi="Times New Roman"/>
          <w:sz w:val="24"/>
          <w:szCs w:val="24"/>
        </w:rPr>
        <w:t xml:space="preserve">Kao rezultat rada na razmatranju doprinosa i preporuka konsultacija, biće izrađen poboljšani konačni nacrt Nacionalnog </w:t>
      </w:r>
      <w:r>
        <w:rPr>
          <w:rFonts w:ascii="Times New Roman" w:hAnsi="Times New Roman"/>
          <w:sz w:val="24"/>
          <w:szCs w:val="24"/>
        </w:rPr>
        <w:t>E</w:t>
      </w:r>
      <w:r w:rsidRPr="00F2673C">
        <w:rPr>
          <w:rFonts w:ascii="Times New Roman" w:hAnsi="Times New Roman"/>
          <w:sz w:val="24"/>
          <w:szCs w:val="24"/>
        </w:rPr>
        <w:t xml:space="preserve">nergetskog i </w:t>
      </w:r>
      <w:r>
        <w:rPr>
          <w:rFonts w:ascii="Times New Roman" w:hAnsi="Times New Roman"/>
          <w:sz w:val="24"/>
          <w:szCs w:val="24"/>
        </w:rPr>
        <w:t>K</w:t>
      </w:r>
      <w:r w:rsidRPr="00F2673C">
        <w:rPr>
          <w:rFonts w:ascii="Times New Roman" w:hAnsi="Times New Roman"/>
          <w:sz w:val="24"/>
          <w:szCs w:val="24"/>
        </w:rPr>
        <w:t xml:space="preserve">limatskog </w:t>
      </w:r>
      <w:r>
        <w:rPr>
          <w:rFonts w:ascii="Times New Roman" w:hAnsi="Times New Roman"/>
          <w:sz w:val="24"/>
          <w:szCs w:val="24"/>
        </w:rPr>
        <w:t>P</w:t>
      </w:r>
      <w:r w:rsidRPr="00F2673C">
        <w:rPr>
          <w:rFonts w:ascii="Times New Roman" w:hAnsi="Times New Roman"/>
          <w:sz w:val="24"/>
          <w:szCs w:val="24"/>
        </w:rPr>
        <w:t xml:space="preserve">lana 2025-2030. Ministarstvo Životne </w:t>
      </w:r>
      <w:r>
        <w:rPr>
          <w:rFonts w:ascii="Times New Roman" w:hAnsi="Times New Roman"/>
          <w:sz w:val="24"/>
          <w:szCs w:val="24"/>
        </w:rPr>
        <w:t>S</w:t>
      </w:r>
      <w:r w:rsidRPr="00F2673C">
        <w:rPr>
          <w:rFonts w:ascii="Times New Roman" w:hAnsi="Times New Roman"/>
          <w:sz w:val="24"/>
          <w:szCs w:val="24"/>
        </w:rPr>
        <w:t xml:space="preserve">redine, </w:t>
      </w:r>
      <w:r>
        <w:rPr>
          <w:rFonts w:ascii="Times New Roman" w:hAnsi="Times New Roman"/>
          <w:sz w:val="24"/>
          <w:szCs w:val="24"/>
        </w:rPr>
        <w:t>P</w:t>
      </w:r>
      <w:r w:rsidRPr="00F2673C">
        <w:rPr>
          <w:rFonts w:ascii="Times New Roman" w:hAnsi="Times New Roman"/>
          <w:sz w:val="24"/>
          <w:szCs w:val="24"/>
        </w:rPr>
        <w:t xml:space="preserve">rostornog </w:t>
      </w:r>
      <w:r>
        <w:rPr>
          <w:rFonts w:ascii="Times New Roman" w:hAnsi="Times New Roman"/>
          <w:sz w:val="24"/>
          <w:szCs w:val="24"/>
        </w:rPr>
        <w:t>P</w:t>
      </w:r>
      <w:r w:rsidRPr="00F2673C">
        <w:rPr>
          <w:rFonts w:ascii="Times New Roman" w:hAnsi="Times New Roman"/>
          <w:sz w:val="24"/>
          <w:szCs w:val="24"/>
        </w:rPr>
        <w:t xml:space="preserve">laniranja i </w:t>
      </w:r>
      <w:r>
        <w:rPr>
          <w:rFonts w:ascii="Times New Roman" w:hAnsi="Times New Roman"/>
          <w:sz w:val="24"/>
          <w:szCs w:val="24"/>
        </w:rPr>
        <w:t>I</w:t>
      </w:r>
      <w:r w:rsidRPr="00F2673C">
        <w:rPr>
          <w:rFonts w:ascii="Times New Roman" w:hAnsi="Times New Roman"/>
          <w:sz w:val="24"/>
          <w:szCs w:val="24"/>
        </w:rPr>
        <w:t xml:space="preserve">nfrastrukture će sačiniti Izveštaj o </w:t>
      </w:r>
      <w:r>
        <w:rPr>
          <w:rFonts w:ascii="Times New Roman" w:hAnsi="Times New Roman"/>
          <w:sz w:val="24"/>
          <w:szCs w:val="24"/>
        </w:rPr>
        <w:t>K</w:t>
      </w:r>
      <w:r w:rsidRPr="00F2673C">
        <w:rPr>
          <w:rFonts w:ascii="Times New Roman" w:hAnsi="Times New Roman"/>
          <w:sz w:val="24"/>
          <w:szCs w:val="24"/>
        </w:rPr>
        <w:t>onsultacijama koji će sadržati informacije o procesu konsultacija, konsultovanim stranama, metodama korišćenim tokom konsultacija i detaljnim informacijama o njima, učešću javnosti u procesu konsulta</w:t>
      </w:r>
      <w:r>
        <w:rPr>
          <w:rFonts w:ascii="Times New Roman" w:hAnsi="Times New Roman"/>
          <w:sz w:val="24"/>
          <w:szCs w:val="24"/>
        </w:rPr>
        <w:t>cija i prihvaćenim komentarima</w:t>
      </w:r>
      <w:r w:rsidRPr="00F2673C">
        <w:rPr>
          <w:rFonts w:ascii="Times New Roman" w:hAnsi="Times New Roman"/>
          <w:sz w:val="24"/>
          <w:szCs w:val="24"/>
        </w:rPr>
        <w:t>.</w:t>
      </w:r>
    </w:p>
    <w:p w14:paraId="4A3D2B3C" w14:textId="519D8316" w:rsidR="00F2673C" w:rsidRDefault="00F2673C" w:rsidP="00F2673C">
      <w:pPr>
        <w:spacing w:after="0"/>
        <w:jc w:val="both"/>
        <w:rPr>
          <w:rFonts w:ascii="Times New Roman" w:hAnsi="Times New Roman"/>
          <w:sz w:val="24"/>
          <w:szCs w:val="24"/>
        </w:rPr>
      </w:pPr>
    </w:p>
    <w:p w14:paraId="22BAD064" w14:textId="05B5E8C3" w:rsidR="00F2673C" w:rsidRDefault="00F2673C" w:rsidP="00F2673C">
      <w:pPr>
        <w:spacing w:after="0"/>
        <w:jc w:val="both"/>
        <w:rPr>
          <w:rFonts w:ascii="Times New Roman" w:hAnsi="Times New Roman"/>
          <w:sz w:val="24"/>
          <w:szCs w:val="24"/>
        </w:rPr>
      </w:pPr>
      <w:r w:rsidRPr="00F2673C">
        <w:rPr>
          <w:rFonts w:ascii="Times New Roman" w:hAnsi="Times New Roman"/>
          <w:sz w:val="24"/>
          <w:szCs w:val="24"/>
        </w:rPr>
        <w:t xml:space="preserve">Izveštaj će takođe pružiti informacije o svakom komentaru koji je uzet u obzir, pojašnjenja i opravdanja za svaki komentar koji nije uzet u obzir. Izveštaj će biti dostupan javnosti u najkraćem mogućem roku nakon završetka procesa konsultacija i finalizacije izrade Nacionalnog </w:t>
      </w:r>
      <w:r>
        <w:rPr>
          <w:rFonts w:ascii="Times New Roman" w:hAnsi="Times New Roman"/>
          <w:sz w:val="24"/>
          <w:szCs w:val="24"/>
        </w:rPr>
        <w:t>E</w:t>
      </w:r>
      <w:r w:rsidRPr="00F2673C">
        <w:rPr>
          <w:rFonts w:ascii="Times New Roman" w:hAnsi="Times New Roman"/>
          <w:sz w:val="24"/>
          <w:szCs w:val="24"/>
        </w:rPr>
        <w:t xml:space="preserve">nergetskog i </w:t>
      </w:r>
      <w:r>
        <w:rPr>
          <w:rFonts w:ascii="Times New Roman" w:hAnsi="Times New Roman"/>
          <w:sz w:val="24"/>
          <w:szCs w:val="24"/>
        </w:rPr>
        <w:t>K</w:t>
      </w:r>
      <w:r w:rsidRPr="00F2673C">
        <w:rPr>
          <w:rFonts w:ascii="Times New Roman" w:hAnsi="Times New Roman"/>
          <w:sz w:val="24"/>
          <w:szCs w:val="24"/>
        </w:rPr>
        <w:t xml:space="preserve">limatskog </w:t>
      </w:r>
      <w:r>
        <w:rPr>
          <w:rFonts w:ascii="Times New Roman" w:hAnsi="Times New Roman"/>
          <w:sz w:val="24"/>
          <w:szCs w:val="24"/>
        </w:rPr>
        <w:t>P</w:t>
      </w:r>
      <w:r w:rsidRPr="00F2673C">
        <w:rPr>
          <w:rFonts w:ascii="Times New Roman" w:hAnsi="Times New Roman"/>
          <w:sz w:val="24"/>
          <w:szCs w:val="24"/>
        </w:rPr>
        <w:t>lana 2025-2030.</w:t>
      </w:r>
    </w:p>
    <w:p w14:paraId="2EAF2B40" w14:textId="2E09FDC3" w:rsidR="00F2673C" w:rsidRDefault="00F2673C" w:rsidP="00F2673C">
      <w:pPr>
        <w:spacing w:after="0"/>
        <w:jc w:val="both"/>
        <w:rPr>
          <w:rFonts w:ascii="Times New Roman" w:hAnsi="Times New Roman"/>
          <w:sz w:val="24"/>
          <w:szCs w:val="24"/>
        </w:rPr>
      </w:pPr>
    </w:p>
    <w:p w14:paraId="5058DDDB" w14:textId="4AF86E72" w:rsidR="00F2673C" w:rsidRDefault="00F2673C" w:rsidP="00F2673C">
      <w:pPr>
        <w:spacing w:after="0"/>
        <w:jc w:val="both"/>
        <w:rPr>
          <w:rFonts w:ascii="Times New Roman" w:hAnsi="Times New Roman"/>
          <w:b/>
          <w:i/>
          <w:sz w:val="24"/>
          <w:szCs w:val="24"/>
        </w:rPr>
      </w:pPr>
      <w:r w:rsidRPr="00F2673C">
        <w:rPr>
          <w:rFonts w:ascii="Times New Roman" w:hAnsi="Times New Roman"/>
          <w:b/>
          <w:i/>
          <w:sz w:val="24"/>
          <w:szCs w:val="24"/>
        </w:rPr>
        <w:t>Rok za dostavljanje odgovora</w:t>
      </w:r>
    </w:p>
    <w:p w14:paraId="37B1DA3D" w14:textId="1B7C1592" w:rsidR="00F2673C" w:rsidRDefault="00F2673C" w:rsidP="00F2673C">
      <w:pPr>
        <w:spacing w:after="0"/>
        <w:jc w:val="both"/>
        <w:rPr>
          <w:rFonts w:ascii="Times New Roman" w:hAnsi="Times New Roman"/>
          <w:sz w:val="24"/>
          <w:szCs w:val="24"/>
        </w:rPr>
      </w:pPr>
    </w:p>
    <w:p w14:paraId="608120C6" w14:textId="77777777" w:rsidR="006124F5" w:rsidRPr="00954E3A" w:rsidRDefault="006124F5" w:rsidP="006124F5">
      <w:pPr>
        <w:spacing w:after="0"/>
        <w:jc w:val="both"/>
        <w:rPr>
          <w:rFonts w:ascii="Times New Roman" w:hAnsi="Times New Roman"/>
          <w:sz w:val="24"/>
          <w:szCs w:val="24"/>
        </w:rPr>
      </w:pPr>
      <w:proofErr w:type="spellStart"/>
      <w:r w:rsidRPr="00954E3A">
        <w:rPr>
          <w:rFonts w:ascii="Times New Roman" w:hAnsi="Times New Roman"/>
          <w:sz w:val="24"/>
          <w:szCs w:val="24"/>
        </w:rPr>
        <w:t>Krajnji</w:t>
      </w:r>
      <w:proofErr w:type="spellEnd"/>
      <w:r w:rsidRPr="00954E3A">
        <w:rPr>
          <w:rFonts w:ascii="Times New Roman" w:hAnsi="Times New Roman"/>
          <w:sz w:val="24"/>
          <w:szCs w:val="24"/>
        </w:rPr>
        <w:t xml:space="preserve"> rok </w:t>
      </w:r>
      <w:proofErr w:type="spellStart"/>
      <w:r w:rsidRPr="00954E3A">
        <w:rPr>
          <w:rFonts w:ascii="Times New Roman" w:hAnsi="Times New Roman"/>
          <w:sz w:val="24"/>
          <w:szCs w:val="24"/>
        </w:rPr>
        <w:t>za</w:t>
      </w:r>
      <w:proofErr w:type="spellEnd"/>
      <w:r w:rsidRPr="00954E3A">
        <w:rPr>
          <w:rFonts w:ascii="Times New Roman" w:hAnsi="Times New Roman"/>
          <w:sz w:val="24"/>
          <w:szCs w:val="24"/>
        </w:rPr>
        <w:t xml:space="preserve"> </w:t>
      </w:r>
      <w:proofErr w:type="spellStart"/>
      <w:r w:rsidRPr="00954E3A">
        <w:rPr>
          <w:rFonts w:ascii="Times New Roman" w:hAnsi="Times New Roman"/>
          <w:sz w:val="24"/>
          <w:szCs w:val="24"/>
        </w:rPr>
        <w:t>podnošenje</w:t>
      </w:r>
      <w:proofErr w:type="spellEnd"/>
      <w:r w:rsidRPr="00954E3A">
        <w:rPr>
          <w:rFonts w:ascii="Times New Roman" w:hAnsi="Times New Roman"/>
          <w:sz w:val="24"/>
          <w:szCs w:val="24"/>
        </w:rPr>
        <w:t xml:space="preserve"> </w:t>
      </w:r>
      <w:proofErr w:type="spellStart"/>
      <w:r w:rsidRPr="00954E3A">
        <w:rPr>
          <w:rFonts w:ascii="Times New Roman" w:hAnsi="Times New Roman"/>
          <w:sz w:val="24"/>
          <w:szCs w:val="24"/>
        </w:rPr>
        <w:t>pisanog</w:t>
      </w:r>
      <w:proofErr w:type="spellEnd"/>
      <w:r w:rsidRPr="00954E3A">
        <w:rPr>
          <w:rFonts w:ascii="Times New Roman" w:hAnsi="Times New Roman"/>
          <w:sz w:val="24"/>
          <w:szCs w:val="24"/>
        </w:rPr>
        <w:t xml:space="preserve"> </w:t>
      </w:r>
      <w:proofErr w:type="spellStart"/>
      <w:r w:rsidRPr="00954E3A">
        <w:rPr>
          <w:rFonts w:ascii="Times New Roman" w:hAnsi="Times New Roman"/>
          <w:sz w:val="24"/>
          <w:szCs w:val="24"/>
        </w:rPr>
        <w:t>doprinosa</w:t>
      </w:r>
      <w:proofErr w:type="spellEnd"/>
      <w:r w:rsidRPr="00954E3A">
        <w:rPr>
          <w:rFonts w:ascii="Times New Roman" w:hAnsi="Times New Roman"/>
          <w:sz w:val="24"/>
          <w:szCs w:val="24"/>
        </w:rPr>
        <w:t xml:space="preserve"> u </w:t>
      </w:r>
      <w:proofErr w:type="spellStart"/>
      <w:r w:rsidRPr="00954E3A">
        <w:rPr>
          <w:rFonts w:ascii="Times New Roman" w:hAnsi="Times New Roman"/>
          <w:sz w:val="24"/>
          <w:szCs w:val="24"/>
        </w:rPr>
        <w:t>okviru</w:t>
      </w:r>
      <w:proofErr w:type="spellEnd"/>
      <w:r w:rsidRPr="00954E3A">
        <w:rPr>
          <w:rFonts w:ascii="Times New Roman" w:hAnsi="Times New Roman"/>
          <w:sz w:val="24"/>
          <w:szCs w:val="24"/>
        </w:rPr>
        <w:t xml:space="preserve"> </w:t>
      </w:r>
      <w:proofErr w:type="spellStart"/>
      <w:r w:rsidRPr="00954E3A">
        <w:rPr>
          <w:rFonts w:ascii="Times New Roman" w:hAnsi="Times New Roman"/>
          <w:sz w:val="24"/>
          <w:szCs w:val="24"/>
        </w:rPr>
        <w:t>procesa</w:t>
      </w:r>
      <w:proofErr w:type="spellEnd"/>
      <w:r w:rsidRPr="00954E3A">
        <w:rPr>
          <w:rFonts w:ascii="Times New Roman" w:hAnsi="Times New Roman"/>
          <w:sz w:val="24"/>
          <w:szCs w:val="24"/>
        </w:rPr>
        <w:t xml:space="preserve"> </w:t>
      </w:r>
      <w:proofErr w:type="spellStart"/>
      <w:r w:rsidRPr="00954E3A">
        <w:rPr>
          <w:rFonts w:ascii="Times New Roman" w:hAnsi="Times New Roman"/>
          <w:sz w:val="24"/>
          <w:szCs w:val="24"/>
        </w:rPr>
        <w:t>konsultacija</w:t>
      </w:r>
      <w:proofErr w:type="spellEnd"/>
      <w:r w:rsidRPr="00954E3A">
        <w:rPr>
          <w:rFonts w:ascii="Times New Roman" w:hAnsi="Times New Roman"/>
          <w:sz w:val="24"/>
          <w:szCs w:val="24"/>
        </w:rPr>
        <w:t xml:space="preserve"> </w:t>
      </w:r>
      <w:proofErr w:type="spellStart"/>
      <w:r w:rsidRPr="00954E3A">
        <w:rPr>
          <w:rFonts w:ascii="Times New Roman" w:hAnsi="Times New Roman"/>
          <w:sz w:val="24"/>
          <w:szCs w:val="24"/>
        </w:rPr>
        <w:t>za</w:t>
      </w:r>
      <w:proofErr w:type="spellEnd"/>
      <w:r w:rsidRPr="00954E3A">
        <w:rPr>
          <w:rFonts w:ascii="Times New Roman" w:hAnsi="Times New Roman"/>
          <w:sz w:val="24"/>
          <w:szCs w:val="24"/>
        </w:rPr>
        <w:t xml:space="preserve"> </w:t>
      </w:r>
      <w:proofErr w:type="spellStart"/>
      <w:r w:rsidRPr="00954E3A">
        <w:rPr>
          <w:rFonts w:ascii="Times New Roman" w:hAnsi="Times New Roman"/>
          <w:sz w:val="24"/>
          <w:szCs w:val="24"/>
        </w:rPr>
        <w:t>Nacionalni</w:t>
      </w:r>
      <w:proofErr w:type="spellEnd"/>
      <w:r w:rsidRPr="00954E3A">
        <w:rPr>
          <w:rFonts w:ascii="Times New Roman" w:hAnsi="Times New Roman"/>
          <w:sz w:val="24"/>
          <w:szCs w:val="24"/>
        </w:rPr>
        <w:t xml:space="preserve"> </w:t>
      </w:r>
      <w:proofErr w:type="spellStart"/>
      <w:r w:rsidRPr="00954E3A">
        <w:rPr>
          <w:rFonts w:ascii="Times New Roman" w:hAnsi="Times New Roman"/>
          <w:sz w:val="24"/>
          <w:szCs w:val="24"/>
        </w:rPr>
        <w:t>energetski</w:t>
      </w:r>
      <w:proofErr w:type="spellEnd"/>
      <w:r w:rsidRPr="00954E3A">
        <w:rPr>
          <w:rFonts w:ascii="Times New Roman" w:hAnsi="Times New Roman"/>
          <w:sz w:val="24"/>
          <w:szCs w:val="24"/>
        </w:rPr>
        <w:t xml:space="preserve"> i </w:t>
      </w:r>
      <w:proofErr w:type="spellStart"/>
      <w:r w:rsidRPr="00954E3A">
        <w:rPr>
          <w:rFonts w:ascii="Times New Roman" w:hAnsi="Times New Roman"/>
          <w:sz w:val="24"/>
          <w:szCs w:val="24"/>
        </w:rPr>
        <w:t>klimatski</w:t>
      </w:r>
      <w:proofErr w:type="spellEnd"/>
      <w:r w:rsidRPr="00954E3A">
        <w:rPr>
          <w:rFonts w:ascii="Times New Roman" w:hAnsi="Times New Roman"/>
          <w:sz w:val="24"/>
          <w:szCs w:val="24"/>
        </w:rPr>
        <w:t xml:space="preserve"> plan 2025-2030 je 15 </w:t>
      </w:r>
      <w:proofErr w:type="spellStart"/>
      <w:r w:rsidRPr="00954E3A">
        <w:rPr>
          <w:rFonts w:ascii="Times New Roman" w:hAnsi="Times New Roman"/>
          <w:sz w:val="24"/>
          <w:szCs w:val="24"/>
        </w:rPr>
        <w:t>radnih</w:t>
      </w:r>
      <w:proofErr w:type="spellEnd"/>
      <w:r w:rsidRPr="00954E3A">
        <w:rPr>
          <w:rFonts w:ascii="Times New Roman" w:hAnsi="Times New Roman"/>
          <w:sz w:val="24"/>
          <w:szCs w:val="24"/>
        </w:rPr>
        <w:t xml:space="preserve"> </w:t>
      </w:r>
      <w:proofErr w:type="spellStart"/>
      <w:r w:rsidRPr="00954E3A">
        <w:rPr>
          <w:rFonts w:ascii="Times New Roman" w:hAnsi="Times New Roman"/>
          <w:sz w:val="24"/>
          <w:szCs w:val="24"/>
        </w:rPr>
        <w:t>dana</w:t>
      </w:r>
      <w:proofErr w:type="spellEnd"/>
      <w:r w:rsidRPr="00954E3A">
        <w:rPr>
          <w:rFonts w:ascii="Times New Roman" w:hAnsi="Times New Roman"/>
          <w:sz w:val="24"/>
          <w:szCs w:val="24"/>
        </w:rPr>
        <w:t xml:space="preserve">, </w:t>
      </w:r>
      <w:proofErr w:type="spellStart"/>
      <w:r w:rsidRPr="00954E3A">
        <w:rPr>
          <w:rFonts w:ascii="Times New Roman" w:hAnsi="Times New Roman"/>
          <w:sz w:val="24"/>
          <w:szCs w:val="24"/>
        </w:rPr>
        <w:t>kako</w:t>
      </w:r>
      <w:proofErr w:type="spellEnd"/>
      <w:r w:rsidRPr="00954E3A">
        <w:rPr>
          <w:rFonts w:ascii="Times New Roman" w:hAnsi="Times New Roman"/>
          <w:sz w:val="24"/>
          <w:szCs w:val="24"/>
        </w:rPr>
        <w:t xml:space="preserve"> je </w:t>
      </w:r>
      <w:proofErr w:type="spellStart"/>
      <w:r w:rsidRPr="00954E3A">
        <w:rPr>
          <w:rFonts w:ascii="Times New Roman" w:hAnsi="Times New Roman"/>
          <w:sz w:val="24"/>
          <w:szCs w:val="24"/>
        </w:rPr>
        <w:t>predviđeno</w:t>
      </w:r>
      <w:proofErr w:type="spellEnd"/>
      <w:r w:rsidRPr="00954E3A">
        <w:rPr>
          <w:rFonts w:ascii="Times New Roman" w:hAnsi="Times New Roman"/>
          <w:sz w:val="24"/>
          <w:szCs w:val="24"/>
        </w:rPr>
        <w:t xml:space="preserve"> </w:t>
      </w:r>
      <w:proofErr w:type="spellStart"/>
      <w:r w:rsidRPr="00954E3A">
        <w:rPr>
          <w:rFonts w:ascii="Times New Roman" w:hAnsi="Times New Roman"/>
          <w:sz w:val="24"/>
          <w:szCs w:val="24"/>
        </w:rPr>
        <w:t>Uredbom</w:t>
      </w:r>
      <w:proofErr w:type="spellEnd"/>
      <w:r w:rsidRPr="00954E3A">
        <w:rPr>
          <w:rFonts w:ascii="Times New Roman" w:hAnsi="Times New Roman"/>
          <w:sz w:val="24"/>
          <w:szCs w:val="24"/>
        </w:rPr>
        <w:t xml:space="preserve"> (VRK) - </w:t>
      </w:r>
      <w:proofErr w:type="spellStart"/>
      <w:r w:rsidRPr="00954E3A">
        <w:rPr>
          <w:rFonts w:ascii="Times New Roman" w:hAnsi="Times New Roman"/>
          <w:sz w:val="24"/>
          <w:szCs w:val="24"/>
        </w:rPr>
        <w:t>br</w:t>
      </w:r>
      <w:proofErr w:type="spellEnd"/>
      <w:r w:rsidRPr="00954E3A">
        <w:rPr>
          <w:rFonts w:ascii="Times New Roman" w:hAnsi="Times New Roman"/>
          <w:sz w:val="24"/>
          <w:szCs w:val="24"/>
        </w:rPr>
        <w:t xml:space="preserve">. 17/2024 o </w:t>
      </w:r>
      <w:proofErr w:type="spellStart"/>
      <w:r w:rsidRPr="00954E3A">
        <w:rPr>
          <w:rFonts w:ascii="Times New Roman" w:hAnsi="Times New Roman"/>
          <w:sz w:val="24"/>
          <w:szCs w:val="24"/>
        </w:rPr>
        <w:t>radu</w:t>
      </w:r>
      <w:proofErr w:type="spellEnd"/>
      <w:r w:rsidRPr="00954E3A">
        <w:rPr>
          <w:rFonts w:ascii="Times New Roman" w:hAnsi="Times New Roman"/>
          <w:sz w:val="24"/>
          <w:szCs w:val="24"/>
        </w:rPr>
        <w:t xml:space="preserve"> </w:t>
      </w:r>
      <w:proofErr w:type="spellStart"/>
      <w:r w:rsidRPr="00954E3A">
        <w:rPr>
          <w:rFonts w:ascii="Times New Roman" w:hAnsi="Times New Roman"/>
          <w:sz w:val="24"/>
          <w:szCs w:val="24"/>
        </w:rPr>
        <w:t>Vlade</w:t>
      </w:r>
      <w:proofErr w:type="spellEnd"/>
      <w:r w:rsidRPr="00954E3A">
        <w:rPr>
          <w:rFonts w:ascii="Times New Roman" w:hAnsi="Times New Roman"/>
          <w:sz w:val="24"/>
          <w:szCs w:val="24"/>
        </w:rPr>
        <w:t xml:space="preserve"> Republike Kosovo.</w:t>
      </w:r>
    </w:p>
    <w:p w14:paraId="5EC6AF75" w14:textId="4B9665B2" w:rsidR="00F2673C" w:rsidRDefault="00F2673C" w:rsidP="00F2673C">
      <w:pPr>
        <w:spacing w:after="0"/>
        <w:jc w:val="both"/>
        <w:rPr>
          <w:rFonts w:ascii="Times New Roman" w:hAnsi="Times New Roman"/>
          <w:sz w:val="24"/>
          <w:szCs w:val="24"/>
        </w:rPr>
      </w:pPr>
      <w:bookmarkStart w:id="1" w:name="_GoBack"/>
      <w:bookmarkEnd w:id="1"/>
    </w:p>
    <w:p w14:paraId="6979CC9A" w14:textId="5B93DC94" w:rsidR="006124F5" w:rsidRDefault="006124F5" w:rsidP="00F2673C">
      <w:pPr>
        <w:spacing w:after="0"/>
        <w:jc w:val="both"/>
        <w:rPr>
          <w:rFonts w:ascii="Times New Roman" w:hAnsi="Times New Roman"/>
          <w:sz w:val="24"/>
          <w:szCs w:val="24"/>
        </w:rPr>
      </w:pPr>
    </w:p>
    <w:p w14:paraId="187FEE3D" w14:textId="293BBFF5" w:rsidR="00F2673C" w:rsidRPr="00F2673C" w:rsidRDefault="00F2673C" w:rsidP="00F2673C">
      <w:pPr>
        <w:spacing w:after="0"/>
        <w:jc w:val="both"/>
        <w:rPr>
          <w:rFonts w:ascii="Times New Roman" w:hAnsi="Times New Roman"/>
          <w:b/>
          <w:i/>
          <w:sz w:val="24"/>
          <w:szCs w:val="24"/>
        </w:rPr>
      </w:pPr>
      <w:r w:rsidRPr="00F2673C">
        <w:rPr>
          <w:rFonts w:ascii="Times New Roman" w:hAnsi="Times New Roman"/>
          <w:b/>
          <w:i/>
          <w:sz w:val="24"/>
          <w:szCs w:val="24"/>
        </w:rPr>
        <w:t>Gde i kako treba da pošaljete svoje priloge u pisanoj formi</w:t>
      </w:r>
    </w:p>
    <w:p w14:paraId="230B1915" w14:textId="2B66B9EC" w:rsidR="00F2673C" w:rsidRDefault="00F2673C" w:rsidP="00F2673C">
      <w:pPr>
        <w:spacing w:after="0"/>
        <w:jc w:val="both"/>
        <w:rPr>
          <w:rFonts w:ascii="Times New Roman" w:hAnsi="Times New Roman"/>
          <w:sz w:val="24"/>
          <w:szCs w:val="24"/>
        </w:rPr>
      </w:pPr>
    </w:p>
    <w:p w14:paraId="1EF7598B" w14:textId="10F40A74" w:rsidR="00F2673C" w:rsidRDefault="00F2673C" w:rsidP="00F2673C">
      <w:pPr>
        <w:spacing w:after="0"/>
        <w:jc w:val="both"/>
        <w:rPr>
          <w:rFonts w:ascii="Times New Roman" w:hAnsi="Times New Roman"/>
          <w:sz w:val="24"/>
          <w:szCs w:val="24"/>
        </w:rPr>
      </w:pPr>
      <w:r w:rsidRPr="00F2673C">
        <w:rPr>
          <w:rFonts w:ascii="Times New Roman" w:hAnsi="Times New Roman"/>
          <w:sz w:val="24"/>
          <w:szCs w:val="24"/>
        </w:rPr>
        <w:t xml:space="preserve">Svi pisani prilozi moraju biti dostavljeni elektronskim putem na e-mail adresu, </w:t>
      </w:r>
      <w:hyperlink r:id="rId15" w:history="1">
        <w:r w:rsidR="00E35888" w:rsidRPr="00AC659E">
          <w:rPr>
            <w:rStyle w:val="Hyperlink"/>
            <w:rFonts w:ascii="Times New Roman" w:hAnsi="Times New Roman"/>
            <w:sz w:val="24"/>
            <w:szCs w:val="24"/>
          </w:rPr>
          <w:t>Adem.Berisha@rks-gov.net</w:t>
        </w:r>
      </w:hyperlink>
      <w:r w:rsidRPr="00F2673C">
        <w:rPr>
          <w:rFonts w:ascii="Times New Roman" w:hAnsi="Times New Roman"/>
          <w:sz w:val="24"/>
          <w:szCs w:val="24"/>
        </w:rPr>
        <w:t>;</w:t>
      </w:r>
      <w:r w:rsidR="00E35888">
        <w:rPr>
          <w:rFonts w:ascii="Times New Roman" w:hAnsi="Times New Roman"/>
          <w:sz w:val="24"/>
          <w:szCs w:val="24"/>
        </w:rPr>
        <w:t xml:space="preserve"> </w:t>
      </w:r>
      <w:hyperlink r:id="rId16" w:history="1">
        <w:r w:rsidR="00E35888" w:rsidRPr="00AC659E">
          <w:rPr>
            <w:rStyle w:val="Hyperlink"/>
            <w:rFonts w:ascii="Times New Roman" w:hAnsi="Times New Roman"/>
            <w:sz w:val="24"/>
            <w:szCs w:val="24"/>
          </w:rPr>
          <w:t>vlora.osaj@rks-gov.net</w:t>
        </w:r>
      </w:hyperlink>
      <w:r w:rsidR="00E35888">
        <w:rPr>
          <w:rFonts w:ascii="Times New Roman" w:hAnsi="Times New Roman"/>
          <w:sz w:val="24"/>
          <w:szCs w:val="24"/>
        </w:rPr>
        <w:t xml:space="preserve"> i </w:t>
      </w:r>
      <w:hyperlink r:id="rId17" w:history="1">
        <w:r w:rsidR="00E35888" w:rsidRPr="00AC659E">
          <w:rPr>
            <w:rStyle w:val="Hyperlink"/>
            <w:rFonts w:ascii="Times New Roman" w:hAnsi="Times New Roman"/>
            <w:sz w:val="24"/>
            <w:szCs w:val="24"/>
          </w:rPr>
          <w:t>abdullah.pirce@rks-gov.net</w:t>
        </w:r>
      </w:hyperlink>
      <w:r w:rsidR="00E35888">
        <w:rPr>
          <w:rFonts w:ascii="Times New Roman" w:hAnsi="Times New Roman"/>
          <w:sz w:val="24"/>
          <w:szCs w:val="24"/>
        </w:rPr>
        <w:t xml:space="preserve"> </w:t>
      </w:r>
      <w:r w:rsidRPr="00F2673C">
        <w:rPr>
          <w:rFonts w:ascii="Times New Roman" w:hAnsi="Times New Roman"/>
          <w:sz w:val="24"/>
          <w:szCs w:val="24"/>
        </w:rPr>
        <w:t xml:space="preserve">sa naslovom - Nacrt Nacionalnog </w:t>
      </w:r>
      <w:r w:rsidR="00E35888">
        <w:rPr>
          <w:rFonts w:ascii="Times New Roman" w:hAnsi="Times New Roman"/>
          <w:sz w:val="24"/>
          <w:szCs w:val="24"/>
        </w:rPr>
        <w:t>E</w:t>
      </w:r>
      <w:r w:rsidRPr="00F2673C">
        <w:rPr>
          <w:rFonts w:ascii="Times New Roman" w:hAnsi="Times New Roman"/>
          <w:sz w:val="24"/>
          <w:szCs w:val="24"/>
        </w:rPr>
        <w:t xml:space="preserve">nergetskog i </w:t>
      </w:r>
      <w:r w:rsidR="00E35888">
        <w:rPr>
          <w:rFonts w:ascii="Times New Roman" w:hAnsi="Times New Roman"/>
          <w:sz w:val="24"/>
          <w:szCs w:val="24"/>
        </w:rPr>
        <w:t>K</w:t>
      </w:r>
      <w:r w:rsidRPr="00F2673C">
        <w:rPr>
          <w:rFonts w:ascii="Times New Roman" w:hAnsi="Times New Roman"/>
          <w:sz w:val="24"/>
          <w:szCs w:val="24"/>
        </w:rPr>
        <w:t xml:space="preserve">limatskog </w:t>
      </w:r>
      <w:r w:rsidR="00E35888">
        <w:rPr>
          <w:rFonts w:ascii="Times New Roman" w:hAnsi="Times New Roman"/>
          <w:sz w:val="24"/>
          <w:szCs w:val="24"/>
        </w:rPr>
        <w:t>P</w:t>
      </w:r>
      <w:r w:rsidRPr="00F2673C">
        <w:rPr>
          <w:rFonts w:ascii="Times New Roman" w:hAnsi="Times New Roman"/>
          <w:sz w:val="24"/>
          <w:szCs w:val="24"/>
        </w:rPr>
        <w:t>lana 2025-2030.</w:t>
      </w:r>
    </w:p>
    <w:p w14:paraId="7D41CE77" w14:textId="46D3256E" w:rsidR="00E35888" w:rsidRDefault="00E35888" w:rsidP="00F2673C">
      <w:pPr>
        <w:spacing w:after="0"/>
        <w:jc w:val="both"/>
        <w:rPr>
          <w:rFonts w:ascii="Times New Roman" w:hAnsi="Times New Roman"/>
          <w:sz w:val="24"/>
          <w:szCs w:val="24"/>
        </w:rPr>
      </w:pPr>
    </w:p>
    <w:p w14:paraId="6DEC389E" w14:textId="77777777" w:rsidR="00E35888" w:rsidRPr="00E35888" w:rsidRDefault="00E35888" w:rsidP="00E35888">
      <w:pPr>
        <w:spacing w:after="0"/>
        <w:jc w:val="both"/>
        <w:rPr>
          <w:rFonts w:ascii="Times New Roman" w:hAnsi="Times New Roman"/>
          <w:b/>
          <w:sz w:val="24"/>
          <w:szCs w:val="24"/>
        </w:rPr>
      </w:pPr>
      <w:r w:rsidRPr="00E35888">
        <w:rPr>
          <w:rFonts w:ascii="Times New Roman" w:hAnsi="Times New Roman"/>
          <w:b/>
          <w:sz w:val="24"/>
          <w:szCs w:val="24"/>
        </w:rPr>
        <w:t>Šta komentari treba da sadrže?</w:t>
      </w:r>
    </w:p>
    <w:p w14:paraId="1A44EA41" w14:textId="77777777" w:rsidR="00E35888" w:rsidRPr="00E35888" w:rsidRDefault="00E35888" w:rsidP="00E35888">
      <w:pPr>
        <w:spacing w:after="0"/>
        <w:jc w:val="both"/>
        <w:rPr>
          <w:rFonts w:ascii="Times New Roman" w:hAnsi="Times New Roman"/>
          <w:b/>
          <w:sz w:val="24"/>
          <w:szCs w:val="24"/>
        </w:rPr>
      </w:pPr>
      <w:r w:rsidRPr="00E35888">
        <w:rPr>
          <w:rFonts w:ascii="Times New Roman" w:hAnsi="Times New Roman"/>
          <w:b/>
          <w:sz w:val="24"/>
          <w:szCs w:val="24"/>
        </w:rPr>
        <w:t>Ime osobe/organizacije koja daje komentare:</w:t>
      </w:r>
    </w:p>
    <w:p w14:paraId="60DB85F8" w14:textId="77777777" w:rsidR="00E35888" w:rsidRPr="00E35888" w:rsidRDefault="00E35888" w:rsidP="00E35888">
      <w:pPr>
        <w:spacing w:after="0"/>
        <w:jc w:val="both"/>
        <w:rPr>
          <w:rFonts w:ascii="Times New Roman" w:hAnsi="Times New Roman"/>
          <w:b/>
          <w:sz w:val="24"/>
          <w:szCs w:val="24"/>
        </w:rPr>
      </w:pPr>
      <w:r w:rsidRPr="00E35888">
        <w:rPr>
          <w:rFonts w:ascii="Times New Roman" w:hAnsi="Times New Roman"/>
          <w:b/>
          <w:sz w:val="24"/>
          <w:szCs w:val="24"/>
        </w:rPr>
        <w:t>Glavne oblasti aktivnosti organizacije:</w:t>
      </w:r>
    </w:p>
    <w:p w14:paraId="60AF6A6F" w14:textId="77777777" w:rsidR="00E35888" w:rsidRPr="00E35888" w:rsidRDefault="00E35888" w:rsidP="00E35888">
      <w:pPr>
        <w:spacing w:after="0"/>
        <w:jc w:val="both"/>
        <w:rPr>
          <w:rFonts w:ascii="Times New Roman" w:hAnsi="Times New Roman"/>
          <w:b/>
          <w:sz w:val="24"/>
          <w:szCs w:val="24"/>
        </w:rPr>
      </w:pPr>
      <w:r w:rsidRPr="00E35888">
        <w:rPr>
          <w:rFonts w:ascii="Times New Roman" w:hAnsi="Times New Roman"/>
          <w:b/>
          <w:sz w:val="24"/>
          <w:szCs w:val="24"/>
        </w:rPr>
        <w:t>Kontakt informacije osobe/organizacije (adresa, email, telefon):</w:t>
      </w:r>
    </w:p>
    <w:p w14:paraId="44932161" w14:textId="77777777" w:rsidR="00E35888" w:rsidRPr="00E35888" w:rsidRDefault="00E35888" w:rsidP="00E35888">
      <w:pPr>
        <w:spacing w:after="0"/>
        <w:jc w:val="both"/>
        <w:rPr>
          <w:rFonts w:ascii="Times New Roman" w:hAnsi="Times New Roman"/>
          <w:b/>
          <w:sz w:val="24"/>
          <w:szCs w:val="24"/>
        </w:rPr>
      </w:pPr>
      <w:r w:rsidRPr="00E35888">
        <w:rPr>
          <w:rFonts w:ascii="Times New Roman" w:hAnsi="Times New Roman"/>
          <w:b/>
          <w:sz w:val="24"/>
          <w:szCs w:val="24"/>
        </w:rPr>
        <w:t>Komentari:</w:t>
      </w:r>
    </w:p>
    <w:p w14:paraId="2D4FBEDC" w14:textId="5B746625" w:rsidR="00E35888" w:rsidRPr="00E35888" w:rsidRDefault="00E35888" w:rsidP="00E35888">
      <w:pPr>
        <w:spacing w:after="0"/>
        <w:jc w:val="both"/>
        <w:rPr>
          <w:rFonts w:ascii="Times New Roman" w:hAnsi="Times New Roman"/>
          <w:b/>
          <w:sz w:val="24"/>
          <w:szCs w:val="24"/>
        </w:rPr>
      </w:pPr>
      <w:r w:rsidRPr="00E35888">
        <w:rPr>
          <w:rFonts w:ascii="Times New Roman" w:hAnsi="Times New Roman"/>
          <w:b/>
          <w:sz w:val="24"/>
          <w:szCs w:val="24"/>
        </w:rPr>
        <w:t>Datum slanja komentara:</w:t>
      </w:r>
    </w:p>
    <w:p w14:paraId="4903B313" w14:textId="65C76624" w:rsidR="00F2673C" w:rsidRDefault="00F2673C" w:rsidP="00F2673C">
      <w:pPr>
        <w:spacing w:after="0"/>
        <w:jc w:val="both"/>
        <w:rPr>
          <w:rFonts w:ascii="Times New Roman" w:hAnsi="Times New Roman"/>
          <w:sz w:val="24"/>
          <w:szCs w:val="24"/>
        </w:rPr>
      </w:pPr>
    </w:p>
    <w:p w14:paraId="2DA65C94" w14:textId="6AA46306" w:rsidR="00E35888" w:rsidRDefault="00E35888" w:rsidP="00F2673C">
      <w:pPr>
        <w:spacing w:after="0"/>
        <w:jc w:val="both"/>
        <w:rPr>
          <w:rFonts w:ascii="Times New Roman" w:hAnsi="Times New Roman"/>
          <w:sz w:val="24"/>
          <w:szCs w:val="24"/>
        </w:rPr>
      </w:pPr>
      <w:r w:rsidRPr="00E35888">
        <w:rPr>
          <w:rFonts w:ascii="Times New Roman" w:hAnsi="Times New Roman"/>
          <w:sz w:val="24"/>
          <w:szCs w:val="24"/>
        </w:rPr>
        <w:t>Obrazac za priloge je otvoren, ali je poželjno da svoje doprinose uključite u dole priloženu tabelu uz ovaj dokument, koja uključuje ključna pitanja ovog dokumenta.</w:t>
      </w:r>
    </w:p>
    <w:p w14:paraId="3F77BA3E" w14:textId="77777777" w:rsidR="00E35888" w:rsidRDefault="00E35888" w:rsidP="00F2673C">
      <w:pPr>
        <w:spacing w:after="0"/>
        <w:jc w:val="both"/>
        <w:rPr>
          <w:rFonts w:ascii="Times New Roman" w:hAnsi="Times New Roman"/>
          <w:sz w:val="24"/>
          <w:szCs w:val="24"/>
        </w:rPr>
      </w:pPr>
    </w:p>
    <w:p w14:paraId="118F022A" w14:textId="1EA29394" w:rsidR="00E35888" w:rsidRDefault="00E35888" w:rsidP="00F2673C">
      <w:pPr>
        <w:spacing w:after="0"/>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
        <w:gridCol w:w="2893"/>
        <w:gridCol w:w="3039"/>
        <w:gridCol w:w="2691"/>
      </w:tblGrid>
      <w:tr w:rsidR="00E35888" w:rsidRPr="00BA57A6" w14:paraId="678F935D" w14:textId="77777777" w:rsidTr="00E35888">
        <w:trPr>
          <w:trHeight w:val="789"/>
        </w:trPr>
        <w:tc>
          <w:tcPr>
            <w:tcW w:w="396" w:type="dxa"/>
            <w:shd w:val="clear" w:color="auto" w:fill="8DB3E2"/>
          </w:tcPr>
          <w:p w14:paraId="723335D4" w14:textId="77777777" w:rsidR="00E35888" w:rsidRPr="00BA57A6" w:rsidRDefault="00E35888" w:rsidP="00D7163B">
            <w:pPr>
              <w:spacing w:before="240" w:after="120"/>
              <w:jc w:val="both"/>
              <w:rPr>
                <w:rFonts w:ascii="Times New Roman" w:hAnsi="Times New Roman"/>
                <w:b/>
                <w:sz w:val="24"/>
                <w:szCs w:val="24"/>
              </w:rPr>
            </w:pPr>
          </w:p>
        </w:tc>
        <w:tc>
          <w:tcPr>
            <w:tcW w:w="2976" w:type="dxa"/>
            <w:shd w:val="clear" w:color="auto" w:fill="8DB3E2"/>
          </w:tcPr>
          <w:p w14:paraId="210F3990" w14:textId="258FC67A" w:rsidR="00E35888" w:rsidRPr="00BA57A6" w:rsidRDefault="00E35888" w:rsidP="00D7163B">
            <w:pPr>
              <w:spacing w:before="240" w:after="120"/>
              <w:jc w:val="both"/>
              <w:rPr>
                <w:rFonts w:ascii="Times New Roman" w:hAnsi="Times New Roman"/>
                <w:b/>
                <w:sz w:val="24"/>
                <w:szCs w:val="24"/>
              </w:rPr>
            </w:pPr>
            <w:r w:rsidRPr="00E35888">
              <w:rPr>
                <w:rFonts w:ascii="Times New Roman" w:hAnsi="Times New Roman"/>
                <w:b/>
                <w:sz w:val="24"/>
                <w:szCs w:val="24"/>
              </w:rPr>
              <w:t>Ključna pitanja</w:t>
            </w:r>
          </w:p>
        </w:tc>
        <w:tc>
          <w:tcPr>
            <w:tcW w:w="3116" w:type="dxa"/>
            <w:shd w:val="clear" w:color="auto" w:fill="8DB3E2"/>
          </w:tcPr>
          <w:p w14:paraId="601FFCDD" w14:textId="4B632AB9" w:rsidR="00E35888" w:rsidRPr="00BA57A6" w:rsidRDefault="00E35888" w:rsidP="00D7163B">
            <w:pPr>
              <w:spacing w:before="240" w:after="120"/>
              <w:jc w:val="both"/>
              <w:rPr>
                <w:rFonts w:ascii="Times New Roman" w:hAnsi="Times New Roman"/>
                <w:b/>
                <w:sz w:val="24"/>
                <w:szCs w:val="24"/>
              </w:rPr>
            </w:pPr>
            <w:r w:rsidRPr="00E35888">
              <w:rPr>
                <w:rFonts w:ascii="Times New Roman" w:hAnsi="Times New Roman"/>
                <w:b/>
                <w:sz w:val="24"/>
                <w:szCs w:val="24"/>
              </w:rPr>
              <w:t>Komentari o trenutnom nacrtu</w:t>
            </w:r>
          </w:p>
        </w:tc>
        <w:tc>
          <w:tcPr>
            <w:tcW w:w="2754" w:type="dxa"/>
            <w:shd w:val="clear" w:color="auto" w:fill="8DB3E2"/>
          </w:tcPr>
          <w:p w14:paraId="463482ED" w14:textId="12ECF22C" w:rsidR="00E35888" w:rsidRPr="00BA57A6" w:rsidRDefault="00E35888" w:rsidP="00E35888">
            <w:pPr>
              <w:spacing w:before="240" w:after="120"/>
              <w:jc w:val="both"/>
              <w:rPr>
                <w:rFonts w:ascii="Times New Roman" w:hAnsi="Times New Roman"/>
                <w:b/>
                <w:sz w:val="24"/>
                <w:szCs w:val="24"/>
              </w:rPr>
            </w:pPr>
            <w:r w:rsidRPr="00E35888">
              <w:rPr>
                <w:rFonts w:ascii="Times New Roman" w:hAnsi="Times New Roman"/>
                <w:b/>
                <w:sz w:val="24"/>
                <w:szCs w:val="24"/>
              </w:rPr>
              <w:t xml:space="preserve">Dodatni </w:t>
            </w:r>
            <w:r>
              <w:rPr>
                <w:rFonts w:ascii="Times New Roman" w:hAnsi="Times New Roman"/>
                <w:b/>
                <w:sz w:val="24"/>
                <w:szCs w:val="24"/>
              </w:rPr>
              <w:t>k</w:t>
            </w:r>
            <w:r w:rsidRPr="00E35888">
              <w:rPr>
                <w:rFonts w:ascii="Times New Roman" w:hAnsi="Times New Roman"/>
                <w:b/>
                <w:sz w:val="24"/>
                <w:szCs w:val="24"/>
              </w:rPr>
              <w:t>omentari</w:t>
            </w:r>
          </w:p>
        </w:tc>
      </w:tr>
      <w:tr w:rsidR="00E35888" w:rsidRPr="00BA57A6" w14:paraId="25A4CCC6" w14:textId="77777777" w:rsidTr="00D7163B">
        <w:tc>
          <w:tcPr>
            <w:tcW w:w="396" w:type="dxa"/>
            <w:shd w:val="clear" w:color="auto" w:fill="D6E3BC"/>
          </w:tcPr>
          <w:p w14:paraId="0A154BC0" w14:textId="77777777" w:rsidR="00E35888" w:rsidRPr="00BA57A6" w:rsidRDefault="00E35888" w:rsidP="00D7163B">
            <w:pPr>
              <w:spacing w:before="240" w:after="120"/>
              <w:jc w:val="both"/>
              <w:rPr>
                <w:rFonts w:ascii="Times New Roman" w:hAnsi="Times New Roman"/>
                <w:b/>
                <w:sz w:val="24"/>
                <w:szCs w:val="24"/>
              </w:rPr>
            </w:pPr>
            <w:r w:rsidRPr="00BA57A6">
              <w:rPr>
                <w:rFonts w:ascii="Times New Roman" w:hAnsi="Times New Roman"/>
                <w:b/>
                <w:sz w:val="24"/>
                <w:szCs w:val="24"/>
              </w:rPr>
              <w:t>1</w:t>
            </w:r>
          </w:p>
        </w:tc>
        <w:tc>
          <w:tcPr>
            <w:tcW w:w="2976" w:type="dxa"/>
          </w:tcPr>
          <w:p w14:paraId="6E07CCFA" w14:textId="77777777" w:rsidR="00E35888" w:rsidRPr="00BA57A6" w:rsidRDefault="00E35888" w:rsidP="00D7163B">
            <w:pPr>
              <w:pStyle w:val="CM10"/>
              <w:spacing w:before="240" w:after="120" w:line="276" w:lineRule="auto"/>
              <w:rPr>
                <w:rFonts w:ascii="Times New Roman" w:hAnsi="Times New Roman"/>
                <w:lang w:val="sq-AL"/>
              </w:rPr>
            </w:pPr>
          </w:p>
        </w:tc>
        <w:tc>
          <w:tcPr>
            <w:tcW w:w="3116" w:type="dxa"/>
          </w:tcPr>
          <w:p w14:paraId="3C4F96EB" w14:textId="77777777" w:rsidR="00E35888" w:rsidRPr="00BA57A6" w:rsidRDefault="00E35888" w:rsidP="00D7163B">
            <w:pPr>
              <w:spacing w:before="240" w:after="120"/>
              <w:jc w:val="both"/>
              <w:rPr>
                <w:rFonts w:ascii="Times New Roman" w:hAnsi="Times New Roman"/>
                <w:sz w:val="24"/>
                <w:szCs w:val="24"/>
              </w:rPr>
            </w:pPr>
          </w:p>
        </w:tc>
        <w:tc>
          <w:tcPr>
            <w:tcW w:w="2754" w:type="dxa"/>
          </w:tcPr>
          <w:p w14:paraId="545D9833" w14:textId="77777777" w:rsidR="00E35888" w:rsidRPr="00BA57A6" w:rsidRDefault="00E35888" w:rsidP="00D7163B">
            <w:pPr>
              <w:spacing w:before="240" w:after="120"/>
              <w:jc w:val="both"/>
              <w:rPr>
                <w:rFonts w:ascii="Times New Roman" w:hAnsi="Times New Roman"/>
                <w:sz w:val="24"/>
                <w:szCs w:val="24"/>
              </w:rPr>
            </w:pPr>
          </w:p>
        </w:tc>
      </w:tr>
      <w:tr w:rsidR="00E35888" w:rsidRPr="00BA57A6" w14:paraId="0E19F70F" w14:textId="77777777" w:rsidTr="00D7163B">
        <w:tc>
          <w:tcPr>
            <w:tcW w:w="396" w:type="dxa"/>
            <w:shd w:val="clear" w:color="auto" w:fill="D6E3BC"/>
          </w:tcPr>
          <w:p w14:paraId="3E507F27" w14:textId="77777777" w:rsidR="00E35888" w:rsidRPr="00BA57A6" w:rsidRDefault="00E35888" w:rsidP="00D7163B">
            <w:pPr>
              <w:spacing w:before="240" w:after="120"/>
              <w:jc w:val="both"/>
              <w:rPr>
                <w:rFonts w:ascii="Times New Roman" w:hAnsi="Times New Roman"/>
                <w:b/>
                <w:sz w:val="24"/>
                <w:szCs w:val="24"/>
              </w:rPr>
            </w:pPr>
            <w:r w:rsidRPr="00BA57A6">
              <w:rPr>
                <w:rFonts w:ascii="Times New Roman" w:hAnsi="Times New Roman"/>
                <w:b/>
                <w:sz w:val="24"/>
                <w:szCs w:val="24"/>
              </w:rPr>
              <w:t>2</w:t>
            </w:r>
          </w:p>
        </w:tc>
        <w:tc>
          <w:tcPr>
            <w:tcW w:w="2976" w:type="dxa"/>
          </w:tcPr>
          <w:p w14:paraId="312ACFFD" w14:textId="77777777" w:rsidR="00E35888" w:rsidRPr="00BA57A6" w:rsidRDefault="00E35888" w:rsidP="00D7163B">
            <w:pPr>
              <w:spacing w:before="240" w:after="120"/>
              <w:rPr>
                <w:rFonts w:ascii="Times New Roman" w:hAnsi="Times New Roman"/>
                <w:sz w:val="24"/>
                <w:szCs w:val="24"/>
              </w:rPr>
            </w:pPr>
          </w:p>
        </w:tc>
        <w:tc>
          <w:tcPr>
            <w:tcW w:w="3116" w:type="dxa"/>
          </w:tcPr>
          <w:p w14:paraId="5279E810" w14:textId="77777777" w:rsidR="00E35888" w:rsidRPr="00BA57A6" w:rsidRDefault="00E35888" w:rsidP="00D7163B">
            <w:pPr>
              <w:spacing w:before="240" w:after="120"/>
              <w:jc w:val="both"/>
              <w:rPr>
                <w:rFonts w:ascii="Times New Roman" w:hAnsi="Times New Roman"/>
                <w:sz w:val="24"/>
                <w:szCs w:val="24"/>
              </w:rPr>
            </w:pPr>
          </w:p>
        </w:tc>
        <w:tc>
          <w:tcPr>
            <w:tcW w:w="2754" w:type="dxa"/>
          </w:tcPr>
          <w:p w14:paraId="29C88EC5" w14:textId="77777777" w:rsidR="00E35888" w:rsidRPr="00BA57A6" w:rsidRDefault="00E35888" w:rsidP="00D7163B">
            <w:pPr>
              <w:spacing w:before="240" w:after="120"/>
              <w:jc w:val="both"/>
              <w:rPr>
                <w:rFonts w:ascii="Times New Roman" w:hAnsi="Times New Roman"/>
                <w:sz w:val="24"/>
                <w:szCs w:val="24"/>
              </w:rPr>
            </w:pPr>
          </w:p>
        </w:tc>
      </w:tr>
      <w:tr w:rsidR="00E35888" w:rsidRPr="00BA57A6" w14:paraId="6916463A" w14:textId="77777777" w:rsidTr="00D7163B">
        <w:tc>
          <w:tcPr>
            <w:tcW w:w="396" w:type="dxa"/>
            <w:shd w:val="clear" w:color="auto" w:fill="D6E3BC"/>
          </w:tcPr>
          <w:p w14:paraId="1527A59C" w14:textId="77777777" w:rsidR="00E35888" w:rsidRPr="00BA57A6" w:rsidRDefault="00E35888" w:rsidP="00D7163B">
            <w:pPr>
              <w:spacing w:before="240" w:after="120"/>
              <w:jc w:val="both"/>
              <w:rPr>
                <w:rFonts w:ascii="Times New Roman" w:hAnsi="Times New Roman"/>
                <w:b/>
                <w:sz w:val="24"/>
                <w:szCs w:val="24"/>
              </w:rPr>
            </w:pPr>
            <w:r w:rsidRPr="00BA57A6">
              <w:rPr>
                <w:rFonts w:ascii="Times New Roman" w:hAnsi="Times New Roman"/>
                <w:b/>
                <w:sz w:val="24"/>
                <w:szCs w:val="24"/>
              </w:rPr>
              <w:t>3</w:t>
            </w:r>
          </w:p>
        </w:tc>
        <w:tc>
          <w:tcPr>
            <w:tcW w:w="2976" w:type="dxa"/>
          </w:tcPr>
          <w:p w14:paraId="2D091D20" w14:textId="77777777" w:rsidR="00E35888" w:rsidRPr="00BA57A6" w:rsidRDefault="00E35888" w:rsidP="00D7163B">
            <w:pPr>
              <w:spacing w:before="240" w:after="120"/>
              <w:rPr>
                <w:rFonts w:ascii="Times New Roman" w:hAnsi="Times New Roman"/>
                <w:sz w:val="24"/>
                <w:szCs w:val="24"/>
              </w:rPr>
            </w:pPr>
          </w:p>
        </w:tc>
        <w:tc>
          <w:tcPr>
            <w:tcW w:w="3116" w:type="dxa"/>
          </w:tcPr>
          <w:p w14:paraId="51AF2B17" w14:textId="77777777" w:rsidR="00E35888" w:rsidRPr="00BA57A6" w:rsidRDefault="00E35888" w:rsidP="00D7163B">
            <w:pPr>
              <w:spacing w:before="240" w:after="120"/>
              <w:jc w:val="both"/>
              <w:rPr>
                <w:rFonts w:ascii="Times New Roman" w:hAnsi="Times New Roman"/>
                <w:sz w:val="24"/>
                <w:szCs w:val="24"/>
              </w:rPr>
            </w:pPr>
          </w:p>
        </w:tc>
        <w:tc>
          <w:tcPr>
            <w:tcW w:w="2754" w:type="dxa"/>
          </w:tcPr>
          <w:p w14:paraId="481502B9" w14:textId="77777777" w:rsidR="00E35888" w:rsidRPr="00BA57A6" w:rsidRDefault="00E35888" w:rsidP="00D7163B">
            <w:pPr>
              <w:spacing w:before="240" w:after="120"/>
              <w:jc w:val="both"/>
              <w:rPr>
                <w:rFonts w:ascii="Times New Roman" w:hAnsi="Times New Roman"/>
                <w:sz w:val="24"/>
                <w:szCs w:val="24"/>
              </w:rPr>
            </w:pPr>
          </w:p>
        </w:tc>
      </w:tr>
    </w:tbl>
    <w:p w14:paraId="5E046503" w14:textId="1FF2C8CC" w:rsidR="00E35888" w:rsidRDefault="00E35888" w:rsidP="00F2673C">
      <w:pPr>
        <w:spacing w:after="0"/>
        <w:jc w:val="both"/>
        <w:rPr>
          <w:rFonts w:ascii="Times New Roman" w:hAnsi="Times New Roman"/>
          <w:sz w:val="24"/>
          <w:szCs w:val="24"/>
        </w:rPr>
      </w:pPr>
    </w:p>
    <w:p w14:paraId="400E069D" w14:textId="024A6855" w:rsidR="00E35888" w:rsidRPr="00F2673C" w:rsidRDefault="00E35888" w:rsidP="00F2673C">
      <w:pPr>
        <w:spacing w:after="0"/>
        <w:jc w:val="both"/>
        <w:rPr>
          <w:rFonts w:ascii="Times New Roman" w:hAnsi="Times New Roman"/>
          <w:sz w:val="24"/>
          <w:szCs w:val="24"/>
        </w:rPr>
      </w:pPr>
      <w:r w:rsidRPr="00E35888">
        <w:rPr>
          <w:rFonts w:ascii="Times New Roman" w:hAnsi="Times New Roman"/>
          <w:sz w:val="24"/>
          <w:szCs w:val="24"/>
        </w:rPr>
        <w:t xml:space="preserve">U prilogu ovog dokumenta nalazi se Nacrt Nacionalnog </w:t>
      </w:r>
      <w:r>
        <w:rPr>
          <w:rFonts w:ascii="Times New Roman" w:hAnsi="Times New Roman"/>
          <w:sz w:val="24"/>
          <w:szCs w:val="24"/>
        </w:rPr>
        <w:t>E</w:t>
      </w:r>
      <w:r w:rsidRPr="00E35888">
        <w:rPr>
          <w:rFonts w:ascii="Times New Roman" w:hAnsi="Times New Roman"/>
          <w:sz w:val="24"/>
          <w:szCs w:val="24"/>
        </w:rPr>
        <w:t xml:space="preserve">nergetskog i </w:t>
      </w:r>
      <w:r>
        <w:rPr>
          <w:rFonts w:ascii="Times New Roman" w:hAnsi="Times New Roman"/>
          <w:sz w:val="24"/>
          <w:szCs w:val="24"/>
        </w:rPr>
        <w:t>K</w:t>
      </w:r>
      <w:r w:rsidRPr="00E35888">
        <w:rPr>
          <w:rFonts w:ascii="Times New Roman" w:hAnsi="Times New Roman"/>
          <w:sz w:val="24"/>
          <w:szCs w:val="24"/>
        </w:rPr>
        <w:t xml:space="preserve">limatskog </w:t>
      </w:r>
      <w:r>
        <w:rPr>
          <w:rFonts w:ascii="Times New Roman" w:hAnsi="Times New Roman"/>
          <w:sz w:val="24"/>
          <w:szCs w:val="24"/>
        </w:rPr>
        <w:t>P</w:t>
      </w:r>
      <w:r w:rsidRPr="00E35888">
        <w:rPr>
          <w:rFonts w:ascii="Times New Roman" w:hAnsi="Times New Roman"/>
          <w:sz w:val="24"/>
          <w:szCs w:val="24"/>
        </w:rPr>
        <w:t>lana 2025-2030.</w:t>
      </w:r>
    </w:p>
    <w:sectPr w:rsidR="00E35888" w:rsidRPr="00F2673C" w:rsidSect="00A8381A">
      <w:headerReference w:type="default" r:id="rId18"/>
      <w:footerReference w:type="even" r:id="rId19"/>
      <w:footerReference w:type="default" r:id="rId20"/>
      <w:pgSz w:w="11906" w:h="16838"/>
      <w:pgMar w:top="630" w:right="1440" w:bottom="1440" w:left="1440"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22481" w14:textId="77777777" w:rsidR="00445AAE" w:rsidRDefault="00445AAE" w:rsidP="003A4FA3">
      <w:pPr>
        <w:spacing w:after="0" w:line="240" w:lineRule="auto"/>
      </w:pPr>
      <w:r>
        <w:separator/>
      </w:r>
    </w:p>
  </w:endnote>
  <w:endnote w:type="continuationSeparator" w:id="0">
    <w:p w14:paraId="7BBC2FE8" w14:textId="77777777" w:rsidR="00445AAE" w:rsidRDefault="00445AAE" w:rsidP="003A4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9F082" w14:textId="77777777" w:rsidR="00B5216F" w:rsidRDefault="00DB7109" w:rsidP="000764DE">
    <w:pPr>
      <w:pStyle w:val="Footer"/>
      <w:framePr w:wrap="around" w:vAnchor="text" w:hAnchor="margin" w:xAlign="right" w:y="1"/>
      <w:rPr>
        <w:rStyle w:val="PageNumber"/>
      </w:rPr>
    </w:pPr>
    <w:r>
      <w:rPr>
        <w:rStyle w:val="PageNumber"/>
      </w:rPr>
      <w:fldChar w:fldCharType="begin"/>
    </w:r>
    <w:r w:rsidR="00B5216F">
      <w:rPr>
        <w:rStyle w:val="PageNumber"/>
      </w:rPr>
      <w:instrText xml:space="preserve">PAGE  </w:instrText>
    </w:r>
    <w:r>
      <w:rPr>
        <w:rStyle w:val="PageNumber"/>
      </w:rPr>
      <w:fldChar w:fldCharType="end"/>
    </w:r>
  </w:p>
  <w:p w14:paraId="4B4C8CEF" w14:textId="77777777" w:rsidR="00B5216F" w:rsidRDefault="00B5216F" w:rsidP="00CE622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702BE" w14:textId="38F34D0A" w:rsidR="00B5216F" w:rsidRDefault="00DB7109" w:rsidP="00D64D8E">
    <w:pPr>
      <w:pStyle w:val="Footer"/>
      <w:framePr w:wrap="around" w:vAnchor="text" w:hAnchor="margin" w:xAlign="right" w:y="1"/>
      <w:rPr>
        <w:rStyle w:val="PageNumber"/>
      </w:rPr>
    </w:pPr>
    <w:r>
      <w:rPr>
        <w:rStyle w:val="PageNumber"/>
      </w:rPr>
      <w:fldChar w:fldCharType="begin"/>
    </w:r>
    <w:r w:rsidR="00B5216F">
      <w:rPr>
        <w:rStyle w:val="PageNumber"/>
      </w:rPr>
      <w:instrText xml:space="preserve">PAGE  </w:instrText>
    </w:r>
    <w:r>
      <w:rPr>
        <w:rStyle w:val="PageNumber"/>
      </w:rPr>
      <w:fldChar w:fldCharType="separate"/>
    </w:r>
    <w:r w:rsidR="00BF5E16">
      <w:rPr>
        <w:rStyle w:val="PageNumber"/>
        <w:noProof/>
      </w:rPr>
      <w:t>21</w:t>
    </w:r>
    <w:r>
      <w:rPr>
        <w:rStyle w:val="PageNumber"/>
      </w:rPr>
      <w:fldChar w:fldCharType="end"/>
    </w:r>
  </w:p>
  <w:p w14:paraId="69F10238" w14:textId="77777777" w:rsidR="00B5216F" w:rsidRDefault="00B5216F" w:rsidP="000764DE">
    <w:pPr>
      <w:pStyle w:val="Footer"/>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3F6F2" w14:textId="77777777" w:rsidR="00445AAE" w:rsidRDefault="00445AAE" w:rsidP="003A4FA3">
      <w:pPr>
        <w:spacing w:after="0" w:line="240" w:lineRule="auto"/>
      </w:pPr>
      <w:r>
        <w:separator/>
      </w:r>
    </w:p>
  </w:footnote>
  <w:footnote w:type="continuationSeparator" w:id="0">
    <w:p w14:paraId="71F9DA82" w14:textId="77777777" w:rsidR="00445AAE" w:rsidRDefault="00445AAE" w:rsidP="003A4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51BA8" w14:textId="77777777" w:rsidR="00B5216F" w:rsidRDefault="00B5216F" w:rsidP="00CE6223">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34E0C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9F3EA9F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AD7A8DB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DD6AB7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3848A87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5AE1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7FAD9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4909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EA4A44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6EE98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706728"/>
    <w:multiLevelType w:val="hybridMultilevel"/>
    <w:tmpl w:val="C7F0D4F8"/>
    <w:lvl w:ilvl="0" w:tplc="CC9E81B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817C4B"/>
    <w:multiLevelType w:val="hybridMultilevel"/>
    <w:tmpl w:val="154698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125A6B"/>
    <w:multiLevelType w:val="hybridMultilevel"/>
    <w:tmpl w:val="0882A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5D128A"/>
    <w:multiLevelType w:val="hybridMultilevel"/>
    <w:tmpl w:val="C1AEE294"/>
    <w:lvl w:ilvl="0" w:tplc="CC9E81B6">
      <w:numFmt w:val="bullet"/>
      <w:lvlText w:val="-"/>
      <w:lvlJc w:val="left"/>
      <w:pPr>
        <w:tabs>
          <w:tab w:val="num" w:pos="1440"/>
        </w:tabs>
        <w:ind w:left="1440" w:hanging="360"/>
      </w:pPr>
      <w:rPr>
        <w:rFonts w:ascii="Times New Roman" w:eastAsia="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C99601F"/>
    <w:multiLevelType w:val="hybridMultilevel"/>
    <w:tmpl w:val="F40C3018"/>
    <w:lvl w:ilvl="0" w:tplc="CCD829AC">
      <w:numFmt w:val="bullet"/>
      <w:lvlText w:val="-"/>
      <w:lvlJc w:val="left"/>
      <w:pPr>
        <w:tabs>
          <w:tab w:val="num" w:pos="720"/>
        </w:tabs>
        <w:ind w:left="720" w:hanging="360"/>
      </w:pPr>
      <w:rPr>
        <w:rFonts w:ascii="Calibri" w:eastAsia="Times New Roman" w:hAnsi="Calibri"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10"/>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5E3"/>
    <w:rsid w:val="000001E5"/>
    <w:rsid w:val="000013A8"/>
    <w:rsid w:val="00011E38"/>
    <w:rsid w:val="00016E11"/>
    <w:rsid w:val="00020ECD"/>
    <w:rsid w:val="000351BA"/>
    <w:rsid w:val="000359AC"/>
    <w:rsid w:val="000406CE"/>
    <w:rsid w:val="00042F8D"/>
    <w:rsid w:val="00045DC4"/>
    <w:rsid w:val="00050889"/>
    <w:rsid w:val="00052A12"/>
    <w:rsid w:val="000568DD"/>
    <w:rsid w:val="00056EE4"/>
    <w:rsid w:val="00064D8F"/>
    <w:rsid w:val="00071F24"/>
    <w:rsid w:val="000739E6"/>
    <w:rsid w:val="000764DE"/>
    <w:rsid w:val="00085BEA"/>
    <w:rsid w:val="00094B8C"/>
    <w:rsid w:val="00094C54"/>
    <w:rsid w:val="00097737"/>
    <w:rsid w:val="000B778E"/>
    <w:rsid w:val="000C359C"/>
    <w:rsid w:val="000C539B"/>
    <w:rsid w:val="000C7A6F"/>
    <w:rsid w:val="000D2A0E"/>
    <w:rsid w:val="000D7D43"/>
    <w:rsid w:val="000E22BD"/>
    <w:rsid w:val="000E3625"/>
    <w:rsid w:val="000E3BDB"/>
    <w:rsid w:val="000F09AC"/>
    <w:rsid w:val="000F419D"/>
    <w:rsid w:val="000F62E0"/>
    <w:rsid w:val="00106BB0"/>
    <w:rsid w:val="001131D7"/>
    <w:rsid w:val="00115B00"/>
    <w:rsid w:val="001200DC"/>
    <w:rsid w:val="00121AF0"/>
    <w:rsid w:val="0013117F"/>
    <w:rsid w:val="00131E5E"/>
    <w:rsid w:val="00135465"/>
    <w:rsid w:val="00144792"/>
    <w:rsid w:val="00152E29"/>
    <w:rsid w:val="00153A46"/>
    <w:rsid w:val="00153E07"/>
    <w:rsid w:val="00161E35"/>
    <w:rsid w:val="00162CC8"/>
    <w:rsid w:val="0017089C"/>
    <w:rsid w:val="00170DCC"/>
    <w:rsid w:val="001720A4"/>
    <w:rsid w:val="00172424"/>
    <w:rsid w:val="00173E5D"/>
    <w:rsid w:val="001813D6"/>
    <w:rsid w:val="0018506D"/>
    <w:rsid w:val="0019057C"/>
    <w:rsid w:val="001A18EA"/>
    <w:rsid w:val="001B02FB"/>
    <w:rsid w:val="001B20A6"/>
    <w:rsid w:val="001B7143"/>
    <w:rsid w:val="001D08D2"/>
    <w:rsid w:val="001D42DD"/>
    <w:rsid w:val="001D628E"/>
    <w:rsid w:val="001E1E46"/>
    <w:rsid w:val="001E3080"/>
    <w:rsid w:val="001F05EA"/>
    <w:rsid w:val="001F3EFD"/>
    <w:rsid w:val="001F551C"/>
    <w:rsid w:val="001F79F5"/>
    <w:rsid w:val="00200F4B"/>
    <w:rsid w:val="002164D8"/>
    <w:rsid w:val="00225815"/>
    <w:rsid w:val="00226575"/>
    <w:rsid w:val="00230DC0"/>
    <w:rsid w:val="002312BF"/>
    <w:rsid w:val="00243D30"/>
    <w:rsid w:val="00244C28"/>
    <w:rsid w:val="002510D0"/>
    <w:rsid w:val="00251484"/>
    <w:rsid w:val="00261894"/>
    <w:rsid w:val="0026649E"/>
    <w:rsid w:val="0027771C"/>
    <w:rsid w:val="00280E06"/>
    <w:rsid w:val="00283A5E"/>
    <w:rsid w:val="00285575"/>
    <w:rsid w:val="00290134"/>
    <w:rsid w:val="00291423"/>
    <w:rsid w:val="0029209D"/>
    <w:rsid w:val="00293E06"/>
    <w:rsid w:val="00294EEE"/>
    <w:rsid w:val="00296492"/>
    <w:rsid w:val="002A0F69"/>
    <w:rsid w:val="002A15DC"/>
    <w:rsid w:val="002B6925"/>
    <w:rsid w:val="002C035E"/>
    <w:rsid w:val="002C1D45"/>
    <w:rsid w:val="002C4A64"/>
    <w:rsid w:val="002D28F6"/>
    <w:rsid w:val="002D4BE4"/>
    <w:rsid w:val="002D61DB"/>
    <w:rsid w:val="002D6430"/>
    <w:rsid w:val="002E2C78"/>
    <w:rsid w:val="002E3800"/>
    <w:rsid w:val="002E7AB7"/>
    <w:rsid w:val="002F6F1E"/>
    <w:rsid w:val="003009FF"/>
    <w:rsid w:val="00305DB8"/>
    <w:rsid w:val="00317541"/>
    <w:rsid w:val="00326BAE"/>
    <w:rsid w:val="00333757"/>
    <w:rsid w:val="00342E31"/>
    <w:rsid w:val="00345F24"/>
    <w:rsid w:val="003666E6"/>
    <w:rsid w:val="00367E59"/>
    <w:rsid w:val="00393A90"/>
    <w:rsid w:val="003940B1"/>
    <w:rsid w:val="00397067"/>
    <w:rsid w:val="003976FF"/>
    <w:rsid w:val="003A236D"/>
    <w:rsid w:val="003A23FE"/>
    <w:rsid w:val="003A2670"/>
    <w:rsid w:val="003A2EB2"/>
    <w:rsid w:val="003A35E3"/>
    <w:rsid w:val="003A4FA3"/>
    <w:rsid w:val="003A6F51"/>
    <w:rsid w:val="003B2748"/>
    <w:rsid w:val="003B509A"/>
    <w:rsid w:val="003C44F2"/>
    <w:rsid w:val="003C6A0D"/>
    <w:rsid w:val="003D23EC"/>
    <w:rsid w:val="003D504F"/>
    <w:rsid w:val="003E1D90"/>
    <w:rsid w:val="003E641C"/>
    <w:rsid w:val="003E6560"/>
    <w:rsid w:val="003E6CA4"/>
    <w:rsid w:val="003F4C59"/>
    <w:rsid w:val="00402857"/>
    <w:rsid w:val="004153A7"/>
    <w:rsid w:val="00426F74"/>
    <w:rsid w:val="00435A72"/>
    <w:rsid w:val="00441A67"/>
    <w:rsid w:val="00445AAE"/>
    <w:rsid w:val="00454B3E"/>
    <w:rsid w:val="00454C82"/>
    <w:rsid w:val="00457E65"/>
    <w:rsid w:val="00463865"/>
    <w:rsid w:val="00463E31"/>
    <w:rsid w:val="00464085"/>
    <w:rsid w:val="00464249"/>
    <w:rsid w:val="00466789"/>
    <w:rsid w:val="00472B27"/>
    <w:rsid w:val="00474387"/>
    <w:rsid w:val="00475697"/>
    <w:rsid w:val="00477370"/>
    <w:rsid w:val="00480408"/>
    <w:rsid w:val="00481E99"/>
    <w:rsid w:val="00484EBD"/>
    <w:rsid w:val="00491089"/>
    <w:rsid w:val="00494B64"/>
    <w:rsid w:val="004A3694"/>
    <w:rsid w:val="004A4C40"/>
    <w:rsid w:val="004B208D"/>
    <w:rsid w:val="004C401C"/>
    <w:rsid w:val="004D5C92"/>
    <w:rsid w:val="004E0832"/>
    <w:rsid w:val="004E2EDB"/>
    <w:rsid w:val="004E3AAE"/>
    <w:rsid w:val="004E5D7B"/>
    <w:rsid w:val="004F05EA"/>
    <w:rsid w:val="004F7743"/>
    <w:rsid w:val="00504838"/>
    <w:rsid w:val="00506DD7"/>
    <w:rsid w:val="00524A93"/>
    <w:rsid w:val="00533DDA"/>
    <w:rsid w:val="005362A7"/>
    <w:rsid w:val="00541974"/>
    <w:rsid w:val="00545169"/>
    <w:rsid w:val="005613B7"/>
    <w:rsid w:val="00566ACA"/>
    <w:rsid w:val="005707FE"/>
    <w:rsid w:val="005812D1"/>
    <w:rsid w:val="00581DD6"/>
    <w:rsid w:val="00583A10"/>
    <w:rsid w:val="00584324"/>
    <w:rsid w:val="0058679D"/>
    <w:rsid w:val="00587125"/>
    <w:rsid w:val="005976D0"/>
    <w:rsid w:val="005A31DD"/>
    <w:rsid w:val="005A6377"/>
    <w:rsid w:val="005B434D"/>
    <w:rsid w:val="005B5758"/>
    <w:rsid w:val="005C1FB2"/>
    <w:rsid w:val="005C3E16"/>
    <w:rsid w:val="005D0067"/>
    <w:rsid w:val="005D654E"/>
    <w:rsid w:val="005E09E1"/>
    <w:rsid w:val="005E2B8F"/>
    <w:rsid w:val="005E39C6"/>
    <w:rsid w:val="005E6143"/>
    <w:rsid w:val="005E6A45"/>
    <w:rsid w:val="005F1B15"/>
    <w:rsid w:val="005F1F50"/>
    <w:rsid w:val="005F22F4"/>
    <w:rsid w:val="006010FD"/>
    <w:rsid w:val="00603301"/>
    <w:rsid w:val="006073BE"/>
    <w:rsid w:val="006124F5"/>
    <w:rsid w:val="0061412A"/>
    <w:rsid w:val="00616FBB"/>
    <w:rsid w:val="00622CDB"/>
    <w:rsid w:val="006266A3"/>
    <w:rsid w:val="006271E7"/>
    <w:rsid w:val="00631269"/>
    <w:rsid w:val="006334BA"/>
    <w:rsid w:val="00634E7D"/>
    <w:rsid w:val="006369E7"/>
    <w:rsid w:val="00637E22"/>
    <w:rsid w:val="006425CF"/>
    <w:rsid w:val="006449DD"/>
    <w:rsid w:val="00646283"/>
    <w:rsid w:val="00651C98"/>
    <w:rsid w:val="00652F00"/>
    <w:rsid w:val="006544CA"/>
    <w:rsid w:val="0065535C"/>
    <w:rsid w:val="00655B2E"/>
    <w:rsid w:val="00660130"/>
    <w:rsid w:val="00670ADF"/>
    <w:rsid w:val="00672013"/>
    <w:rsid w:val="0068063A"/>
    <w:rsid w:val="006818F2"/>
    <w:rsid w:val="006965C2"/>
    <w:rsid w:val="006A1435"/>
    <w:rsid w:val="006A6C24"/>
    <w:rsid w:val="006A73B0"/>
    <w:rsid w:val="006B07CE"/>
    <w:rsid w:val="006B20C7"/>
    <w:rsid w:val="006B4DA3"/>
    <w:rsid w:val="006B754A"/>
    <w:rsid w:val="006D0B60"/>
    <w:rsid w:val="006D43B6"/>
    <w:rsid w:val="006D498E"/>
    <w:rsid w:val="006E1E11"/>
    <w:rsid w:val="006F0500"/>
    <w:rsid w:val="006F336D"/>
    <w:rsid w:val="006F3406"/>
    <w:rsid w:val="006F6BA9"/>
    <w:rsid w:val="006F70FF"/>
    <w:rsid w:val="007101F2"/>
    <w:rsid w:val="00712C30"/>
    <w:rsid w:val="00717556"/>
    <w:rsid w:val="007214CA"/>
    <w:rsid w:val="007219F4"/>
    <w:rsid w:val="00721D9F"/>
    <w:rsid w:val="0072268F"/>
    <w:rsid w:val="00732555"/>
    <w:rsid w:val="00732BFD"/>
    <w:rsid w:val="00737625"/>
    <w:rsid w:val="0073782B"/>
    <w:rsid w:val="007403B0"/>
    <w:rsid w:val="00740A4A"/>
    <w:rsid w:val="0074278E"/>
    <w:rsid w:val="007500FC"/>
    <w:rsid w:val="007502E5"/>
    <w:rsid w:val="0075645B"/>
    <w:rsid w:val="007754F1"/>
    <w:rsid w:val="00775914"/>
    <w:rsid w:val="007769F2"/>
    <w:rsid w:val="00777E68"/>
    <w:rsid w:val="00783FD0"/>
    <w:rsid w:val="00790ED7"/>
    <w:rsid w:val="0079164A"/>
    <w:rsid w:val="007A16B9"/>
    <w:rsid w:val="007A4FE2"/>
    <w:rsid w:val="007A58E3"/>
    <w:rsid w:val="007C5068"/>
    <w:rsid w:val="007D10DD"/>
    <w:rsid w:val="007D2A06"/>
    <w:rsid w:val="007D498A"/>
    <w:rsid w:val="007D5F47"/>
    <w:rsid w:val="007D7B69"/>
    <w:rsid w:val="007E0EA7"/>
    <w:rsid w:val="007E18D0"/>
    <w:rsid w:val="007E3EEF"/>
    <w:rsid w:val="007E74D3"/>
    <w:rsid w:val="007F109E"/>
    <w:rsid w:val="007F372F"/>
    <w:rsid w:val="007F74CD"/>
    <w:rsid w:val="00800A37"/>
    <w:rsid w:val="00806C69"/>
    <w:rsid w:val="00822CE4"/>
    <w:rsid w:val="008435AE"/>
    <w:rsid w:val="00844365"/>
    <w:rsid w:val="008555A9"/>
    <w:rsid w:val="00863310"/>
    <w:rsid w:val="00863718"/>
    <w:rsid w:val="00863E8F"/>
    <w:rsid w:val="00874403"/>
    <w:rsid w:val="00876F30"/>
    <w:rsid w:val="00882F59"/>
    <w:rsid w:val="00883A02"/>
    <w:rsid w:val="00884265"/>
    <w:rsid w:val="00890F40"/>
    <w:rsid w:val="00892D32"/>
    <w:rsid w:val="00894F59"/>
    <w:rsid w:val="008A0085"/>
    <w:rsid w:val="008A17F8"/>
    <w:rsid w:val="008B691E"/>
    <w:rsid w:val="008C01B1"/>
    <w:rsid w:val="008C5C28"/>
    <w:rsid w:val="008D0AD9"/>
    <w:rsid w:val="008D7FAC"/>
    <w:rsid w:val="009016CB"/>
    <w:rsid w:val="00905EFA"/>
    <w:rsid w:val="00912524"/>
    <w:rsid w:val="009167B1"/>
    <w:rsid w:val="00920398"/>
    <w:rsid w:val="009247AB"/>
    <w:rsid w:val="00925EB7"/>
    <w:rsid w:val="00926C50"/>
    <w:rsid w:val="00932D8B"/>
    <w:rsid w:val="009347C0"/>
    <w:rsid w:val="00935137"/>
    <w:rsid w:val="0093734C"/>
    <w:rsid w:val="00945266"/>
    <w:rsid w:val="00954ACE"/>
    <w:rsid w:val="00956E43"/>
    <w:rsid w:val="00962DD6"/>
    <w:rsid w:val="00965A5B"/>
    <w:rsid w:val="00967EC6"/>
    <w:rsid w:val="0097257D"/>
    <w:rsid w:val="00983A1E"/>
    <w:rsid w:val="009851B4"/>
    <w:rsid w:val="0099383E"/>
    <w:rsid w:val="00994238"/>
    <w:rsid w:val="009A0B99"/>
    <w:rsid w:val="009A35C3"/>
    <w:rsid w:val="009B4CC3"/>
    <w:rsid w:val="009B6FF4"/>
    <w:rsid w:val="009D7FAC"/>
    <w:rsid w:val="009E3F31"/>
    <w:rsid w:val="009E473C"/>
    <w:rsid w:val="009E48FC"/>
    <w:rsid w:val="009E618C"/>
    <w:rsid w:val="009F2DE6"/>
    <w:rsid w:val="00A03F47"/>
    <w:rsid w:val="00A0700A"/>
    <w:rsid w:val="00A22DC1"/>
    <w:rsid w:val="00A33AF0"/>
    <w:rsid w:val="00A37864"/>
    <w:rsid w:val="00A404E7"/>
    <w:rsid w:val="00A45298"/>
    <w:rsid w:val="00A45E7A"/>
    <w:rsid w:val="00A53B65"/>
    <w:rsid w:val="00A551C5"/>
    <w:rsid w:val="00A8381A"/>
    <w:rsid w:val="00A85901"/>
    <w:rsid w:val="00A85FC4"/>
    <w:rsid w:val="00A92002"/>
    <w:rsid w:val="00A9265F"/>
    <w:rsid w:val="00A92CBF"/>
    <w:rsid w:val="00A92D54"/>
    <w:rsid w:val="00A9344F"/>
    <w:rsid w:val="00A95F8F"/>
    <w:rsid w:val="00A96964"/>
    <w:rsid w:val="00AA0629"/>
    <w:rsid w:val="00AA37B5"/>
    <w:rsid w:val="00AA410F"/>
    <w:rsid w:val="00AB3C0B"/>
    <w:rsid w:val="00AC093D"/>
    <w:rsid w:val="00AD2897"/>
    <w:rsid w:val="00AD6619"/>
    <w:rsid w:val="00AE06AE"/>
    <w:rsid w:val="00AE0E3F"/>
    <w:rsid w:val="00AE3648"/>
    <w:rsid w:val="00AE4AD9"/>
    <w:rsid w:val="00AE5BFC"/>
    <w:rsid w:val="00AE670B"/>
    <w:rsid w:val="00B03D19"/>
    <w:rsid w:val="00B0783A"/>
    <w:rsid w:val="00B12B87"/>
    <w:rsid w:val="00B152CF"/>
    <w:rsid w:val="00B20AFD"/>
    <w:rsid w:val="00B21F39"/>
    <w:rsid w:val="00B301F1"/>
    <w:rsid w:val="00B32127"/>
    <w:rsid w:val="00B45EC5"/>
    <w:rsid w:val="00B4625C"/>
    <w:rsid w:val="00B5216F"/>
    <w:rsid w:val="00B52411"/>
    <w:rsid w:val="00B56B0E"/>
    <w:rsid w:val="00B6068A"/>
    <w:rsid w:val="00B60B96"/>
    <w:rsid w:val="00B64F00"/>
    <w:rsid w:val="00B656DD"/>
    <w:rsid w:val="00B72C75"/>
    <w:rsid w:val="00B83D57"/>
    <w:rsid w:val="00B843E3"/>
    <w:rsid w:val="00B877F4"/>
    <w:rsid w:val="00B94087"/>
    <w:rsid w:val="00BA57A6"/>
    <w:rsid w:val="00BB5FF0"/>
    <w:rsid w:val="00BD096B"/>
    <w:rsid w:val="00BE147F"/>
    <w:rsid w:val="00BE1D0E"/>
    <w:rsid w:val="00BE20A0"/>
    <w:rsid w:val="00BE2DB5"/>
    <w:rsid w:val="00BE6A9C"/>
    <w:rsid w:val="00BF23BE"/>
    <w:rsid w:val="00BF5E16"/>
    <w:rsid w:val="00BF5E91"/>
    <w:rsid w:val="00BF6EB1"/>
    <w:rsid w:val="00C16CAB"/>
    <w:rsid w:val="00C17528"/>
    <w:rsid w:val="00C27F30"/>
    <w:rsid w:val="00C35557"/>
    <w:rsid w:val="00C369D4"/>
    <w:rsid w:val="00C36F9D"/>
    <w:rsid w:val="00C43977"/>
    <w:rsid w:val="00C447F5"/>
    <w:rsid w:val="00C44E1A"/>
    <w:rsid w:val="00C51372"/>
    <w:rsid w:val="00C61A1A"/>
    <w:rsid w:val="00C65D08"/>
    <w:rsid w:val="00C71D38"/>
    <w:rsid w:val="00C732E3"/>
    <w:rsid w:val="00C744FC"/>
    <w:rsid w:val="00C76359"/>
    <w:rsid w:val="00C81BA5"/>
    <w:rsid w:val="00C82C2A"/>
    <w:rsid w:val="00C857B0"/>
    <w:rsid w:val="00C87F72"/>
    <w:rsid w:val="00C944BD"/>
    <w:rsid w:val="00CB1226"/>
    <w:rsid w:val="00CB1E45"/>
    <w:rsid w:val="00CB2993"/>
    <w:rsid w:val="00CB2D93"/>
    <w:rsid w:val="00CB4056"/>
    <w:rsid w:val="00CB43A2"/>
    <w:rsid w:val="00CC11A5"/>
    <w:rsid w:val="00CC63C6"/>
    <w:rsid w:val="00CE3862"/>
    <w:rsid w:val="00CE408A"/>
    <w:rsid w:val="00CE5158"/>
    <w:rsid w:val="00CE59AE"/>
    <w:rsid w:val="00CE5B8C"/>
    <w:rsid w:val="00CE6223"/>
    <w:rsid w:val="00CE6E5A"/>
    <w:rsid w:val="00CE76EE"/>
    <w:rsid w:val="00CF62C5"/>
    <w:rsid w:val="00D01840"/>
    <w:rsid w:val="00D02A14"/>
    <w:rsid w:val="00D04394"/>
    <w:rsid w:val="00D17FF4"/>
    <w:rsid w:val="00D205F4"/>
    <w:rsid w:val="00D2119A"/>
    <w:rsid w:val="00D26908"/>
    <w:rsid w:val="00D43DAC"/>
    <w:rsid w:val="00D44812"/>
    <w:rsid w:val="00D455F6"/>
    <w:rsid w:val="00D50C22"/>
    <w:rsid w:val="00D54AA2"/>
    <w:rsid w:val="00D64ACB"/>
    <w:rsid w:val="00D64D8E"/>
    <w:rsid w:val="00D679F6"/>
    <w:rsid w:val="00D73042"/>
    <w:rsid w:val="00D836B8"/>
    <w:rsid w:val="00D849E3"/>
    <w:rsid w:val="00D86539"/>
    <w:rsid w:val="00D91EA8"/>
    <w:rsid w:val="00D96BDF"/>
    <w:rsid w:val="00DA5D0E"/>
    <w:rsid w:val="00DA7A91"/>
    <w:rsid w:val="00DB41A6"/>
    <w:rsid w:val="00DB7109"/>
    <w:rsid w:val="00DB79B9"/>
    <w:rsid w:val="00DC2786"/>
    <w:rsid w:val="00DC5A51"/>
    <w:rsid w:val="00DC7DE2"/>
    <w:rsid w:val="00DD1A58"/>
    <w:rsid w:val="00DD5872"/>
    <w:rsid w:val="00DD6E00"/>
    <w:rsid w:val="00DE1EE1"/>
    <w:rsid w:val="00DE3D27"/>
    <w:rsid w:val="00DE4A1E"/>
    <w:rsid w:val="00DF3D12"/>
    <w:rsid w:val="00DF5723"/>
    <w:rsid w:val="00DF61E3"/>
    <w:rsid w:val="00E036F3"/>
    <w:rsid w:val="00E07EE2"/>
    <w:rsid w:val="00E11961"/>
    <w:rsid w:val="00E263FC"/>
    <w:rsid w:val="00E27814"/>
    <w:rsid w:val="00E33629"/>
    <w:rsid w:val="00E35888"/>
    <w:rsid w:val="00E4526E"/>
    <w:rsid w:val="00E50E72"/>
    <w:rsid w:val="00E55CCF"/>
    <w:rsid w:val="00E55CF5"/>
    <w:rsid w:val="00E56C73"/>
    <w:rsid w:val="00E57BC4"/>
    <w:rsid w:val="00E62613"/>
    <w:rsid w:val="00E63F74"/>
    <w:rsid w:val="00E671A3"/>
    <w:rsid w:val="00E76680"/>
    <w:rsid w:val="00E76DF5"/>
    <w:rsid w:val="00E83659"/>
    <w:rsid w:val="00E878AF"/>
    <w:rsid w:val="00E93DE9"/>
    <w:rsid w:val="00EA2276"/>
    <w:rsid w:val="00EA35D4"/>
    <w:rsid w:val="00EA6207"/>
    <w:rsid w:val="00EB3809"/>
    <w:rsid w:val="00EB3AAB"/>
    <w:rsid w:val="00EB4C99"/>
    <w:rsid w:val="00EB55D4"/>
    <w:rsid w:val="00EB73CC"/>
    <w:rsid w:val="00EC552A"/>
    <w:rsid w:val="00ED7A7C"/>
    <w:rsid w:val="00EE0657"/>
    <w:rsid w:val="00EE2949"/>
    <w:rsid w:val="00EE40C3"/>
    <w:rsid w:val="00EE62F3"/>
    <w:rsid w:val="00EF015B"/>
    <w:rsid w:val="00EF26F5"/>
    <w:rsid w:val="00F0060F"/>
    <w:rsid w:val="00F03513"/>
    <w:rsid w:val="00F06231"/>
    <w:rsid w:val="00F10AE1"/>
    <w:rsid w:val="00F2673C"/>
    <w:rsid w:val="00F35BB1"/>
    <w:rsid w:val="00F50029"/>
    <w:rsid w:val="00F5533E"/>
    <w:rsid w:val="00F63FC2"/>
    <w:rsid w:val="00F654EB"/>
    <w:rsid w:val="00F71F22"/>
    <w:rsid w:val="00F73414"/>
    <w:rsid w:val="00F950F5"/>
    <w:rsid w:val="00FB1563"/>
    <w:rsid w:val="00FB6740"/>
    <w:rsid w:val="00FC3AF4"/>
    <w:rsid w:val="00FE67AC"/>
    <w:rsid w:val="00FF1968"/>
    <w:rsid w:val="00FF28C7"/>
    <w:rsid w:val="00FF696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543BA"/>
  <w15:docId w15:val="{9E04E6F0-7902-48F6-9F93-BDAEEADB0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q-AL" w:eastAsia="sq-A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5E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A35E3"/>
    <w:pPr>
      <w:ind w:left="720"/>
      <w:contextualSpacing/>
    </w:pPr>
  </w:style>
  <w:style w:type="paragraph" w:styleId="Footer">
    <w:name w:val="footer"/>
    <w:basedOn w:val="Normal"/>
    <w:link w:val="FooterChar"/>
    <w:uiPriority w:val="99"/>
    <w:rsid w:val="003A35E3"/>
    <w:pPr>
      <w:tabs>
        <w:tab w:val="center" w:pos="4320"/>
        <w:tab w:val="right" w:pos="8640"/>
      </w:tabs>
    </w:pPr>
    <w:rPr>
      <w:sz w:val="20"/>
      <w:szCs w:val="20"/>
    </w:rPr>
  </w:style>
  <w:style w:type="character" w:customStyle="1" w:styleId="FooterChar">
    <w:name w:val="Footer Char"/>
    <w:link w:val="Footer"/>
    <w:uiPriority w:val="99"/>
    <w:locked/>
    <w:rsid w:val="003A35E3"/>
    <w:rPr>
      <w:rFonts w:ascii="Calibri" w:hAnsi="Calibri"/>
      <w:sz w:val="20"/>
    </w:rPr>
  </w:style>
  <w:style w:type="character" w:styleId="PageNumber">
    <w:name w:val="page number"/>
    <w:uiPriority w:val="99"/>
    <w:rsid w:val="003A35E3"/>
    <w:rPr>
      <w:rFonts w:cs="Times New Roman"/>
    </w:rPr>
  </w:style>
  <w:style w:type="paragraph" w:styleId="Title">
    <w:name w:val="Title"/>
    <w:basedOn w:val="Normal"/>
    <w:link w:val="TitleChar"/>
    <w:uiPriority w:val="99"/>
    <w:qFormat/>
    <w:rsid w:val="003A35E3"/>
    <w:pPr>
      <w:spacing w:after="0" w:line="240" w:lineRule="auto"/>
      <w:jc w:val="center"/>
    </w:pPr>
    <w:rPr>
      <w:rFonts w:ascii="Times New Roman" w:eastAsia="MS Mincho" w:hAnsi="Times New Roman"/>
      <w:b/>
      <w:bCs/>
      <w:sz w:val="24"/>
      <w:szCs w:val="24"/>
    </w:rPr>
  </w:style>
  <w:style w:type="character" w:customStyle="1" w:styleId="TitleChar">
    <w:name w:val="Title Char"/>
    <w:link w:val="Title"/>
    <w:uiPriority w:val="99"/>
    <w:locked/>
    <w:rsid w:val="003A35E3"/>
    <w:rPr>
      <w:rFonts w:ascii="Times New Roman" w:eastAsia="MS Mincho" w:hAnsi="Times New Roman"/>
      <w:b/>
      <w:sz w:val="24"/>
      <w:lang w:val="sq-AL"/>
    </w:rPr>
  </w:style>
  <w:style w:type="paragraph" w:styleId="IntenseQuote">
    <w:name w:val="Intense Quote"/>
    <w:basedOn w:val="Normal"/>
    <w:next w:val="Normal"/>
    <w:link w:val="IntenseQuoteChar"/>
    <w:uiPriority w:val="99"/>
    <w:qFormat/>
    <w:rsid w:val="003A35E3"/>
    <w:pPr>
      <w:pBdr>
        <w:bottom w:val="single" w:sz="4" w:space="4" w:color="4F81BD"/>
      </w:pBdr>
      <w:spacing w:before="200" w:after="280"/>
      <w:ind w:left="936" w:right="936"/>
    </w:pPr>
    <w:rPr>
      <w:rFonts w:eastAsia="MS Mincho"/>
      <w:b/>
      <w:bCs/>
      <w:i/>
      <w:iCs/>
      <w:color w:val="4F81BD"/>
      <w:sz w:val="20"/>
      <w:szCs w:val="20"/>
    </w:rPr>
  </w:style>
  <w:style w:type="character" w:customStyle="1" w:styleId="IntenseQuoteChar">
    <w:name w:val="Intense Quote Char"/>
    <w:link w:val="IntenseQuote"/>
    <w:uiPriority w:val="99"/>
    <w:locked/>
    <w:rsid w:val="003A35E3"/>
    <w:rPr>
      <w:rFonts w:ascii="Calibri" w:eastAsia="MS Mincho" w:hAnsi="Calibri"/>
      <w:b/>
      <w:i/>
      <w:color w:val="4F81BD"/>
      <w:sz w:val="20"/>
    </w:rPr>
  </w:style>
  <w:style w:type="paragraph" w:styleId="BalloonText">
    <w:name w:val="Balloon Text"/>
    <w:basedOn w:val="Normal"/>
    <w:link w:val="BalloonTextChar"/>
    <w:uiPriority w:val="99"/>
    <w:semiHidden/>
    <w:rsid w:val="003A35E3"/>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A35E3"/>
    <w:rPr>
      <w:rFonts w:ascii="Tahoma" w:hAnsi="Tahoma"/>
      <w:sz w:val="16"/>
      <w:lang w:val="sq-AL"/>
    </w:rPr>
  </w:style>
  <w:style w:type="paragraph" w:customStyle="1" w:styleId="CharCharChar">
    <w:name w:val="Char Char Char"/>
    <w:basedOn w:val="Normal"/>
    <w:uiPriority w:val="99"/>
    <w:rsid w:val="00261894"/>
    <w:pPr>
      <w:spacing w:after="160" w:line="240" w:lineRule="exact"/>
    </w:pPr>
    <w:rPr>
      <w:rFonts w:ascii="Tahoma" w:eastAsia="Times New Roman" w:hAnsi="Tahoma"/>
      <w:noProof/>
      <w:sz w:val="20"/>
      <w:szCs w:val="20"/>
    </w:rPr>
  </w:style>
  <w:style w:type="paragraph" w:customStyle="1" w:styleId="CM10">
    <w:name w:val="CM10"/>
    <w:basedOn w:val="Normal"/>
    <w:next w:val="Normal"/>
    <w:uiPriority w:val="99"/>
    <w:rsid w:val="00504838"/>
    <w:pPr>
      <w:widowControl w:val="0"/>
      <w:autoSpaceDE w:val="0"/>
      <w:autoSpaceDN w:val="0"/>
      <w:adjustRightInd w:val="0"/>
      <w:spacing w:after="228" w:line="240" w:lineRule="auto"/>
    </w:pPr>
    <w:rPr>
      <w:rFonts w:ascii="Helvetica" w:eastAsia="Times New Roman" w:hAnsi="Helvetica"/>
      <w:sz w:val="24"/>
      <w:szCs w:val="24"/>
      <w:lang w:val="en-US"/>
    </w:rPr>
  </w:style>
  <w:style w:type="paragraph" w:customStyle="1" w:styleId="Default">
    <w:name w:val="Default"/>
    <w:rsid w:val="00BE2DB5"/>
    <w:pPr>
      <w:autoSpaceDE w:val="0"/>
      <w:autoSpaceDN w:val="0"/>
      <w:adjustRightInd w:val="0"/>
    </w:pPr>
    <w:rPr>
      <w:rFonts w:ascii="Times New Roman" w:hAnsi="Times New Roman"/>
      <w:color w:val="000000"/>
      <w:sz w:val="24"/>
      <w:szCs w:val="24"/>
      <w:lang w:val="en-US" w:eastAsia="en-US"/>
    </w:rPr>
  </w:style>
  <w:style w:type="paragraph" w:styleId="Header">
    <w:name w:val="header"/>
    <w:basedOn w:val="Normal"/>
    <w:link w:val="HeaderChar"/>
    <w:uiPriority w:val="99"/>
    <w:rsid w:val="008C01B1"/>
    <w:pPr>
      <w:tabs>
        <w:tab w:val="center" w:pos="4680"/>
        <w:tab w:val="right" w:pos="9360"/>
      </w:tabs>
      <w:spacing w:after="0" w:line="240" w:lineRule="auto"/>
    </w:pPr>
  </w:style>
  <w:style w:type="character" w:customStyle="1" w:styleId="HeaderChar">
    <w:name w:val="Header Char"/>
    <w:link w:val="Header"/>
    <w:uiPriority w:val="99"/>
    <w:locked/>
    <w:rsid w:val="008C01B1"/>
    <w:rPr>
      <w:sz w:val="22"/>
      <w:lang w:val="sq-AL"/>
    </w:rPr>
  </w:style>
  <w:style w:type="character" w:customStyle="1" w:styleId="normalchar1">
    <w:name w:val="normal__char1"/>
    <w:uiPriority w:val="99"/>
    <w:rsid w:val="001813D6"/>
    <w:rPr>
      <w:rFonts w:ascii="Times New Roman" w:hAnsi="Times New Roman"/>
      <w:sz w:val="22"/>
    </w:rPr>
  </w:style>
  <w:style w:type="character" w:customStyle="1" w:styleId="list0020paragraphchar1">
    <w:name w:val="list_0020paragraph__char1"/>
    <w:uiPriority w:val="99"/>
    <w:rsid w:val="001813D6"/>
    <w:rPr>
      <w:rFonts w:ascii="Times New Roman" w:hAnsi="Times New Roman"/>
      <w:sz w:val="22"/>
    </w:rPr>
  </w:style>
  <w:style w:type="character" w:styleId="Hyperlink">
    <w:name w:val="Hyperlink"/>
    <w:uiPriority w:val="99"/>
    <w:rsid w:val="00EA2276"/>
    <w:rPr>
      <w:rFonts w:cs="Times New Roman"/>
      <w:color w:val="0000FF"/>
      <w:u w:val="single"/>
    </w:rPr>
  </w:style>
  <w:style w:type="character" w:customStyle="1" w:styleId="longtext">
    <w:name w:val="long_text"/>
    <w:uiPriority w:val="99"/>
    <w:rsid w:val="00912524"/>
  </w:style>
  <w:style w:type="character" w:customStyle="1" w:styleId="hps">
    <w:name w:val="hps"/>
    <w:uiPriority w:val="99"/>
    <w:rsid w:val="00172424"/>
  </w:style>
  <w:style w:type="character" w:customStyle="1" w:styleId="Strong1">
    <w:name w:val="Strong1"/>
    <w:uiPriority w:val="99"/>
    <w:rsid w:val="00172424"/>
    <w:rPr>
      <w:rFonts w:ascii="Lucida Grande" w:hAnsi="Lucida Grande"/>
      <w:b/>
      <w:color w:val="000000"/>
      <w:sz w:val="20"/>
    </w:rPr>
  </w:style>
  <w:style w:type="character" w:styleId="SubtleReference">
    <w:name w:val="Subtle Reference"/>
    <w:basedOn w:val="DefaultParagraphFont"/>
    <w:uiPriority w:val="31"/>
    <w:qFormat/>
    <w:rsid w:val="00170DCC"/>
    <w:rPr>
      <w:smallCaps/>
      <w:color w:val="5A5A5A" w:themeColor="text1" w:themeTint="A5"/>
    </w:rPr>
  </w:style>
  <w:style w:type="paragraph" w:styleId="FootnoteText">
    <w:name w:val="footnote text"/>
    <w:basedOn w:val="Normal"/>
    <w:link w:val="FootnoteTextChar"/>
    <w:uiPriority w:val="99"/>
    <w:semiHidden/>
    <w:unhideWhenUsed/>
    <w:rsid w:val="009167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67B1"/>
    <w:rPr>
      <w:lang w:eastAsia="en-US"/>
    </w:rPr>
  </w:style>
  <w:style w:type="character" w:styleId="FootnoteReference">
    <w:name w:val="footnote reference"/>
    <w:basedOn w:val="DefaultParagraphFont"/>
    <w:uiPriority w:val="99"/>
    <w:semiHidden/>
    <w:unhideWhenUsed/>
    <w:rsid w:val="009167B1"/>
    <w:rPr>
      <w:vertAlign w:val="superscript"/>
    </w:rPr>
  </w:style>
  <w:style w:type="paragraph" w:customStyle="1" w:styleId="Body">
    <w:name w:val="Body"/>
    <w:rsid w:val="00225815"/>
    <w:pPr>
      <w:pBdr>
        <w:top w:val="none" w:sz="96" w:space="31" w:color="FFFFFF" w:frame="1"/>
        <w:left w:val="none" w:sz="96" w:space="31" w:color="FFFFFF" w:frame="1"/>
        <w:bottom w:val="none" w:sz="96" w:space="31" w:color="FFFFFF" w:frame="1"/>
        <w:right w:val="none" w:sz="96" w:space="31" w:color="FFFFFF" w:frame="1"/>
      </w:pBdr>
      <w:jc w:val="both"/>
    </w:pPr>
    <w:rPr>
      <w:rFonts w:ascii="Times New Roman" w:eastAsia="Times New Roman" w:hAnsi="Arial Unicode MS" w:cs="Arial Unicode MS"/>
      <w:color w:val="000000"/>
      <w:sz w:val="24"/>
      <w:szCs w:val="24"/>
      <w:u w:color="000000"/>
      <w:lang w:val="en-US" w:eastAsia="en-US"/>
    </w:rPr>
  </w:style>
  <w:style w:type="character" w:customStyle="1" w:styleId="UnresolvedMention">
    <w:name w:val="Unresolved Mention"/>
    <w:basedOn w:val="DefaultParagraphFont"/>
    <w:uiPriority w:val="99"/>
    <w:semiHidden/>
    <w:unhideWhenUsed/>
    <w:rsid w:val="00863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1396">
      <w:bodyDiv w:val="1"/>
      <w:marLeft w:val="0"/>
      <w:marRight w:val="0"/>
      <w:marTop w:val="0"/>
      <w:marBottom w:val="0"/>
      <w:divBdr>
        <w:top w:val="none" w:sz="0" w:space="0" w:color="auto"/>
        <w:left w:val="none" w:sz="0" w:space="0" w:color="auto"/>
        <w:bottom w:val="none" w:sz="0" w:space="0" w:color="auto"/>
        <w:right w:val="none" w:sz="0" w:space="0" w:color="auto"/>
      </w:divBdr>
    </w:div>
    <w:div w:id="134571954">
      <w:bodyDiv w:val="1"/>
      <w:marLeft w:val="0"/>
      <w:marRight w:val="0"/>
      <w:marTop w:val="0"/>
      <w:marBottom w:val="0"/>
      <w:divBdr>
        <w:top w:val="none" w:sz="0" w:space="0" w:color="auto"/>
        <w:left w:val="none" w:sz="0" w:space="0" w:color="auto"/>
        <w:bottom w:val="none" w:sz="0" w:space="0" w:color="auto"/>
        <w:right w:val="none" w:sz="0" w:space="0" w:color="auto"/>
      </w:divBdr>
    </w:div>
    <w:div w:id="228855183">
      <w:bodyDiv w:val="1"/>
      <w:marLeft w:val="0"/>
      <w:marRight w:val="0"/>
      <w:marTop w:val="0"/>
      <w:marBottom w:val="0"/>
      <w:divBdr>
        <w:top w:val="none" w:sz="0" w:space="0" w:color="auto"/>
        <w:left w:val="none" w:sz="0" w:space="0" w:color="auto"/>
        <w:bottom w:val="none" w:sz="0" w:space="0" w:color="auto"/>
        <w:right w:val="none" w:sz="0" w:space="0" w:color="auto"/>
      </w:divBdr>
    </w:div>
    <w:div w:id="1568951411">
      <w:bodyDiv w:val="1"/>
      <w:marLeft w:val="0"/>
      <w:marRight w:val="0"/>
      <w:marTop w:val="0"/>
      <w:marBottom w:val="0"/>
      <w:divBdr>
        <w:top w:val="none" w:sz="0" w:space="0" w:color="auto"/>
        <w:left w:val="none" w:sz="0" w:space="0" w:color="auto"/>
        <w:bottom w:val="none" w:sz="0" w:space="0" w:color="auto"/>
        <w:right w:val="none" w:sz="0" w:space="0" w:color="auto"/>
      </w:divBdr>
    </w:div>
    <w:div w:id="190791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lora.osaj@rks-gov.ne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dem.Berisha@rks-gov.net" TargetMode="External"/><Relationship Id="rId17" Type="http://schemas.openxmlformats.org/officeDocument/2006/relationships/hyperlink" Target="mailto:abdullah.pirce@rks-gov.net" TargetMode="External"/><Relationship Id="rId2" Type="http://schemas.openxmlformats.org/officeDocument/2006/relationships/numbering" Target="numbering.xml"/><Relationship Id="rId16" Type="http://schemas.openxmlformats.org/officeDocument/2006/relationships/hyperlink" Target="mailto:vlora.osaj@rks-gov.ne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dullah.pirce@rks-gov.net" TargetMode="External"/><Relationship Id="rId5" Type="http://schemas.openxmlformats.org/officeDocument/2006/relationships/webSettings" Target="webSettings.xml"/><Relationship Id="rId15" Type="http://schemas.openxmlformats.org/officeDocument/2006/relationships/hyperlink" Target="mailto:Adem.Berisha@rks-gov.net" TargetMode="External"/><Relationship Id="rId10" Type="http://schemas.openxmlformats.org/officeDocument/2006/relationships/hyperlink" Target="mailto:vlora.osaj@rks-gov.ne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em.Berisha@rks-gov.net" TargetMode="External"/><Relationship Id="rId14" Type="http://schemas.openxmlformats.org/officeDocument/2006/relationships/hyperlink" Target="mailto:abdullah.pirce@rks-gov.n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DB7B6-09BB-4B2C-A8DF-7D8F808D8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7742</Words>
  <Characters>44130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51769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alma.lamçja</dc:creator>
  <cp:lastModifiedBy>Vlora Osaj</cp:lastModifiedBy>
  <cp:revision>7</cp:revision>
  <cp:lastPrinted>2022-11-18T12:10:00Z</cp:lastPrinted>
  <dcterms:created xsi:type="dcterms:W3CDTF">2024-11-22T13:28:00Z</dcterms:created>
  <dcterms:modified xsi:type="dcterms:W3CDTF">2024-11-22T13:38:00Z</dcterms:modified>
</cp:coreProperties>
</file>