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B5296D" w14:textId="7858BBAB" w:rsidR="00E01733" w:rsidRPr="00976D33" w:rsidRDefault="007E73D4" w:rsidP="06C4A8CE">
      <w:r>
        <w:rPr>
          <w:noProof/>
          <w:lang w:val="en-US"/>
        </w:rPr>
        <mc:AlternateContent>
          <mc:Choice Requires="wps">
            <w:drawing>
              <wp:anchor distT="45720" distB="45720" distL="114300" distR="114300" simplePos="0" relativeHeight="251660295" behindDoc="0" locked="0" layoutInCell="1" allowOverlap="1" wp14:anchorId="7F248042" wp14:editId="21B63D5C">
                <wp:simplePos x="0" y="0"/>
                <wp:positionH relativeFrom="column">
                  <wp:posOffset>630942</wp:posOffset>
                </wp:positionH>
                <wp:positionV relativeFrom="paragraph">
                  <wp:posOffset>2072750</wp:posOffset>
                </wp:positionV>
                <wp:extent cx="49212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0" cy="1404620"/>
                        </a:xfrm>
                        <a:prstGeom prst="rect">
                          <a:avLst/>
                        </a:prstGeom>
                        <a:solidFill>
                          <a:srgbClr val="6CA62C"/>
                        </a:solidFill>
                        <a:ln w="9525">
                          <a:noFill/>
                          <a:miter lim="800000"/>
                          <a:headEnd/>
                          <a:tailEnd/>
                        </a:ln>
                      </wps:spPr>
                      <wps:txbx>
                        <w:txbxContent>
                          <w:p w14:paraId="45E4672A" w14:textId="77777777" w:rsidR="004D127F" w:rsidRDefault="004D127F" w:rsidP="007E73D4">
                            <w:pPr>
                              <w:jc w:val="center"/>
                              <w:rPr>
                                <w:b/>
                                <w:color w:val="FFFFFF" w:themeColor="background1"/>
                                <w:sz w:val="56"/>
                                <w:szCs w:val="56"/>
                              </w:rPr>
                            </w:pPr>
                            <w:r w:rsidRPr="007E73D4">
                              <w:rPr>
                                <w:b/>
                                <w:color w:val="FFFFFF" w:themeColor="background1"/>
                                <w:sz w:val="56"/>
                                <w:szCs w:val="56"/>
                              </w:rPr>
                              <w:t xml:space="preserve">PLANI KOMBËTAR PËR ENERGJI DHE KLIMË I REPUBLIKËS SË </w:t>
                            </w:r>
                          </w:p>
                          <w:p w14:paraId="7B48D23D" w14:textId="7384BA1A" w:rsidR="004D127F" w:rsidRPr="007E73D4" w:rsidRDefault="004D127F" w:rsidP="007E73D4">
                            <w:pPr>
                              <w:jc w:val="center"/>
                              <w:rPr>
                                <w:b/>
                                <w:color w:val="FFFFFF" w:themeColor="background1"/>
                                <w:sz w:val="56"/>
                                <w:szCs w:val="56"/>
                              </w:rPr>
                            </w:pPr>
                            <w:r w:rsidRPr="007E73D4">
                              <w:rPr>
                                <w:b/>
                                <w:color w:val="FFFFFF" w:themeColor="background1"/>
                                <w:sz w:val="56"/>
                                <w:szCs w:val="56"/>
                              </w:rPr>
                              <w:t>KOSOVËS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248042" id="_x0000_t202" coordsize="21600,21600" o:spt="202" path="m,l,21600r21600,l21600,xe">
                <v:stroke joinstyle="miter"/>
                <v:path gradientshapeok="t" o:connecttype="rect"/>
              </v:shapetype>
              <v:shape id="Text Box 2" o:spid="_x0000_s1026" type="#_x0000_t202" style="position:absolute;left:0;text-align:left;margin-left:49.7pt;margin-top:163.2pt;width:387.5pt;height:110.6pt;z-index:25166029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" fillcolor="#6ca62c" stroked="f">
                <v:textbox style="mso-fit-shape-to-text:t">
                  <w:txbxContent>
                    <w:p w14:paraId="45E4672A" w14:textId="77777777" w:rsidR="004D127F" w:rsidRDefault="004D127F" w:rsidP="007E73D4">
                      <w:pPr>
                        <w:jc w:val="center"/>
                        <w:rPr>
                          <w:b/>
                          <w:color w:val="FFFFFF" w:themeColor="background1"/>
                          <w:sz w:val="56"/>
                          <w:szCs w:val="56"/>
                        </w:rPr>
                      </w:pPr>
                      <w:r w:rsidRPr="007E73D4">
                        <w:rPr>
                          <w:b/>
                          <w:color w:val="FFFFFF" w:themeColor="background1"/>
                          <w:sz w:val="56"/>
                          <w:szCs w:val="56"/>
                        </w:rPr>
                        <w:t xml:space="preserve">PLANI KOMBËTAR PËR ENERGJI DHE KLIMË I REPUBLIKËS SË </w:t>
                      </w:r>
                    </w:p>
                    <w:p w14:paraId="7B48D23D" w14:textId="7384BA1A" w:rsidR="004D127F" w:rsidRPr="007E73D4" w:rsidRDefault="004D127F" w:rsidP="007E73D4">
                      <w:pPr>
                        <w:jc w:val="center"/>
                        <w:rPr>
                          <w:b/>
                          <w:color w:val="FFFFFF" w:themeColor="background1"/>
                          <w:sz w:val="56"/>
                          <w:szCs w:val="56"/>
                        </w:rPr>
                      </w:pPr>
                      <w:r w:rsidRPr="007E73D4">
                        <w:rPr>
                          <w:b/>
                          <w:color w:val="FFFFFF" w:themeColor="background1"/>
                          <w:sz w:val="56"/>
                          <w:szCs w:val="56"/>
                        </w:rPr>
                        <w:t>KOSOVËS</w:t>
                      </w:r>
                    </w:p>
                  </w:txbxContent>
                </v:textbox>
              </v:shape>
            </w:pict>
          </mc:Fallback>
        </mc:AlternateContent>
      </w:r>
      <w:r w:rsidR="00D35BFA">
        <w:rPr>
          <w:noProof/>
          <w:lang w:val="en-US"/>
        </w:rPr>
        <w:drawing>
          <wp:inline distT="0" distB="0" distL="0" distR="0" wp14:anchorId="3E57F324" wp14:editId="029BC188">
            <wp:extent cx="6189980" cy="8755008"/>
            <wp:effectExtent l="0" t="0" r="1270" b="8255"/>
            <wp:docPr id="2093839347" name="Picture 1" descr="A green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9980" cy="8755008"/>
                    </a:xfrm>
                    <a:prstGeom prst="rect">
                      <a:avLst/>
                    </a:prstGeom>
                  </pic:spPr>
                </pic:pic>
              </a:graphicData>
            </a:graphic>
          </wp:inline>
        </w:drawing>
      </w:r>
    </w:p>
    <w:p w14:paraId="401EB987" w14:textId="77777777" w:rsidR="00A51C30" w:rsidRPr="00976D33" w:rsidRDefault="00A51C30" w:rsidP="00A51C30">
      <w:pPr>
        <w:jc w:val="left"/>
        <w:rPr>
          <w:rFonts w:ascii="Gravur condensed" w:hAnsi="Gravur condensed" w:hint="eastAsia"/>
          <w:sz w:val="16"/>
          <w:szCs w:val="16"/>
        </w:rPr>
      </w:pPr>
    </w:p>
    <w:p w14:paraId="75C054D2" w14:textId="77777777" w:rsidR="00A51C30" w:rsidRPr="00976D33" w:rsidRDefault="00A51C30" w:rsidP="00A51C30">
      <w:pPr>
        <w:jc w:val="left"/>
        <w:rPr>
          <w:rFonts w:ascii="Gravur condensed" w:hAnsi="Gravur condensed" w:hint="eastAsia"/>
          <w:sz w:val="16"/>
          <w:szCs w:val="16"/>
        </w:rPr>
      </w:pPr>
    </w:p>
    <w:p w14:paraId="2E20CD5B" w14:textId="77777777" w:rsidR="00A51C30" w:rsidRPr="00976D33" w:rsidRDefault="00A51C30" w:rsidP="00A51C30">
      <w:pPr>
        <w:jc w:val="left"/>
        <w:rPr>
          <w:rFonts w:ascii="Gravur condensed" w:hAnsi="Gravur condensed" w:hint="eastAsia"/>
          <w:sz w:val="16"/>
          <w:szCs w:val="16"/>
        </w:rPr>
      </w:pPr>
    </w:p>
    <w:p w14:paraId="75433CF2" w14:textId="77777777" w:rsidR="00A51C30" w:rsidRPr="00976D33" w:rsidRDefault="00A51C30" w:rsidP="00A51C30">
      <w:pPr>
        <w:jc w:val="left"/>
        <w:rPr>
          <w:rStyle w:val="PageNumber"/>
          <w:rFonts w:cs="Arial"/>
          <w:szCs w:val="20"/>
        </w:rPr>
      </w:pPr>
    </w:p>
    <w:p w14:paraId="18985501" w14:textId="77777777"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07B763CD" w14:textId="77777777"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39E76D3B" w14:textId="77777777"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4B899DD9" w14:textId="77777777"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4270F8CF" w14:textId="167333B5"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192D71ED" w14:textId="56832D92"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4458DF2A" w14:textId="77777777"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6E0A2E7A" w14:textId="77777777"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5655EA19" w14:textId="77777777"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3559F1C2" w14:textId="77777777"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4BD88ABE" w14:textId="77777777"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7F48512A" w14:textId="7365CC2C"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115E729D" w14:textId="77777777"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44F49337" w14:textId="7B6BCD87"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76C23975" w14:textId="77777777"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22F8490F" w14:textId="77777777"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0025C2A0" w14:textId="77777777"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256B8BF7" w14:textId="77777777"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5C378013" w14:textId="77777777"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29674624" w14:textId="77777777"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1CDA724F" w14:textId="0F774ECB"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16858D39" w14:textId="77777777"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18552550" w14:textId="77777777"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2FEE7699" w14:textId="4CFD0E10"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7F07BD06" w14:textId="77777777"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7735E558" w14:textId="77777777"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136C5A14" w14:textId="77777777"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2ADBA708" w14:textId="77777777"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6AF2F86A" w14:textId="77777777"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1F1A94EF" w14:textId="636B9B16"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694206EE" w14:textId="77777777"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0F46E69C" w14:textId="78BCA64A"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43CF0FC5" w14:textId="77777777"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0DF64BD7" w14:textId="77777777" w:rsidR="0051303F" w:rsidRPr="00976D33" w:rsidRDefault="0051303F" w:rsidP="00A51C30">
      <w:pPr>
        <w:pStyle w:val="Fliesstext"/>
        <w:spacing w:before="60" w:line="240" w:lineRule="auto"/>
        <w:rPr>
          <w:rFonts w:ascii="Gravur condensed" w:hAnsi="Gravur condensed" w:cstheme="minorHAnsi" w:hint="eastAsia"/>
          <w:b/>
          <w:color w:val="082A75" w:themeColor="text2"/>
          <w:sz w:val="16"/>
          <w:szCs w:val="16"/>
          <w:lang w:eastAsia="de-DE"/>
        </w:rPr>
      </w:pPr>
    </w:p>
    <w:p w14:paraId="0FDC7E4D" w14:textId="449DC44D" w:rsidR="00A51C30" w:rsidRPr="00976D33" w:rsidRDefault="00A51C30" w:rsidP="00A51C30">
      <w:pPr>
        <w:pStyle w:val="Fliesstext"/>
        <w:spacing w:before="60" w:line="240" w:lineRule="auto"/>
        <w:rPr>
          <w:rFonts w:ascii="Gravur condensed" w:hAnsi="Gravur condensed" w:cs="Calibri" w:hint="eastAsia"/>
          <w:b/>
          <w:color w:val="0F0D29" w:themeColor="text1"/>
          <w:sz w:val="16"/>
          <w:szCs w:val="16"/>
          <w:lang w:eastAsia="de-DE"/>
        </w:rPr>
      </w:pPr>
      <w:bookmarkStart w:id="0" w:name="_GoBack"/>
      <w:bookmarkEnd w:id="0"/>
    </w:p>
    <w:p w14:paraId="4BEB3B44" w14:textId="77777777" w:rsidR="00EB332B" w:rsidRPr="00976D33" w:rsidRDefault="00EB332B" w:rsidP="00EB332B">
      <w:pPr>
        <w:rPr>
          <w:rStyle w:val="PageNumber"/>
          <w:rFonts w:cs="Arial"/>
          <w:szCs w:val="20"/>
        </w:rPr>
      </w:pPr>
    </w:p>
    <w:p w14:paraId="1A4D8768" w14:textId="7E429D41" w:rsidR="00130A52" w:rsidRPr="00976D33" w:rsidRDefault="00130A52" w:rsidP="00EB332B">
      <w:pPr>
        <w:pStyle w:val="Heading1"/>
        <w:numPr>
          <w:ilvl w:val="0"/>
          <w:numId w:val="0"/>
        </w:numPr>
      </w:pPr>
    </w:p>
    <w:p w14:paraId="2B50633F" w14:textId="69D0EA13" w:rsidR="0005016C" w:rsidRPr="00976D33" w:rsidRDefault="0051303F" w:rsidP="005969E0">
      <w:r>
        <w:br w:type="page"/>
      </w:r>
    </w:p>
    <w:p w14:paraId="0E971972" w14:textId="3E44B10F" w:rsidR="00130A52" w:rsidRPr="00976D33" w:rsidRDefault="00130A52" w:rsidP="00EB332B">
      <w:pPr>
        <w:pStyle w:val="Heading1"/>
        <w:numPr>
          <w:ilvl w:val="0"/>
          <w:numId w:val="0"/>
        </w:numPr>
        <w:sectPr w:rsidR="00130A52" w:rsidRPr="00976D33" w:rsidSect="00D97C68">
          <w:headerReference w:type="default" r:id="rId13"/>
          <w:footnotePr>
            <w:numRestart w:val="eachSect"/>
          </w:footnotePr>
          <w:pgSz w:w="11906" w:h="16838" w:code="9"/>
          <w:pgMar w:top="1469" w:right="1022" w:bottom="1138" w:left="1310" w:header="1001" w:footer="720" w:gutter="0"/>
          <w:cols w:space="720"/>
          <w:titlePg/>
          <w:docGrid w:linePitch="272"/>
        </w:sectPr>
      </w:pPr>
    </w:p>
    <w:sdt>
      <w:sdtPr>
        <w:rPr>
          <w:rFonts w:ascii="Arial" w:eastAsiaTheme="minorEastAsia" w:hAnsi="Arial" w:cstheme="minorBidi"/>
          <w:color w:val="0F0D29" w:themeColor="text1"/>
          <w:sz w:val="20"/>
          <w:szCs w:val="20"/>
        </w:rPr>
        <w:id w:val="92129045"/>
        <w:docPartObj>
          <w:docPartGallery w:val="Table of Contents"/>
          <w:docPartUnique/>
        </w:docPartObj>
      </w:sdtPr>
      <w:sdtEndPr>
        <w:rPr>
          <w:b/>
          <w:bCs/>
        </w:rPr>
      </w:sdtEndPr>
      <w:sdtContent>
        <w:p w14:paraId="55B7E861" w14:textId="77777777" w:rsidR="00130A52" w:rsidRPr="00976D33" w:rsidRDefault="00130A52">
          <w:pPr>
            <w:pStyle w:val="TOCHeading"/>
          </w:pPr>
          <w:r>
            <w:t>Përmbajtja</w:t>
          </w:r>
        </w:p>
        <w:p w14:paraId="07E8A737" w14:textId="6950698A" w:rsidR="00C42BBC" w:rsidRDefault="00130A52">
          <w:pPr>
            <w:pStyle w:val="TOC1"/>
            <w:rPr>
              <w:rFonts w:asciiTheme="minorHAnsi" w:hAnsiTheme="minorHAnsi"/>
              <w:noProof/>
              <w:color w:val="auto"/>
              <w:kern w:val="2"/>
              <w:sz w:val="24"/>
              <w:szCs w:val="24"/>
              <w14:ligatures w14:val="standardContextual"/>
            </w:rPr>
          </w:pPr>
          <w:r w:rsidRPr="00976D33">
            <w:fldChar w:fldCharType="begin"/>
          </w:r>
          <w:r w:rsidRPr="00976D33">
            <w:instrText xml:space="preserve"> TOC \o "1-3" \h \z \u </w:instrText>
          </w:r>
          <w:r w:rsidRPr="00976D33">
            <w:fldChar w:fldCharType="separate"/>
          </w:r>
          <w:hyperlink w:anchor="_Toc182302241" w:history="1">
            <w:r w:rsidR="00C42BBC" w:rsidRPr="004953FD">
              <w:rPr>
                <w:rStyle w:val="Hyperlink"/>
                <w:noProof/>
              </w:rPr>
              <w:t>Lista e figurave</w:t>
            </w:r>
            <w:r w:rsidR="00C42BBC">
              <w:rPr>
                <w:noProof/>
                <w:webHidden/>
              </w:rPr>
              <w:tab/>
            </w:r>
            <w:r w:rsidR="00C42BBC">
              <w:rPr>
                <w:noProof/>
                <w:webHidden/>
              </w:rPr>
              <w:fldChar w:fldCharType="begin"/>
            </w:r>
            <w:r w:rsidR="00C42BBC">
              <w:rPr>
                <w:noProof/>
                <w:webHidden/>
              </w:rPr>
              <w:instrText xml:space="preserve"> PAGEREF _Toc182302241 \h </w:instrText>
            </w:r>
            <w:r w:rsidR="00C42BBC">
              <w:rPr>
                <w:noProof/>
                <w:webHidden/>
              </w:rPr>
            </w:r>
            <w:r w:rsidR="00C42BBC">
              <w:rPr>
                <w:noProof/>
                <w:webHidden/>
              </w:rPr>
              <w:fldChar w:fldCharType="separate"/>
            </w:r>
            <w:r w:rsidR="00C42BBC">
              <w:rPr>
                <w:noProof/>
                <w:webHidden/>
              </w:rPr>
              <w:t>7</w:t>
            </w:r>
            <w:r w:rsidR="00C42BBC">
              <w:rPr>
                <w:noProof/>
                <w:webHidden/>
              </w:rPr>
              <w:fldChar w:fldCharType="end"/>
            </w:r>
          </w:hyperlink>
        </w:p>
        <w:p w14:paraId="03639D0F" w14:textId="132C98D2" w:rsidR="00C42BBC" w:rsidRDefault="00062E07">
          <w:pPr>
            <w:pStyle w:val="TOC1"/>
            <w:rPr>
              <w:rFonts w:asciiTheme="minorHAnsi" w:hAnsiTheme="minorHAnsi"/>
              <w:noProof/>
              <w:color w:val="auto"/>
              <w:kern w:val="2"/>
              <w:sz w:val="24"/>
              <w:szCs w:val="24"/>
              <w14:ligatures w14:val="standardContextual"/>
            </w:rPr>
          </w:pPr>
          <w:hyperlink w:anchor="_Toc182302242" w:history="1">
            <w:r w:rsidR="00C42BBC" w:rsidRPr="004953FD">
              <w:rPr>
                <w:rStyle w:val="Hyperlink"/>
                <w:noProof/>
              </w:rPr>
              <w:t>Lista e tabelave</w:t>
            </w:r>
            <w:r w:rsidR="00C42BBC">
              <w:rPr>
                <w:noProof/>
                <w:webHidden/>
              </w:rPr>
              <w:tab/>
            </w:r>
            <w:r w:rsidR="00C42BBC">
              <w:rPr>
                <w:noProof/>
                <w:webHidden/>
              </w:rPr>
              <w:fldChar w:fldCharType="begin"/>
            </w:r>
            <w:r w:rsidR="00C42BBC">
              <w:rPr>
                <w:noProof/>
                <w:webHidden/>
              </w:rPr>
              <w:instrText xml:space="preserve"> PAGEREF _Toc182302242 \h </w:instrText>
            </w:r>
            <w:r w:rsidR="00C42BBC">
              <w:rPr>
                <w:noProof/>
                <w:webHidden/>
              </w:rPr>
            </w:r>
            <w:r w:rsidR="00C42BBC">
              <w:rPr>
                <w:noProof/>
                <w:webHidden/>
              </w:rPr>
              <w:fldChar w:fldCharType="separate"/>
            </w:r>
            <w:r w:rsidR="00C42BBC">
              <w:rPr>
                <w:noProof/>
                <w:webHidden/>
              </w:rPr>
              <w:t>10</w:t>
            </w:r>
            <w:r w:rsidR="00C42BBC">
              <w:rPr>
                <w:noProof/>
                <w:webHidden/>
              </w:rPr>
              <w:fldChar w:fldCharType="end"/>
            </w:r>
          </w:hyperlink>
        </w:p>
        <w:p w14:paraId="1F8D0525" w14:textId="09FE5DD7" w:rsidR="00C42BBC" w:rsidRDefault="00062E07">
          <w:pPr>
            <w:pStyle w:val="TOC1"/>
            <w:tabs>
              <w:tab w:val="left" w:pos="400"/>
            </w:tabs>
            <w:rPr>
              <w:rFonts w:asciiTheme="minorHAnsi" w:hAnsiTheme="minorHAnsi"/>
              <w:noProof/>
              <w:color w:val="auto"/>
              <w:kern w:val="2"/>
              <w:sz w:val="24"/>
              <w:szCs w:val="24"/>
              <w14:ligatures w14:val="standardContextual"/>
            </w:rPr>
          </w:pPr>
          <w:hyperlink w:anchor="_Toc182302243" w:history="1">
            <w:r w:rsidR="00C42BBC" w:rsidRPr="004953FD">
              <w:rPr>
                <w:rStyle w:val="Hyperlink"/>
                <w:noProof/>
              </w:rPr>
              <w:t>1</w:t>
            </w:r>
            <w:r w:rsidR="00C42BBC">
              <w:rPr>
                <w:rFonts w:asciiTheme="minorHAnsi" w:hAnsiTheme="minorHAnsi"/>
                <w:noProof/>
                <w:color w:val="auto"/>
                <w:kern w:val="2"/>
                <w:sz w:val="24"/>
                <w:szCs w:val="24"/>
                <w14:ligatures w14:val="standardContextual"/>
              </w:rPr>
              <w:tab/>
            </w:r>
            <w:r w:rsidR="00C42BBC" w:rsidRPr="004953FD">
              <w:rPr>
                <w:rStyle w:val="Hyperlink"/>
                <w:noProof/>
              </w:rPr>
              <w:t>KORNIZA E PËRGJITHSHME PËR PLANET E INTEGRUARA KOMBËTARE PËR ENERGJI DHE KLIMË</w:t>
            </w:r>
            <w:r w:rsidR="00C42BBC">
              <w:rPr>
                <w:noProof/>
                <w:webHidden/>
              </w:rPr>
              <w:tab/>
            </w:r>
            <w:r w:rsidR="00C42BBC">
              <w:rPr>
                <w:noProof/>
                <w:webHidden/>
              </w:rPr>
              <w:fldChar w:fldCharType="begin"/>
            </w:r>
            <w:r w:rsidR="00C42BBC">
              <w:rPr>
                <w:noProof/>
                <w:webHidden/>
              </w:rPr>
              <w:instrText xml:space="preserve"> PAGEREF _Toc182302243 \h </w:instrText>
            </w:r>
            <w:r w:rsidR="00C42BBC">
              <w:rPr>
                <w:noProof/>
                <w:webHidden/>
              </w:rPr>
            </w:r>
            <w:r w:rsidR="00C42BBC">
              <w:rPr>
                <w:noProof/>
                <w:webHidden/>
              </w:rPr>
              <w:fldChar w:fldCharType="separate"/>
            </w:r>
            <w:r w:rsidR="00C42BBC">
              <w:rPr>
                <w:noProof/>
                <w:webHidden/>
              </w:rPr>
              <w:t>11</w:t>
            </w:r>
            <w:r w:rsidR="00C42BBC">
              <w:rPr>
                <w:noProof/>
                <w:webHidden/>
              </w:rPr>
              <w:fldChar w:fldCharType="end"/>
            </w:r>
          </w:hyperlink>
        </w:p>
        <w:p w14:paraId="000B14DE" w14:textId="0E61FC08" w:rsidR="00C42BBC" w:rsidRDefault="00062E07">
          <w:pPr>
            <w:pStyle w:val="TOC2"/>
            <w:tabs>
              <w:tab w:val="left" w:pos="880"/>
              <w:tab w:val="right" w:leader="dot" w:pos="9564"/>
            </w:tabs>
            <w:rPr>
              <w:rFonts w:asciiTheme="minorHAnsi" w:hAnsiTheme="minorHAnsi"/>
              <w:noProof/>
              <w:color w:val="auto"/>
              <w:kern w:val="2"/>
              <w:sz w:val="24"/>
              <w:szCs w:val="24"/>
              <w14:ligatures w14:val="standardContextual"/>
            </w:rPr>
          </w:pPr>
          <w:hyperlink w:anchor="_Toc182302244" w:history="1">
            <w:r w:rsidR="00C42BBC" w:rsidRPr="004953FD">
              <w:rPr>
                <w:rStyle w:val="Hyperlink"/>
                <w:noProof/>
              </w:rPr>
              <w:t>1.1</w:t>
            </w:r>
            <w:r w:rsidR="00C42BBC">
              <w:rPr>
                <w:rFonts w:asciiTheme="minorHAnsi" w:hAnsiTheme="minorHAnsi"/>
                <w:noProof/>
                <w:color w:val="auto"/>
                <w:kern w:val="2"/>
                <w:sz w:val="24"/>
                <w:szCs w:val="24"/>
                <w14:ligatures w14:val="standardContextual"/>
              </w:rPr>
              <w:tab/>
            </w:r>
            <w:r w:rsidR="00C42BBC" w:rsidRPr="004953FD">
              <w:rPr>
                <w:rStyle w:val="Hyperlink"/>
                <w:noProof/>
              </w:rPr>
              <w:t>Përmbledhje ekzekutive</w:t>
            </w:r>
            <w:r w:rsidR="00C42BBC">
              <w:rPr>
                <w:noProof/>
                <w:webHidden/>
              </w:rPr>
              <w:tab/>
            </w:r>
            <w:r w:rsidR="00C42BBC">
              <w:rPr>
                <w:noProof/>
                <w:webHidden/>
              </w:rPr>
              <w:fldChar w:fldCharType="begin"/>
            </w:r>
            <w:r w:rsidR="00C42BBC">
              <w:rPr>
                <w:noProof/>
                <w:webHidden/>
              </w:rPr>
              <w:instrText xml:space="preserve"> PAGEREF _Toc182302244 \h </w:instrText>
            </w:r>
            <w:r w:rsidR="00C42BBC">
              <w:rPr>
                <w:noProof/>
                <w:webHidden/>
              </w:rPr>
            </w:r>
            <w:r w:rsidR="00C42BBC">
              <w:rPr>
                <w:noProof/>
                <w:webHidden/>
              </w:rPr>
              <w:fldChar w:fldCharType="separate"/>
            </w:r>
            <w:r w:rsidR="00C42BBC">
              <w:rPr>
                <w:noProof/>
                <w:webHidden/>
              </w:rPr>
              <w:t>11</w:t>
            </w:r>
            <w:r w:rsidR="00C42BBC">
              <w:rPr>
                <w:noProof/>
                <w:webHidden/>
              </w:rPr>
              <w:fldChar w:fldCharType="end"/>
            </w:r>
          </w:hyperlink>
        </w:p>
        <w:p w14:paraId="442C3382" w14:textId="2E464290" w:rsidR="00C42BBC" w:rsidRDefault="00062E07">
          <w:pPr>
            <w:pStyle w:val="TOC3"/>
            <w:rPr>
              <w:rFonts w:asciiTheme="minorHAnsi" w:hAnsiTheme="minorHAnsi"/>
              <w:noProof/>
              <w:color w:val="auto"/>
              <w:kern w:val="2"/>
              <w:sz w:val="24"/>
              <w:szCs w:val="24"/>
              <w14:ligatures w14:val="standardContextual"/>
            </w:rPr>
          </w:pPr>
          <w:hyperlink w:anchor="_Toc182302245" w:history="1">
            <w:r w:rsidR="00C42BBC" w:rsidRPr="004953FD">
              <w:rPr>
                <w:rStyle w:val="Hyperlink"/>
                <w:rFonts w:cs="Times New Roman"/>
                <w:noProof/>
              </w:rPr>
              <w:t>I.</w:t>
            </w:r>
            <w:r w:rsidR="00C42BBC">
              <w:rPr>
                <w:rFonts w:asciiTheme="minorHAnsi" w:hAnsiTheme="minorHAnsi"/>
                <w:noProof/>
                <w:color w:val="auto"/>
                <w:kern w:val="2"/>
                <w:sz w:val="24"/>
                <w:szCs w:val="24"/>
                <w14:ligatures w14:val="standardContextual"/>
              </w:rPr>
              <w:tab/>
            </w:r>
            <w:r w:rsidR="00C42BBC" w:rsidRPr="004953FD">
              <w:rPr>
                <w:rStyle w:val="Hyperlink"/>
                <w:noProof/>
              </w:rPr>
              <w:t>Konteksti politik, ekonomik, mjedisor dhe social i planit</w:t>
            </w:r>
            <w:r w:rsidR="00C42BBC">
              <w:rPr>
                <w:noProof/>
                <w:webHidden/>
              </w:rPr>
              <w:tab/>
            </w:r>
            <w:r w:rsidR="00C42BBC">
              <w:rPr>
                <w:noProof/>
                <w:webHidden/>
              </w:rPr>
              <w:fldChar w:fldCharType="begin"/>
            </w:r>
            <w:r w:rsidR="00C42BBC">
              <w:rPr>
                <w:noProof/>
                <w:webHidden/>
              </w:rPr>
              <w:instrText xml:space="preserve"> PAGEREF _Toc182302245 \h </w:instrText>
            </w:r>
            <w:r w:rsidR="00C42BBC">
              <w:rPr>
                <w:noProof/>
                <w:webHidden/>
              </w:rPr>
            </w:r>
            <w:r w:rsidR="00C42BBC">
              <w:rPr>
                <w:noProof/>
                <w:webHidden/>
              </w:rPr>
              <w:fldChar w:fldCharType="separate"/>
            </w:r>
            <w:r w:rsidR="00C42BBC">
              <w:rPr>
                <w:noProof/>
                <w:webHidden/>
              </w:rPr>
              <w:t>11</w:t>
            </w:r>
            <w:r w:rsidR="00C42BBC">
              <w:rPr>
                <w:noProof/>
                <w:webHidden/>
              </w:rPr>
              <w:fldChar w:fldCharType="end"/>
            </w:r>
          </w:hyperlink>
        </w:p>
        <w:p w14:paraId="6EC0D82B" w14:textId="5B9E311E" w:rsidR="00C42BBC" w:rsidRDefault="00062E07">
          <w:pPr>
            <w:pStyle w:val="TOC3"/>
            <w:rPr>
              <w:rFonts w:asciiTheme="minorHAnsi" w:hAnsiTheme="minorHAnsi"/>
              <w:noProof/>
              <w:color w:val="auto"/>
              <w:kern w:val="2"/>
              <w:sz w:val="24"/>
              <w:szCs w:val="24"/>
              <w14:ligatures w14:val="standardContextual"/>
            </w:rPr>
          </w:pPr>
          <w:hyperlink w:anchor="_Toc182302246" w:history="1">
            <w:r w:rsidR="00C42BBC" w:rsidRPr="004953FD">
              <w:rPr>
                <w:rStyle w:val="Hyperlink"/>
                <w:rFonts w:cs="Times New Roman"/>
                <w:noProof/>
              </w:rPr>
              <w:t>II.</w:t>
            </w:r>
            <w:r w:rsidR="00C42BBC">
              <w:rPr>
                <w:rFonts w:asciiTheme="minorHAnsi" w:hAnsiTheme="minorHAnsi"/>
                <w:noProof/>
                <w:color w:val="auto"/>
                <w:kern w:val="2"/>
                <w:sz w:val="24"/>
                <w:szCs w:val="24"/>
                <w14:ligatures w14:val="standardContextual"/>
              </w:rPr>
              <w:tab/>
            </w:r>
            <w:r w:rsidR="00C42BBC" w:rsidRPr="004953FD">
              <w:rPr>
                <w:rStyle w:val="Hyperlink"/>
                <w:noProof/>
              </w:rPr>
              <w:t>Strategjia lidhur me pesë dimensionet e Bashkimit të Energjisë</w:t>
            </w:r>
            <w:r w:rsidR="00C42BBC">
              <w:rPr>
                <w:noProof/>
                <w:webHidden/>
              </w:rPr>
              <w:tab/>
            </w:r>
            <w:r w:rsidR="00C42BBC">
              <w:rPr>
                <w:noProof/>
                <w:webHidden/>
              </w:rPr>
              <w:fldChar w:fldCharType="begin"/>
            </w:r>
            <w:r w:rsidR="00C42BBC">
              <w:rPr>
                <w:noProof/>
                <w:webHidden/>
              </w:rPr>
              <w:instrText xml:space="preserve"> PAGEREF _Toc182302246 \h </w:instrText>
            </w:r>
            <w:r w:rsidR="00C42BBC">
              <w:rPr>
                <w:noProof/>
                <w:webHidden/>
              </w:rPr>
            </w:r>
            <w:r w:rsidR="00C42BBC">
              <w:rPr>
                <w:noProof/>
                <w:webHidden/>
              </w:rPr>
              <w:fldChar w:fldCharType="separate"/>
            </w:r>
            <w:r w:rsidR="00C42BBC">
              <w:rPr>
                <w:noProof/>
                <w:webHidden/>
              </w:rPr>
              <w:t>13</w:t>
            </w:r>
            <w:r w:rsidR="00C42BBC">
              <w:rPr>
                <w:noProof/>
                <w:webHidden/>
              </w:rPr>
              <w:fldChar w:fldCharType="end"/>
            </w:r>
          </w:hyperlink>
        </w:p>
        <w:p w14:paraId="7731DE35" w14:textId="2588BF5C" w:rsidR="00C42BBC" w:rsidRDefault="00062E07">
          <w:pPr>
            <w:pStyle w:val="TOC3"/>
            <w:rPr>
              <w:rFonts w:asciiTheme="minorHAnsi" w:hAnsiTheme="minorHAnsi"/>
              <w:noProof/>
              <w:color w:val="auto"/>
              <w:kern w:val="2"/>
              <w:sz w:val="24"/>
              <w:szCs w:val="24"/>
              <w14:ligatures w14:val="standardContextual"/>
            </w:rPr>
          </w:pPr>
          <w:hyperlink w:anchor="_Toc182302247" w:history="1">
            <w:r w:rsidR="00C42BBC" w:rsidRPr="004953FD">
              <w:rPr>
                <w:rStyle w:val="Hyperlink"/>
                <w:rFonts w:cs="Times New Roman"/>
                <w:noProof/>
              </w:rPr>
              <w:t>III.</w:t>
            </w:r>
            <w:r w:rsidR="00C42BBC">
              <w:rPr>
                <w:rFonts w:asciiTheme="minorHAnsi" w:hAnsiTheme="minorHAnsi"/>
                <w:noProof/>
                <w:color w:val="auto"/>
                <w:kern w:val="2"/>
                <w:sz w:val="24"/>
                <w:szCs w:val="24"/>
                <w14:ligatures w14:val="standardContextual"/>
              </w:rPr>
              <w:tab/>
            </w:r>
            <w:r w:rsidR="00C42BBC" w:rsidRPr="004953FD">
              <w:rPr>
                <w:rStyle w:val="Hyperlink"/>
                <w:noProof/>
              </w:rPr>
              <w:t>Tabela e përgjithshme me objektivat, politikat dhe masat kryesore të planit</w:t>
            </w:r>
            <w:r w:rsidR="00C42BBC">
              <w:rPr>
                <w:noProof/>
                <w:webHidden/>
              </w:rPr>
              <w:tab/>
            </w:r>
            <w:r w:rsidR="00C42BBC">
              <w:rPr>
                <w:noProof/>
                <w:webHidden/>
              </w:rPr>
              <w:fldChar w:fldCharType="begin"/>
            </w:r>
            <w:r w:rsidR="00C42BBC">
              <w:rPr>
                <w:noProof/>
                <w:webHidden/>
              </w:rPr>
              <w:instrText xml:space="preserve"> PAGEREF _Toc182302247 \h </w:instrText>
            </w:r>
            <w:r w:rsidR="00C42BBC">
              <w:rPr>
                <w:noProof/>
                <w:webHidden/>
              </w:rPr>
            </w:r>
            <w:r w:rsidR="00C42BBC">
              <w:rPr>
                <w:noProof/>
                <w:webHidden/>
              </w:rPr>
              <w:fldChar w:fldCharType="separate"/>
            </w:r>
            <w:r w:rsidR="00C42BBC">
              <w:rPr>
                <w:noProof/>
                <w:webHidden/>
              </w:rPr>
              <w:t>15</w:t>
            </w:r>
            <w:r w:rsidR="00C42BBC">
              <w:rPr>
                <w:noProof/>
                <w:webHidden/>
              </w:rPr>
              <w:fldChar w:fldCharType="end"/>
            </w:r>
          </w:hyperlink>
        </w:p>
        <w:p w14:paraId="4F26895E" w14:textId="6CFAA1CD" w:rsidR="00C42BBC" w:rsidRDefault="00062E07">
          <w:pPr>
            <w:pStyle w:val="TOC2"/>
            <w:tabs>
              <w:tab w:val="left" w:pos="880"/>
              <w:tab w:val="right" w:leader="dot" w:pos="9564"/>
            </w:tabs>
            <w:rPr>
              <w:rFonts w:asciiTheme="minorHAnsi" w:hAnsiTheme="minorHAnsi"/>
              <w:noProof/>
              <w:color w:val="auto"/>
              <w:kern w:val="2"/>
              <w:sz w:val="24"/>
              <w:szCs w:val="24"/>
              <w14:ligatures w14:val="standardContextual"/>
            </w:rPr>
          </w:pPr>
          <w:hyperlink w:anchor="_Toc182302248" w:history="1">
            <w:r w:rsidR="00C42BBC" w:rsidRPr="004953FD">
              <w:rPr>
                <w:rStyle w:val="Hyperlink"/>
                <w:noProof/>
              </w:rPr>
              <w:t>1.2</w:t>
            </w:r>
            <w:r w:rsidR="00C42BBC">
              <w:rPr>
                <w:rFonts w:asciiTheme="minorHAnsi" w:hAnsiTheme="minorHAnsi"/>
                <w:noProof/>
                <w:color w:val="auto"/>
                <w:kern w:val="2"/>
                <w:sz w:val="24"/>
                <w:szCs w:val="24"/>
                <w14:ligatures w14:val="standardContextual"/>
              </w:rPr>
              <w:tab/>
            </w:r>
            <w:r w:rsidR="00C42BBC" w:rsidRPr="004953FD">
              <w:rPr>
                <w:rStyle w:val="Hyperlink"/>
                <w:noProof/>
              </w:rPr>
              <w:t>Pasqyra e gjendjes aktuale të politikave</w:t>
            </w:r>
            <w:r w:rsidR="00C42BBC">
              <w:rPr>
                <w:noProof/>
                <w:webHidden/>
              </w:rPr>
              <w:tab/>
            </w:r>
            <w:r w:rsidR="00C42BBC">
              <w:rPr>
                <w:noProof/>
                <w:webHidden/>
              </w:rPr>
              <w:fldChar w:fldCharType="begin"/>
            </w:r>
            <w:r w:rsidR="00C42BBC">
              <w:rPr>
                <w:noProof/>
                <w:webHidden/>
              </w:rPr>
              <w:instrText xml:space="preserve"> PAGEREF _Toc182302248 \h </w:instrText>
            </w:r>
            <w:r w:rsidR="00C42BBC">
              <w:rPr>
                <w:noProof/>
                <w:webHidden/>
              </w:rPr>
            </w:r>
            <w:r w:rsidR="00C42BBC">
              <w:rPr>
                <w:noProof/>
                <w:webHidden/>
              </w:rPr>
              <w:fldChar w:fldCharType="separate"/>
            </w:r>
            <w:r w:rsidR="00C42BBC">
              <w:rPr>
                <w:noProof/>
                <w:webHidden/>
              </w:rPr>
              <w:t>18</w:t>
            </w:r>
            <w:r w:rsidR="00C42BBC">
              <w:rPr>
                <w:noProof/>
                <w:webHidden/>
              </w:rPr>
              <w:fldChar w:fldCharType="end"/>
            </w:r>
          </w:hyperlink>
        </w:p>
        <w:p w14:paraId="1470CD91" w14:textId="65E4761D" w:rsidR="00C42BBC" w:rsidRDefault="00062E07">
          <w:pPr>
            <w:pStyle w:val="TOC3"/>
            <w:rPr>
              <w:rFonts w:asciiTheme="minorHAnsi" w:hAnsiTheme="minorHAnsi"/>
              <w:noProof/>
              <w:color w:val="auto"/>
              <w:kern w:val="2"/>
              <w:sz w:val="24"/>
              <w:szCs w:val="24"/>
              <w14:ligatures w14:val="standardContextual"/>
            </w:rPr>
          </w:pPr>
          <w:hyperlink w:anchor="_Toc182302249" w:history="1">
            <w:r w:rsidR="00C42BBC" w:rsidRPr="004953FD">
              <w:rPr>
                <w:rStyle w:val="Hyperlink"/>
                <w:rFonts w:cs="Times New Roman"/>
                <w:noProof/>
              </w:rPr>
              <w:t>I.</w:t>
            </w:r>
            <w:r w:rsidR="00C42BBC">
              <w:rPr>
                <w:rFonts w:asciiTheme="minorHAnsi" w:hAnsiTheme="minorHAnsi"/>
                <w:noProof/>
                <w:color w:val="auto"/>
                <w:kern w:val="2"/>
                <w:sz w:val="24"/>
                <w:szCs w:val="24"/>
                <w14:ligatures w14:val="standardContextual"/>
              </w:rPr>
              <w:tab/>
            </w:r>
            <w:r w:rsidR="00C42BBC" w:rsidRPr="004953FD">
              <w:rPr>
                <w:rStyle w:val="Hyperlink"/>
                <w:noProof/>
              </w:rPr>
              <w:t>Sistemi energjetik kombëtar dhe i Komunitetit të Energjisë dhe konteksti i politikave të planit kombëtar</w:t>
            </w:r>
            <w:r w:rsidR="00C42BBC">
              <w:rPr>
                <w:noProof/>
                <w:webHidden/>
              </w:rPr>
              <w:tab/>
            </w:r>
            <w:r w:rsidR="00C42BBC">
              <w:rPr>
                <w:noProof/>
                <w:webHidden/>
              </w:rPr>
              <w:fldChar w:fldCharType="begin"/>
            </w:r>
            <w:r w:rsidR="00C42BBC">
              <w:rPr>
                <w:noProof/>
                <w:webHidden/>
              </w:rPr>
              <w:instrText xml:space="preserve"> PAGEREF _Toc182302249 \h </w:instrText>
            </w:r>
            <w:r w:rsidR="00C42BBC">
              <w:rPr>
                <w:noProof/>
                <w:webHidden/>
              </w:rPr>
            </w:r>
            <w:r w:rsidR="00C42BBC">
              <w:rPr>
                <w:noProof/>
                <w:webHidden/>
              </w:rPr>
              <w:fldChar w:fldCharType="separate"/>
            </w:r>
            <w:r w:rsidR="00C42BBC">
              <w:rPr>
                <w:noProof/>
                <w:webHidden/>
              </w:rPr>
              <w:t>18</w:t>
            </w:r>
            <w:r w:rsidR="00C42BBC">
              <w:rPr>
                <w:noProof/>
                <w:webHidden/>
              </w:rPr>
              <w:fldChar w:fldCharType="end"/>
            </w:r>
          </w:hyperlink>
        </w:p>
        <w:p w14:paraId="468AF52A" w14:textId="32A7B599" w:rsidR="00C42BBC" w:rsidRDefault="00062E07">
          <w:pPr>
            <w:pStyle w:val="TOC3"/>
            <w:rPr>
              <w:rFonts w:asciiTheme="minorHAnsi" w:hAnsiTheme="minorHAnsi"/>
              <w:noProof/>
              <w:color w:val="auto"/>
              <w:kern w:val="2"/>
              <w:sz w:val="24"/>
              <w:szCs w:val="24"/>
              <w14:ligatures w14:val="standardContextual"/>
            </w:rPr>
          </w:pPr>
          <w:hyperlink w:anchor="_Toc182302250" w:history="1">
            <w:r w:rsidR="00C42BBC" w:rsidRPr="004953FD">
              <w:rPr>
                <w:rStyle w:val="Hyperlink"/>
                <w:rFonts w:cs="Times New Roman"/>
                <w:noProof/>
              </w:rPr>
              <w:t>II.</w:t>
            </w:r>
            <w:r w:rsidR="00C42BBC">
              <w:rPr>
                <w:rFonts w:asciiTheme="minorHAnsi" w:hAnsiTheme="minorHAnsi"/>
                <w:noProof/>
                <w:color w:val="auto"/>
                <w:kern w:val="2"/>
                <w:sz w:val="24"/>
                <w:szCs w:val="24"/>
                <w14:ligatures w14:val="standardContextual"/>
              </w:rPr>
              <w:tab/>
            </w:r>
            <w:r w:rsidR="00C42BBC" w:rsidRPr="004953FD">
              <w:rPr>
                <w:rStyle w:val="Hyperlink"/>
                <w:noProof/>
              </w:rPr>
              <w:t>Politikat dhe masat aktuale për energji dhe klimë në lidhje me pesë dimensionet e bashkimit energjetik</w:t>
            </w:r>
            <w:r w:rsidR="00C42BBC">
              <w:rPr>
                <w:noProof/>
                <w:webHidden/>
              </w:rPr>
              <w:tab/>
            </w:r>
            <w:r w:rsidR="00C42BBC">
              <w:rPr>
                <w:noProof/>
                <w:webHidden/>
              </w:rPr>
              <w:fldChar w:fldCharType="begin"/>
            </w:r>
            <w:r w:rsidR="00C42BBC">
              <w:rPr>
                <w:noProof/>
                <w:webHidden/>
              </w:rPr>
              <w:instrText xml:space="preserve"> PAGEREF _Toc182302250 \h </w:instrText>
            </w:r>
            <w:r w:rsidR="00C42BBC">
              <w:rPr>
                <w:noProof/>
                <w:webHidden/>
              </w:rPr>
            </w:r>
            <w:r w:rsidR="00C42BBC">
              <w:rPr>
                <w:noProof/>
                <w:webHidden/>
              </w:rPr>
              <w:fldChar w:fldCharType="separate"/>
            </w:r>
            <w:r w:rsidR="00C42BBC">
              <w:rPr>
                <w:noProof/>
                <w:webHidden/>
              </w:rPr>
              <w:t>23</w:t>
            </w:r>
            <w:r w:rsidR="00C42BBC">
              <w:rPr>
                <w:noProof/>
                <w:webHidden/>
              </w:rPr>
              <w:fldChar w:fldCharType="end"/>
            </w:r>
          </w:hyperlink>
        </w:p>
        <w:p w14:paraId="5BEC1CA8" w14:textId="713CA357" w:rsidR="00C42BBC" w:rsidRDefault="00062E07">
          <w:pPr>
            <w:pStyle w:val="TOC3"/>
            <w:rPr>
              <w:rFonts w:asciiTheme="minorHAnsi" w:hAnsiTheme="minorHAnsi"/>
              <w:noProof/>
              <w:color w:val="auto"/>
              <w:kern w:val="2"/>
              <w:sz w:val="24"/>
              <w:szCs w:val="24"/>
              <w14:ligatures w14:val="standardContextual"/>
            </w:rPr>
          </w:pPr>
          <w:hyperlink w:anchor="_Toc182302251" w:history="1">
            <w:r w:rsidR="00C42BBC" w:rsidRPr="004953FD">
              <w:rPr>
                <w:rStyle w:val="Hyperlink"/>
                <w:rFonts w:cs="Times New Roman"/>
                <w:noProof/>
              </w:rPr>
              <w:t>III.</w:t>
            </w:r>
            <w:r w:rsidR="00C42BBC">
              <w:rPr>
                <w:rFonts w:asciiTheme="minorHAnsi" w:hAnsiTheme="minorHAnsi"/>
                <w:noProof/>
                <w:color w:val="auto"/>
                <w:kern w:val="2"/>
                <w:sz w:val="24"/>
                <w:szCs w:val="24"/>
                <w14:ligatures w14:val="standardContextual"/>
              </w:rPr>
              <w:tab/>
            </w:r>
            <w:r w:rsidR="00C42BBC" w:rsidRPr="004953FD">
              <w:rPr>
                <w:rStyle w:val="Hyperlink"/>
                <w:noProof/>
              </w:rPr>
              <w:t>Çështjet kryesore me rëndësi ndërkufitare</w:t>
            </w:r>
            <w:r w:rsidR="00C42BBC">
              <w:rPr>
                <w:noProof/>
                <w:webHidden/>
              </w:rPr>
              <w:tab/>
            </w:r>
            <w:r w:rsidR="00C42BBC">
              <w:rPr>
                <w:noProof/>
                <w:webHidden/>
              </w:rPr>
              <w:fldChar w:fldCharType="begin"/>
            </w:r>
            <w:r w:rsidR="00C42BBC">
              <w:rPr>
                <w:noProof/>
                <w:webHidden/>
              </w:rPr>
              <w:instrText xml:space="preserve"> PAGEREF _Toc182302251 \h </w:instrText>
            </w:r>
            <w:r w:rsidR="00C42BBC">
              <w:rPr>
                <w:noProof/>
                <w:webHidden/>
              </w:rPr>
            </w:r>
            <w:r w:rsidR="00C42BBC">
              <w:rPr>
                <w:noProof/>
                <w:webHidden/>
              </w:rPr>
              <w:fldChar w:fldCharType="separate"/>
            </w:r>
            <w:r w:rsidR="00C42BBC">
              <w:rPr>
                <w:noProof/>
                <w:webHidden/>
              </w:rPr>
              <w:t>28</w:t>
            </w:r>
            <w:r w:rsidR="00C42BBC">
              <w:rPr>
                <w:noProof/>
                <w:webHidden/>
              </w:rPr>
              <w:fldChar w:fldCharType="end"/>
            </w:r>
          </w:hyperlink>
        </w:p>
        <w:p w14:paraId="0C142F0D" w14:textId="52FD3994" w:rsidR="00C42BBC" w:rsidRDefault="00062E07">
          <w:pPr>
            <w:pStyle w:val="TOC3"/>
            <w:rPr>
              <w:rFonts w:asciiTheme="minorHAnsi" w:hAnsiTheme="minorHAnsi"/>
              <w:noProof/>
              <w:color w:val="auto"/>
              <w:kern w:val="2"/>
              <w:sz w:val="24"/>
              <w:szCs w:val="24"/>
              <w14:ligatures w14:val="standardContextual"/>
            </w:rPr>
          </w:pPr>
          <w:hyperlink w:anchor="_Toc182302252" w:history="1">
            <w:r w:rsidR="00C42BBC" w:rsidRPr="004953FD">
              <w:rPr>
                <w:rStyle w:val="Hyperlink"/>
                <w:rFonts w:cs="Times New Roman"/>
                <w:noProof/>
              </w:rPr>
              <w:t>IV.</w:t>
            </w:r>
            <w:r w:rsidR="00C42BBC">
              <w:rPr>
                <w:rFonts w:asciiTheme="minorHAnsi" w:hAnsiTheme="minorHAnsi"/>
                <w:noProof/>
                <w:color w:val="auto"/>
                <w:kern w:val="2"/>
                <w:sz w:val="24"/>
                <w:szCs w:val="24"/>
                <w14:ligatures w14:val="standardContextual"/>
              </w:rPr>
              <w:tab/>
            </w:r>
            <w:r w:rsidR="00C42BBC" w:rsidRPr="004953FD">
              <w:rPr>
                <w:rStyle w:val="Hyperlink"/>
                <w:noProof/>
              </w:rPr>
              <w:t>Struktura administrative e zbatimit të politikave kombëtare për energji dhe klimë</w:t>
            </w:r>
            <w:r w:rsidR="00C42BBC">
              <w:rPr>
                <w:noProof/>
                <w:webHidden/>
              </w:rPr>
              <w:tab/>
            </w:r>
            <w:r w:rsidR="00C42BBC">
              <w:rPr>
                <w:noProof/>
                <w:webHidden/>
              </w:rPr>
              <w:fldChar w:fldCharType="begin"/>
            </w:r>
            <w:r w:rsidR="00C42BBC">
              <w:rPr>
                <w:noProof/>
                <w:webHidden/>
              </w:rPr>
              <w:instrText xml:space="preserve"> PAGEREF _Toc182302252 \h </w:instrText>
            </w:r>
            <w:r w:rsidR="00C42BBC">
              <w:rPr>
                <w:noProof/>
                <w:webHidden/>
              </w:rPr>
            </w:r>
            <w:r w:rsidR="00C42BBC">
              <w:rPr>
                <w:noProof/>
                <w:webHidden/>
              </w:rPr>
              <w:fldChar w:fldCharType="separate"/>
            </w:r>
            <w:r w:rsidR="00C42BBC">
              <w:rPr>
                <w:noProof/>
                <w:webHidden/>
              </w:rPr>
              <w:t>30</w:t>
            </w:r>
            <w:r w:rsidR="00C42BBC">
              <w:rPr>
                <w:noProof/>
                <w:webHidden/>
              </w:rPr>
              <w:fldChar w:fldCharType="end"/>
            </w:r>
          </w:hyperlink>
        </w:p>
        <w:p w14:paraId="7D5DCD47" w14:textId="3E6D391C" w:rsidR="00C42BBC" w:rsidRDefault="00062E07">
          <w:pPr>
            <w:pStyle w:val="TOC2"/>
            <w:tabs>
              <w:tab w:val="left" w:pos="880"/>
              <w:tab w:val="right" w:leader="dot" w:pos="9564"/>
            </w:tabs>
            <w:rPr>
              <w:rFonts w:asciiTheme="minorHAnsi" w:hAnsiTheme="minorHAnsi"/>
              <w:noProof/>
              <w:color w:val="auto"/>
              <w:kern w:val="2"/>
              <w:sz w:val="24"/>
              <w:szCs w:val="24"/>
              <w14:ligatures w14:val="standardContextual"/>
            </w:rPr>
          </w:pPr>
          <w:hyperlink w:anchor="_Toc182302253" w:history="1">
            <w:r w:rsidR="00C42BBC" w:rsidRPr="004953FD">
              <w:rPr>
                <w:rStyle w:val="Hyperlink"/>
                <w:noProof/>
              </w:rPr>
              <w:t>1.3</w:t>
            </w:r>
            <w:r w:rsidR="00C42BBC">
              <w:rPr>
                <w:rFonts w:asciiTheme="minorHAnsi" w:hAnsiTheme="minorHAnsi"/>
                <w:noProof/>
                <w:color w:val="auto"/>
                <w:kern w:val="2"/>
                <w:sz w:val="24"/>
                <w:szCs w:val="24"/>
                <w14:ligatures w14:val="standardContextual"/>
              </w:rPr>
              <w:tab/>
            </w:r>
            <w:r w:rsidR="00C42BBC" w:rsidRPr="004953FD">
              <w:rPr>
                <w:rStyle w:val="Hyperlink"/>
                <w:noProof/>
              </w:rPr>
              <w:t>Konsultimet dhe përfshirja e subjekteve kombëtare dhe të Komunitetit të Energjisë dhe rezultati i tyre</w:t>
            </w:r>
            <w:r w:rsidR="00C42BBC">
              <w:rPr>
                <w:noProof/>
                <w:webHidden/>
              </w:rPr>
              <w:tab/>
            </w:r>
            <w:r w:rsidR="00C42BBC">
              <w:rPr>
                <w:noProof/>
                <w:webHidden/>
              </w:rPr>
              <w:fldChar w:fldCharType="begin"/>
            </w:r>
            <w:r w:rsidR="00C42BBC">
              <w:rPr>
                <w:noProof/>
                <w:webHidden/>
              </w:rPr>
              <w:instrText xml:space="preserve"> PAGEREF _Toc182302253 \h </w:instrText>
            </w:r>
            <w:r w:rsidR="00C42BBC">
              <w:rPr>
                <w:noProof/>
                <w:webHidden/>
              </w:rPr>
            </w:r>
            <w:r w:rsidR="00C42BBC">
              <w:rPr>
                <w:noProof/>
                <w:webHidden/>
              </w:rPr>
              <w:fldChar w:fldCharType="separate"/>
            </w:r>
            <w:r w:rsidR="00C42BBC">
              <w:rPr>
                <w:noProof/>
                <w:webHidden/>
              </w:rPr>
              <w:t>31</w:t>
            </w:r>
            <w:r w:rsidR="00C42BBC">
              <w:rPr>
                <w:noProof/>
                <w:webHidden/>
              </w:rPr>
              <w:fldChar w:fldCharType="end"/>
            </w:r>
          </w:hyperlink>
        </w:p>
        <w:p w14:paraId="1299088B" w14:textId="704E2FE8" w:rsidR="00C42BBC" w:rsidRDefault="00062E07">
          <w:pPr>
            <w:pStyle w:val="TOC3"/>
            <w:rPr>
              <w:rFonts w:asciiTheme="minorHAnsi" w:hAnsiTheme="minorHAnsi"/>
              <w:noProof/>
              <w:color w:val="auto"/>
              <w:kern w:val="2"/>
              <w:sz w:val="24"/>
              <w:szCs w:val="24"/>
              <w14:ligatures w14:val="standardContextual"/>
            </w:rPr>
          </w:pPr>
          <w:hyperlink w:anchor="_Toc182302254" w:history="1">
            <w:r w:rsidR="00C42BBC" w:rsidRPr="004953FD">
              <w:rPr>
                <w:rStyle w:val="Hyperlink"/>
                <w:rFonts w:cs="Times New Roman"/>
                <w:noProof/>
              </w:rPr>
              <w:t>I.</w:t>
            </w:r>
            <w:r w:rsidR="00C42BBC">
              <w:rPr>
                <w:rFonts w:asciiTheme="minorHAnsi" w:hAnsiTheme="minorHAnsi"/>
                <w:noProof/>
                <w:color w:val="auto"/>
                <w:kern w:val="2"/>
                <w:sz w:val="24"/>
                <w:szCs w:val="24"/>
                <w14:ligatures w14:val="standardContextual"/>
              </w:rPr>
              <w:tab/>
            </w:r>
            <w:r w:rsidR="00C42BBC" w:rsidRPr="004953FD">
              <w:rPr>
                <w:rStyle w:val="Hyperlink"/>
                <w:noProof/>
              </w:rPr>
              <w:t>Përfshirja e parlamentit kombëtar</w:t>
            </w:r>
            <w:r w:rsidR="00C42BBC">
              <w:rPr>
                <w:noProof/>
                <w:webHidden/>
              </w:rPr>
              <w:tab/>
            </w:r>
            <w:r w:rsidR="00C42BBC">
              <w:rPr>
                <w:noProof/>
                <w:webHidden/>
              </w:rPr>
              <w:fldChar w:fldCharType="begin"/>
            </w:r>
            <w:r w:rsidR="00C42BBC">
              <w:rPr>
                <w:noProof/>
                <w:webHidden/>
              </w:rPr>
              <w:instrText xml:space="preserve"> PAGEREF _Toc182302254 \h </w:instrText>
            </w:r>
            <w:r w:rsidR="00C42BBC">
              <w:rPr>
                <w:noProof/>
                <w:webHidden/>
              </w:rPr>
            </w:r>
            <w:r w:rsidR="00C42BBC">
              <w:rPr>
                <w:noProof/>
                <w:webHidden/>
              </w:rPr>
              <w:fldChar w:fldCharType="separate"/>
            </w:r>
            <w:r w:rsidR="00C42BBC">
              <w:rPr>
                <w:noProof/>
                <w:webHidden/>
              </w:rPr>
              <w:t>31</w:t>
            </w:r>
            <w:r w:rsidR="00C42BBC">
              <w:rPr>
                <w:noProof/>
                <w:webHidden/>
              </w:rPr>
              <w:fldChar w:fldCharType="end"/>
            </w:r>
          </w:hyperlink>
        </w:p>
        <w:p w14:paraId="13E977C4" w14:textId="6687CF0F" w:rsidR="00C42BBC" w:rsidRDefault="00062E07">
          <w:pPr>
            <w:pStyle w:val="TOC3"/>
            <w:rPr>
              <w:rFonts w:asciiTheme="minorHAnsi" w:hAnsiTheme="minorHAnsi"/>
              <w:noProof/>
              <w:color w:val="auto"/>
              <w:kern w:val="2"/>
              <w:sz w:val="24"/>
              <w:szCs w:val="24"/>
              <w14:ligatures w14:val="standardContextual"/>
            </w:rPr>
          </w:pPr>
          <w:hyperlink w:anchor="_Toc182302255" w:history="1">
            <w:r w:rsidR="00C42BBC" w:rsidRPr="004953FD">
              <w:rPr>
                <w:rStyle w:val="Hyperlink"/>
                <w:rFonts w:cs="Times New Roman"/>
                <w:noProof/>
              </w:rPr>
              <w:t>II.</w:t>
            </w:r>
            <w:r w:rsidR="00C42BBC">
              <w:rPr>
                <w:rFonts w:asciiTheme="minorHAnsi" w:hAnsiTheme="minorHAnsi"/>
                <w:noProof/>
                <w:color w:val="auto"/>
                <w:kern w:val="2"/>
                <w:sz w:val="24"/>
                <w:szCs w:val="24"/>
                <w14:ligatures w14:val="standardContextual"/>
              </w:rPr>
              <w:tab/>
            </w:r>
            <w:r w:rsidR="00C42BBC" w:rsidRPr="004953FD">
              <w:rPr>
                <w:rStyle w:val="Hyperlink"/>
                <w:noProof/>
              </w:rPr>
              <w:t>Përfshirja e autoriteteve lokale dhe rajonale</w:t>
            </w:r>
            <w:r w:rsidR="00C42BBC">
              <w:rPr>
                <w:noProof/>
                <w:webHidden/>
              </w:rPr>
              <w:tab/>
            </w:r>
            <w:r w:rsidR="00C42BBC">
              <w:rPr>
                <w:noProof/>
                <w:webHidden/>
              </w:rPr>
              <w:fldChar w:fldCharType="begin"/>
            </w:r>
            <w:r w:rsidR="00C42BBC">
              <w:rPr>
                <w:noProof/>
                <w:webHidden/>
              </w:rPr>
              <w:instrText xml:space="preserve"> PAGEREF _Toc182302255 \h </w:instrText>
            </w:r>
            <w:r w:rsidR="00C42BBC">
              <w:rPr>
                <w:noProof/>
                <w:webHidden/>
              </w:rPr>
            </w:r>
            <w:r w:rsidR="00C42BBC">
              <w:rPr>
                <w:noProof/>
                <w:webHidden/>
              </w:rPr>
              <w:fldChar w:fldCharType="separate"/>
            </w:r>
            <w:r w:rsidR="00C42BBC">
              <w:rPr>
                <w:noProof/>
                <w:webHidden/>
              </w:rPr>
              <w:t>32</w:t>
            </w:r>
            <w:r w:rsidR="00C42BBC">
              <w:rPr>
                <w:noProof/>
                <w:webHidden/>
              </w:rPr>
              <w:fldChar w:fldCharType="end"/>
            </w:r>
          </w:hyperlink>
        </w:p>
        <w:p w14:paraId="7EA467AD" w14:textId="58A67853" w:rsidR="00C42BBC" w:rsidRDefault="00062E07">
          <w:pPr>
            <w:pStyle w:val="TOC3"/>
            <w:rPr>
              <w:rFonts w:asciiTheme="minorHAnsi" w:hAnsiTheme="minorHAnsi"/>
              <w:noProof/>
              <w:color w:val="auto"/>
              <w:kern w:val="2"/>
              <w:sz w:val="24"/>
              <w:szCs w:val="24"/>
              <w14:ligatures w14:val="standardContextual"/>
            </w:rPr>
          </w:pPr>
          <w:hyperlink w:anchor="_Toc182302256" w:history="1">
            <w:r w:rsidR="00C42BBC" w:rsidRPr="004953FD">
              <w:rPr>
                <w:rStyle w:val="Hyperlink"/>
                <w:rFonts w:cs="Times New Roman"/>
                <w:noProof/>
              </w:rPr>
              <w:t>III.</w:t>
            </w:r>
            <w:r w:rsidR="00C42BBC">
              <w:rPr>
                <w:rFonts w:asciiTheme="minorHAnsi" w:hAnsiTheme="minorHAnsi"/>
                <w:noProof/>
                <w:color w:val="auto"/>
                <w:kern w:val="2"/>
                <w:sz w:val="24"/>
                <w:szCs w:val="24"/>
                <w14:ligatures w14:val="standardContextual"/>
              </w:rPr>
              <w:tab/>
            </w:r>
            <w:r w:rsidR="00C42BBC" w:rsidRPr="004953FD">
              <w:rPr>
                <w:rStyle w:val="Hyperlink"/>
                <w:noProof/>
              </w:rPr>
              <w:t>Konsultimet me palët e interesit, duke përfshirë partnerët socialë, dhe angazhimin e shoqërisë civile dhe publikut të gjerë</w:t>
            </w:r>
            <w:r w:rsidR="00C42BBC">
              <w:rPr>
                <w:noProof/>
                <w:webHidden/>
              </w:rPr>
              <w:tab/>
            </w:r>
            <w:r w:rsidR="00C42BBC">
              <w:rPr>
                <w:noProof/>
                <w:webHidden/>
              </w:rPr>
              <w:fldChar w:fldCharType="begin"/>
            </w:r>
            <w:r w:rsidR="00C42BBC">
              <w:rPr>
                <w:noProof/>
                <w:webHidden/>
              </w:rPr>
              <w:instrText xml:space="preserve"> PAGEREF _Toc182302256 \h </w:instrText>
            </w:r>
            <w:r w:rsidR="00C42BBC">
              <w:rPr>
                <w:noProof/>
                <w:webHidden/>
              </w:rPr>
            </w:r>
            <w:r w:rsidR="00C42BBC">
              <w:rPr>
                <w:noProof/>
                <w:webHidden/>
              </w:rPr>
              <w:fldChar w:fldCharType="separate"/>
            </w:r>
            <w:r w:rsidR="00C42BBC">
              <w:rPr>
                <w:noProof/>
                <w:webHidden/>
              </w:rPr>
              <w:t>32</w:t>
            </w:r>
            <w:r w:rsidR="00C42BBC">
              <w:rPr>
                <w:noProof/>
                <w:webHidden/>
              </w:rPr>
              <w:fldChar w:fldCharType="end"/>
            </w:r>
          </w:hyperlink>
        </w:p>
        <w:p w14:paraId="042A5103" w14:textId="1FE59E12" w:rsidR="00C42BBC" w:rsidRDefault="00062E07">
          <w:pPr>
            <w:pStyle w:val="TOC3"/>
            <w:rPr>
              <w:rFonts w:asciiTheme="minorHAnsi" w:hAnsiTheme="minorHAnsi"/>
              <w:noProof/>
              <w:color w:val="auto"/>
              <w:kern w:val="2"/>
              <w:sz w:val="24"/>
              <w:szCs w:val="24"/>
              <w14:ligatures w14:val="standardContextual"/>
            </w:rPr>
          </w:pPr>
          <w:hyperlink w:anchor="_Toc182302257" w:history="1">
            <w:r w:rsidR="00C42BBC" w:rsidRPr="004953FD">
              <w:rPr>
                <w:rStyle w:val="Hyperlink"/>
                <w:rFonts w:cs="Times New Roman"/>
                <w:noProof/>
              </w:rPr>
              <w:t>IV.</w:t>
            </w:r>
            <w:r w:rsidR="00C42BBC">
              <w:rPr>
                <w:rFonts w:asciiTheme="minorHAnsi" w:hAnsiTheme="minorHAnsi"/>
                <w:noProof/>
                <w:color w:val="auto"/>
                <w:kern w:val="2"/>
                <w:sz w:val="24"/>
                <w:szCs w:val="24"/>
                <w14:ligatures w14:val="standardContextual"/>
              </w:rPr>
              <w:tab/>
            </w:r>
            <w:r w:rsidR="00C42BBC" w:rsidRPr="004953FD">
              <w:rPr>
                <w:rStyle w:val="Hyperlink"/>
                <w:noProof/>
              </w:rPr>
              <w:t>Konsultimet me palët tjera kontraktuese dhe shtetet anëtare të Bashkimit Evropian</w:t>
            </w:r>
            <w:r w:rsidR="00C42BBC">
              <w:rPr>
                <w:noProof/>
                <w:webHidden/>
              </w:rPr>
              <w:tab/>
            </w:r>
            <w:r w:rsidR="00C42BBC">
              <w:rPr>
                <w:noProof/>
                <w:webHidden/>
              </w:rPr>
              <w:fldChar w:fldCharType="begin"/>
            </w:r>
            <w:r w:rsidR="00C42BBC">
              <w:rPr>
                <w:noProof/>
                <w:webHidden/>
              </w:rPr>
              <w:instrText xml:space="preserve"> PAGEREF _Toc182302257 \h </w:instrText>
            </w:r>
            <w:r w:rsidR="00C42BBC">
              <w:rPr>
                <w:noProof/>
                <w:webHidden/>
              </w:rPr>
            </w:r>
            <w:r w:rsidR="00C42BBC">
              <w:rPr>
                <w:noProof/>
                <w:webHidden/>
              </w:rPr>
              <w:fldChar w:fldCharType="separate"/>
            </w:r>
            <w:r w:rsidR="00C42BBC">
              <w:rPr>
                <w:noProof/>
                <w:webHidden/>
              </w:rPr>
              <w:t>32</w:t>
            </w:r>
            <w:r w:rsidR="00C42BBC">
              <w:rPr>
                <w:noProof/>
                <w:webHidden/>
              </w:rPr>
              <w:fldChar w:fldCharType="end"/>
            </w:r>
          </w:hyperlink>
        </w:p>
        <w:p w14:paraId="667288A0" w14:textId="15B5E0D0" w:rsidR="00C42BBC" w:rsidRDefault="00062E07">
          <w:pPr>
            <w:pStyle w:val="TOC3"/>
            <w:rPr>
              <w:rFonts w:asciiTheme="minorHAnsi" w:hAnsiTheme="minorHAnsi"/>
              <w:noProof/>
              <w:color w:val="auto"/>
              <w:kern w:val="2"/>
              <w:sz w:val="24"/>
              <w:szCs w:val="24"/>
              <w14:ligatures w14:val="standardContextual"/>
            </w:rPr>
          </w:pPr>
          <w:hyperlink w:anchor="_Toc182302258" w:history="1">
            <w:r w:rsidR="00C42BBC" w:rsidRPr="004953FD">
              <w:rPr>
                <w:rStyle w:val="Hyperlink"/>
                <w:rFonts w:cs="Times New Roman"/>
                <w:noProof/>
              </w:rPr>
              <w:t>V.</w:t>
            </w:r>
            <w:r w:rsidR="00C42BBC">
              <w:rPr>
                <w:rFonts w:asciiTheme="minorHAnsi" w:hAnsiTheme="minorHAnsi"/>
                <w:noProof/>
                <w:color w:val="auto"/>
                <w:kern w:val="2"/>
                <w:sz w:val="24"/>
                <w:szCs w:val="24"/>
                <w14:ligatures w14:val="standardContextual"/>
              </w:rPr>
              <w:tab/>
            </w:r>
            <w:r w:rsidR="00C42BBC" w:rsidRPr="004953FD">
              <w:rPr>
                <w:rStyle w:val="Hyperlink"/>
                <w:noProof/>
              </w:rPr>
              <w:t>Procesi i përsëritur me Sekretariatin e Komunitetit të Energjisë</w:t>
            </w:r>
            <w:r w:rsidR="00C42BBC">
              <w:rPr>
                <w:noProof/>
                <w:webHidden/>
              </w:rPr>
              <w:tab/>
            </w:r>
            <w:r w:rsidR="00C42BBC">
              <w:rPr>
                <w:noProof/>
                <w:webHidden/>
              </w:rPr>
              <w:fldChar w:fldCharType="begin"/>
            </w:r>
            <w:r w:rsidR="00C42BBC">
              <w:rPr>
                <w:noProof/>
                <w:webHidden/>
              </w:rPr>
              <w:instrText xml:space="preserve"> PAGEREF _Toc182302258 \h </w:instrText>
            </w:r>
            <w:r w:rsidR="00C42BBC">
              <w:rPr>
                <w:noProof/>
                <w:webHidden/>
              </w:rPr>
            </w:r>
            <w:r w:rsidR="00C42BBC">
              <w:rPr>
                <w:noProof/>
                <w:webHidden/>
              </w:rPr>
              <w:fldChar w:fldCharType="separate"/>
            </w:r>
            <w:r w:rsidR="00C42BBC">
              <w:rPr>
                <w:noProof/>
                <w:webHidden/>
              </w:rPr>
              <w:t>32</w:t>
            </w:r>
            <w:r w:rsidR="00C42BBC">
              <w:rPr>
                <w:noProof/>
                <w:webHidden/>
              </w:rPr>
              <w:fldChar w:fldCharType="end"/>
            </w:r>
          </w:hyperlink>
        </w:p>
        <w:p w14:paraId="52F0463A" w14:textId="68ACECA8" w:rsidR="00C42BBC" w:rsidRDefault="00062E07">
          <w:pPr>
            <w:pStyle w:val="TOC2"/>
            <w:tabs>
              <w:tab w:val="left" w:pos="880"/>
              <w:tab w:val="right" w:leader="dot" w:pos="9564"/>
            </w:tabs>
            <w:rPr>
              <w:rFonts w:asciiTheme="minorHAnsi" w:hAnsiTheme="minorHAnsi"/>
              <w:noProof/>
              <w:color w:val="auto"/>
              <w:kern w:val="2"/>
              <w:sz w:val="24"/>
              <w:szCs w:val="24"/>
              <w14:ligatures w14:val="standardContextual"/>
            </w:rPr>
          </w:pPr>
          <w:hyperlink w:anchor="_Toc182302259" w:history="1">
            <w:r w:rsidR="00C42BBC" w:rsidRPr="004953FD">
              <w:rPr>
                <w:rStyle w:val="Hyperlink"/>
                <w:noProof/>
              </w:rPr>
              <w:t>1.4</w:t>
            </w:r>
            <w:r w:rsidR="00C42BBC">
              <w:rPr>
                <w:rFonts w:asciiTheme="minorHAnsi" w:hAnsiTheme="minorHAnsi"/>
                <w:noProof/>
                <w:color w:val="auto"/>
                <w:kern w:val="2"/>
                <w:sz w:val="24"/>
                <w:szCs w:val="24"/>
                <w14:ligatures w14:val="standardContextual"/>
              </w:rPr>
              <w:tab/>
            </w:r>
            <w:r w:rsidR="00C42BBC" w:rsidRPr="004953FD">
              <w:rPr>
                <w:rStyle w:val="Hyperlink"/>
                <w:noProof/>
              </w:rPr>
              <w:t>Bashkëpunimi rajonal në përgatitjen e planit</w:t>
            </w:r>
            <w:r w:rsidR="00C42BBC">
              <w:rPr>
                <w:noProof/>
                <w:webHidden/>
              </w:rPr>
              <w:tab/>
            </w:r>
            <w:r w:rsidR="00C42BBC">
              <w:rPr>
                <w:noProof/>
                <w:webHidden/>
              </w:rPr>
              <w:fldChar w:fldCharType="begin"/>
            </w:r>
            <w:r w:rsidR="00C42BBC">
              <w:rPr>
                <w:noProof/>
                <w:webHidden/>
              </w:rPr>
              <w:instrText xml:space="preserve"> PAGEREF _Toc182302259 \h </w:instrText>
            </w:r>
            <w:r w:rsidR="00C42BBC">
              <w:rPr>
                <w:noProof/>
                <w:webHidden/>
              </w:rPr>
            </w:r>
            <w:r w:rsidR="00C42BBC">
              <w:rPr>
                <w:noProof/>
                <w:webHidden/>
              </w:rPr>
              <w:fldChar w:fldCharType="separate"/>
            </w:r>
            <w:r w:rsidR="00C42BBC">
              <w:rPr>
                <w:noProof/>
                <w:webHidden/>
              </w:rPr>
              <w:t>33</w:t>
            </w:r>
            <w:r w:rsidR="00C42BBC">
              <w:rPr>
                <w:noProof/>
                <w:webHidden/>
              </w:rPr>
              <w:fldChar w:fldCharType="end"/>
            </w:r>
          </w:hyperlink>
        </w:p>
        <w:p w14:paraId="66C312AF" w14:textId="2D8B37F0" w:rsidR="00C42BBC" w:rsidRDefault="00062E07">
          <w:pPr>
            <w:pStyle w:val="TOC3"/>
            <w:rPr>
              <w:rFonts w:asciiTheme="minorHAnsi" w:hAnsiTheme="minorHAnsi"/>
              <w:noProof/>
              <w:color w:val="auto"/>
              <w:kern w:val="2"/>
              <w:sz w:val="24"/>
              <w:szCs w:val="24"/>
              <w14:ligatures w14:val="standardContextual"/>
            </w:rPr>
          </w:pPr>
          <w:hyperlink w:anchor="_Toc182302260" w:history="1">
            <w:r w:rsidR="00C42BBC" w:rsidRPr="004953FD">
              <w:rPr>
                <w:rStyle w:val="Hyperlink"/>
                <w:rFonts w:cs="Times New Roman"/>
                <w:noProof/>
              </w:rPr>
              <w:t>I.</w:t>
            </w:r>
            <w:r w:rsidR="00C42BBC">
              <w:rPr>
                <w:rFonts w:asciiTheme="minorHAnsi" w:hAnsiTheme="minorHAnsi"/>
                <w:noProof/>
                <w:color w:val="auto"/>
                <w:kern w:val="2"/>
                <w:sz w:val="24"/>
                <w:szCs w:val="24"/>
                <w14:ligatures w14:val="standardContextual"/>
              </w:rPr>
              <w:tab/>
            </w:r>
            <w:r w:rsidR="00C42BBC" w:rsidRPr="004953FD">
              <w:rPr>
                <w:rStyle w:val="Hyperlink"/>
                <w:noProof/>
              </w:rPr>
              <w:t>Elementet që i nënshtrohen planifikimit të përbashkët ose të koordinuar me palët e tjera kontraktuese dhe shtetet anëtare të Bashkimit Evropian</w:t>
            </w:r>
            <w:r w:rsidR="00C42BBC">
              <w:rPr>
                <w:noProof/>
                <w:webHidden/>
              </w:rPr>
              <w:tab/>
            </w:r>
            <w:r w:rsidR="00C42BBC">
              <w:rPr>
                <w:noProof/>
                <w:webHidden/>
              </w:rPr>
              <w:fldChar w:fldCharType="begin"/>
            </w:r>
            <w:r w:rsidR="00C42BBC">
              <w:rPr>
                <w:noProof/>
                <w:webHidden/>
              </w:rPr>
              <w:instrText xml:space="preserve"> PAGEREF _Toc182302260 \h </w:instrText>
            </w:r>
            <w:r w:rsidR="00C42BBC">
              <w:rPr>
                <w:noProof/>
                <w:webHidden/>
              </w:rPr>
            </w:r>
            <w:r w:rsidR="00C42BBC">
              <w:rPr>
                <w:noProof/>
                <w:webHidden/>
              </w:rPr>
              <w:fldChar w:fldCharType="separate"/>
            </w:r>
            <w:r w:rsidR="00C42BBC">
              <w:rPr>
                <w:noProof/>
                <w:webHidden/>
              </w:rPr>
              <w:t>33</w:t>
            </w:r>
            <w:r w:rsidR="00C42BBC">
              <w:rPr>
                <w:noProof/>
                <w:webHidden/>
              </w:rPr>
              <w:fldChar w:fldCharType="end"/>
            </w:r>
          </w:hyperlink>
        </w:p>
        <w:p w14:paraId="64B0A7D4" w14:textId="0E312727" w:rsidR="00C42BBC" w:rsidRDefault="00062E07">
          <w:pPr>
            <w:pStyle w:val="TOC3"/>
            <w:rPr>
              <w:rFonts w:asciiTheme="minorHAnsi" w:hAnsiTheme="minorHAnsi"/>
              <w:noProof/>
              <w:color w:val="auto"/>
              <w:kern w:val="2"/>
              <w:sz w:val="24"/>
              <w:szCs w:val="24"/>
              <w14:ligatures w14:val="standardContextual"/>
            </w:rPr>
          </w:pPr>
          <w:hyperlink w:anchor="_Toc182302261" w:history="1">
            <w:r w:rsidR="00C42BBC" w:rsidRPr="004953FD">
              <w:rPr>
                <w:rStyle w:val="Hyperlink"/>
                <w:rFonts w:cs="Times New Roman"/>
                <w:noProof/>
              </w:rPr>
              <w:t>II.</w:t>
            </w:r>
            <w:r w:rsidR="00C42BBC">
              <w:rPr>
                <w:rFonts w:asciiTheme="minorHAnsi" w:hAnsiTheme="minorHAnsi"/>
                <w:noProof/>
                <w:color w:val="auto"/>
                <w:kern w:val="2"/>
                <w:sz w:val="24"/>
                <w:szCs w:val="24"/>
                <w14:ligatures w14:val="standardContextual"/>
              </w:rPr>
              <w:tab/>
            </w:r>
            <w:r w:rsidR="00C42BBC" w:rsidRPr="004953FD">
              <w:rPr>
                <w:rStyle w:val="Hyperlink"/>
                <w:noProof/>
              </w:rPr>
              <w:t>Shpjegimi se si bashkëpunimi rajonal konsiderohet në plan</w:t>
            </w:r>
            <w:r w:rsidR="00C42BBC">
              <w:rPr>
                <w:noProof/>
                <w:webHidden/>
              </w:rPr>
              <w:tab/>
            </w:r>
            <w:r w:rsidR="00C42BBC">
              <w:rPr>
                <w:noProof/>
                <w:webHidden/>
              </w:rPr>
              <w:fldChar w:fldCharType="begin"/>
            </w:r>
            <w:r w:rsidR="00C42BBC">
              <w:rPr>
                <w:noProof/>
                <w:webHidden/>
              </w:rPr>
              <w:instrText xml:space="preserve"> PAGEREF _Toc182302261 \h </w:instrText>
            </w:r>
            <w:r w:rsidR="00C42BBC">
              <w:rPr>
                <w:noProof/>
                <w:webHidden/>
              </w:rPr>
            </w:r>
            <w:r w:rsidR="00C42BBC">
              <w:rPr>
                <w:noProof/>
                <w:webHidden/>
              </w:rPr>
              <w:fldChar w:fldCharType="separate"/>
            </w:r>
            <w:r w:rsidR="00C42BBC">
              <w:rPr>
                <w:noProof/>
                <w:webHidden/>
              </w:rPr>
              <w:t>34</w:t>
            </w:r>
            <w:r w:rsidR="00C42BBC">
              <w:rPr>
                <w:noProof/>
                <w:webHidden/>
              </w:rPr>
              <w:fldChar w:fldCharType="end"/>
            </w:r>
          </w:hyperlink>
        </w:p>
        <w:p w14:paraId="68234B34" w14:textId="4888C55F" w:rsidR="00C42BBC" w:rsidRDefault="00062E07">
          <w:pPr>
            <w:pStyle w:val="TOC1"/>
            <w:tabs>
              <w:tab w:val="left" w:pos="400"/>
            </w:tabs>
            <w:rPr>
              <w:rFonts w:asciiTheme="minorHAnsi" w:hAnsiTheme="minorHAnsi"/>
              <w:noProof/>
              <w:color w:val="auto"/>
              <w:kern w:val="2"/>
              <w:sz w:val="24"/>
              <w:szCs w:val="24"/>
              <w14:ligatures w14:val="standardContextual"/>
            </w:rPr>
          </w:pPr>
          <w:hyperlink w:anchor="_Toc182302262" w:history="1">
            <w:r w:rsidR="00C42BBC" w:rsidRPr="004953FD">
              <w:rPr>
                <w:rStyle w:val="Hyperlink"/>
                <w:noProof/>
              </w:rPr>
              <w:t>2</w:t>
            </w:r>
            <w:r w:rsidR="00C42BBC">
              <w:rPr>
                <w:rFonts w:asciiTheme="minorHAnsi" w:hAnsiTheme="minorHAnsi"/>
                <w:noProof/>
                <w:color w:val="auto"/>
                <w:kern w:val="2"/>
                <w:sz w:val="24"/>
                <w:szCs w:val="24"/>
                <w14:ligatures w14:val="standardContextual"/>
              </w:rPr>
              <w:tab/>
            </w:r>
            <w:r w:rsidR="00C42BBC" w:rsidRPr="004953FD">
              <w:rPr>
                <w:rStyle w:val="Hyperlink"/>
                <w:noProof/>
              </w:rPr>
              <w:t>OBJEKTIVAT DHE CAQET KOMBËTARE</w:t>
            </w:r>
            <w:r w:rsidR="00C42BBC">
              <w:rPr>
                <w:noProof/>
                <w:webHidden/>
              </w:rPr>
              <w:tab/>
            </w:r>
            <w:r w:rsidR="00C42BBC">
              <w:rPr>
                <w:noProof/>
                <w:webHidden/>
              </w:rPr>
              <w:fldChar w:fldCharType="begin"/>
            </w:r>
            <w:r w:rsidR="00C42BBC">
              <w:rPr>
                <w:noProof/>
                <w:webHidden/>
              </w:rPr>
              <w:instrText xml:space="preserve"> PAGEREF _Toc182302262 \h </w:instrText>
            </w:r>
            <w:r w:rsidR="00C42BBC">
              <w:rPr>
                <w:noProof/>
                <w:webHidden/>
              </w:rPr>
            </w:r>
            <w:r w:rsidR="00C42BBC">
              <w:rPr>
                <w:noProof/>
                <w:webHidden/>
              </w:rPr>
              <w:fldChar w:fldCharType="separate"/>
            </w:r>
            <w:r w:rsidR="00C42BBC">
              <w:rPr>
                <w:noProof/>
                <w:webHidden/>
              </w:rPr>
              <w:t>36</w:t>
            </w:r>
            <w:r w:rsidR="00C42BBC">
              <w:rPr>
                <w:noProof/>
                <w:webHidden/>
              </w:rPr>
              <w:fldChar w:fldCharType="end"/>
            </w:r>
          </w:hyperlink>
        </w:p>
        <w:p w14:paraId="2D08E5E7" w14:textId="2898B72D" w:rsidR="00C42BBC" w:rsidRDefault="00062E07">
          <w:pPr>
            <w:pStyle w:val="TOC2"/>
            <w:tabs>
              <w:tab w:val="left" w:pos="880"/>
              <w:tab w:val="right" w:leader="dot" w:pos="9564"/>
            </w:tabs>
            <w:rPr>
              <w:rFonts w:asciiTheme="minorHAnsi" w:hAnsiTheme="minorHAnsi"/>
              <w:noProof/>
              <w:color w:val="auto"/>
              <w:kern w:val="2"/>
              <w:sz w:val="24"/>
              <w:szCs w:val="24"/>
              <w14:ligatures w14:val="standardContextual"/>
            </w:rPr>
          </w:pPr>
          <w:hyperlink w:anchor="_Toc182302263" w:history="1">
            <w:r w:rsidR="00C42BBC" w:rsidRPr="004953FD">
              <w:rPr>
                <w:rStyle w:val="Hyperlink"/>
                <w:noProof/>
              </w:rPr>
              <w:t>2.1</w:t>
            </w:r>
            <w:r w:rsidR="00C42BBC">
              <w:rPr>
                <w:rFonts w:asciiTheme="minorHAnsi" w:hAnsiTheme="minorHAnsi"/>
                <w:noProof/>
                <w:color w:val="auto"/>
                <w:kern w:val="2"/>
                <w:sz w:val="24"/>
                <w:szCs w:val="24"/>
                <w14:ligatures w14:val="standardContextual"/>
              </w:rPr>
              <w:tab/>
            </w:r>
            <w:r w:rsidR="00C42BBC" w:rsidRPr="004953FD">
              <w:rPr>
                <w:rStyle w:val="Hyperlink"/>
                <w:noProof/>
              </w:rPr>
              <w:t>Dimensioni i dekarbonizimit</w:t>
            </w:r>
            <w:r w:rsidR="00C42BBC">
              <w:rPr>
                <w:noProof/>
                <w:webHidden/>
              </w:rPr>
              <w:tab/>
            </w:r>
            <w:r w:rsidR="00C42BBC">
              <w:rPr>
                <w:noProof/>
                <w:webHidden/>
              </w:rPr>
              <w:fldChar w:fldCharType="begin"/>
            </w:r>
            <w:r w:rsidR="00C42BBC">
              <w:rPr>
                <w:noProof/>
                <w:webHidden/>
              </w:rPr>
              <w:instrText xml:space="preserve"> PAGEREF _Toc182302263 \h </w:instrText>
            </w:r>
            <w:r w:rsidR="00C42BBC">
              <w:rPr>
                <w:noProof/>
                <w:webHidden/>
              </w:rPr>
            </w:r>
            <w:r w:rsidR="00C42BBC">
              <w:rPr>
                <w:noProof/>
                <w:webHidden/>
              </w:rPr>
              <w:fldChar w:fldCharType="separate"/>
            </w:r>
            <w:r w:rsidR="00C42BBC">
              <w:rPr>
                <w:noProof/>
                <w:webHidden/>
              </w:rPr>
              <w:t>36</w:t>
            </w:r>
            <w:r w:rsidR="00C42BBC">
              <w:rPr>
                <w:noProof/>
                <w:webHidden/>
              </w:rPr>
              <w:fldChar w:fldCharType="end"/>
            </w:r>
          </w:hyperlink>
        </w:p>
        <w:p w14:paraId="4968AADB" w14:textId="1BE255B8" w:rsidR="00C42BBC" w:rsidRDefault="00062E07">
          <w:pPr>
            <w:pStyle w:val="TOC3"/>
            <w:rPr>
              <w:rFonts w:asciiTheme="minorHAnsi" w:hAnsiTheme="minorHAnsi"/>
              <w:noProof/>
              <w:color w:val="auto"/>
              <w:kern w:val="2"/>
              <w:sz w:val="24"/>
              <w:szCs w:val="24"/>
              <w14:ligatures w14:val="standardContextual"/>
            </w:rPr>
          </w:pPr>
          <w:hyperlink w:anchor="_Toc182302264" w:history="1">
            <w:r w:rsidR="00C42BBC" w:rsidRPr="004953FD">
              <w:rPr>
                <w:rStyle w:val="Hyperlink"/>
                <w:rFonts w:cs="Times New Roman"/>
                <w:noProof/>
              </w:rPr>
              <w:t>I.</w:t>
            </w:r>
            <w:r w:rsidR="00C42BBC">
              <w:rPr>
                <w:rFonts w:asciiTheme="minorHAnsi" w:hAnsiTheme="minorHAnsi"/>
                <w:noProof/>
                <w:color w:val="auto"/>
                <w:kern w:val="2"/>
                <w:sz w:val="24"/>
                <w:szCs w:val="24"/>
                <w14:ligatures w14:val="standardContextual"/>
              </w:rPr>
              <w:tab/>
            </w:r>
            <w:r w:rsidR="00C42BBC" w:rsidRPr="004953FD">
              <w:rPr>
                <w:rStyle w:val="Hyperlink"/>
                <w:noProof/>
              </w:rPr>
              <w:t>Emetimet dhe largimet e GS-ve Elementet e përcaktuara në pikën (a)(1) të nenit 4</w:t>
            </w:r>
            <w:r w:rsidR="00C42BBC">
              <w:rPr>
                <w:noProof/>
                <w:webHidden/>
              </w:rPr>
              <w:tab/>
            </w:r>
            <w:r w:rsidR="00C42BBC">
              <w:rPr>
                <w:noProof/>
                <w:webHidden/>
              </w:rPr>
              <w:fldChar w:fldCharType="begin"/>
            </w:r>
            <w:r w:rsidR="00C42BBC">
              <w:rPr>
                <w:noProof/>
                <w:webHidden/>
              </w:rPr>
              <w:instrText xml:space="preserve"> PAGEREF _Toc182302264 \h </w:instrText>
            </w:r>
            <w:r w:rsidR="00C42BBC">
              <w:rPr>
                <w:noProof/>
                <w:webHidden/>
              </w:rPr>
            </w:r>
            <w:r w:rsidR="00C42BBC">
              <w:rPr>
                <w:noProof/>
                <w:webHidden/>
              </w:rPr>
              <w:fldChar w:fldCharType="separate"/>
            </w:r>
            <w:r w:rsidR="00C42BBC">
              <w:rPr>
                <w:noProof/>
                <w:webHidden/>
              </w:rPr>
              <w:t>36</w:t>
            </w:r>
            <w:r w:rsidR="00C42BBC">
              <w:rPr>
                <w:noProof/>
                <w:webHidden/>
              </w:rPr>
              <w:fldChar w:fldCharType="end"/>
            </w:r>
          </w:hyperlink>
        </w:p>
        <w:p w14:paraId="4F6F6887" w14:textId="5408462F" w:rsidR="00C42BBC" w:rsidRDefault="00062E07">
          <w:pPr>
            <w:pStyle w:val="TOC3"/>
            <w:rPr>
              <w:rFonts w:asciiTheme="minorHAnsi" w:hAnsiTheme="minorHAnsi"/>
              <w:noProof/>
              <w:color w:val="auto"/>
              <w:kern w:val="2"/>
              <w:sz w:val="24"/>
              <w:szCs w:val="24"/>
              <w14:ligatures w14:val="standardContextual"/>
            </w:rPr>
          </w:pPr>
          <w:hyperlink w:anchor="_Toc182302265" w:history="1">
            <w:r w:rsidR="00C42BBC" w:rsidRPr="004953FD">
              <w:rPr>
                <w:rStyle w:val="Hyperlink"/>
                <w:rFonts w:cs="Times New Roman"/>
                <w:noProof/>
              </w:rPr>
              <w:t>II.</w:t>
            </w:r>
            <w:r w:rsidR="00C42BBC">
              <w:rPr>
                <w:rFonts w:asciiTheme="minorHAnsi" w:hAnsiTheme="minorHAnsi"/>
                <w:noProof/>
                <w:color w:val="auto"/>
                <w:kern w:val="2"/>
                <w:sz w:val="24"/>
                <w:szCs w:val="24"/>
                <w14:ligatures w14:val="standardContextual"/>
              </w:rPr>
              <w:tab/>
            </w:r>
            <w:r w:rsidR="00C42BBC" w:rsidRPr="004953FD">
              <w:rPr>
                <w:rStyle w:val="Hyperlink"/>
                <w:noProof/>
              </w:rPr>
              <w:t>Energjia e ripërtëritshme</w:t>
            </w:r>
            <w:r w:rsidR="00C42BBC">
              <w:rPr>
                <w:noProof/>
                <w:webHidden/>
              </w:rPr>
              <w:tab/>
            </w:r>
            <w:r w:rsidR="00C42BBC">
              <w:rPr>
                <w:noProof/>
                <w:webHidden/>
              </w:rPr>
              <w:fldChar w:fldCharType="begin"/>
            </w:r>
            <w:r w:rsidR="00C42BBC">
              <w:rPr>
                <w:noProof/>
                <w:webHidden/>
              </w:rPr>
              <w:instrText xml:space="preserve"> PAGEREF _Toc182302265 \h </w:instrText>
            </w:r>
            <w:r w:rsidR="00C42BBC">
              <w:rPr>
                <w:noProof/>
                <w:webHidden/>
              </w:rPr>
            </w:r>
            <w:r w:rsidR="00C42BBC">
              <w:rPr>
                <w:noProof/>
                <w:webHidden/>
              </w:rPr>
              <w:fldChar w:fldCharType="separate"/>
            </w:r>
            <w:r w:rsidR="00C42BBC">
              <w:rPr>
                <w:noProof/>
                <w:webHidden/>
              </w:rPr>
              <w:t>38</w:t>
            </w:r>
            <w:r w:rsidR="00C42BBC">
              <w:rPr>
                <w:noProof/>
                <w:webHidden/>
              </w:rPr>
              <w:fldChar w:fldCharType="end"/>
            </w:r>
          </w:hyperlink>
        </w:p>
        <w:p w14:paraId="0009DC23" w14:textId="6FFC8489" w:rsidR="00C42BBC" w:rsidRDefault="00062E07">
          <w:pPr>
            <w:pStyle w:val="TOC2"/>
            <w:tabs>
              <w:tab w:val="left" w:pos="880"/>
              <w:tab w:val="right" w:leader="dot" w:pos="9564"/>
            </w:tabs>
            <w:rPr>
              <w:rFonts w:asciiTheme="minorHAnsi" w:hAnsiTheme="minorHAnsi"/>
              <w:noProof/>
              <w:color w:val="auto"/>
              <w:kern w:val="2"/>
              <w:sz w:val="24"/>
              <w:szCs w:val="24"/>
              <w14:ligatures w14:val="standardContextual"/>
            </w:rPr>
          </w:pPr>
          <w:hyperlink w:anchor="_Toc182302266" w:history="1">
            <w:r w:rsidR="00C42BBC" w:rsidRPr="004953FD">
              <w:rPr>
                <w:rStyle w:val="Hyperlink"/>
                <w:noProof/>
              </w:rPr>
              <w:t>2.2</w:t>
            </w:r>
            <w:r w:rsidR="00C42BBC">
              <w:rPr>
                <w:rFonts w:asciiTheme="minorHAnsi" w:hAnsiTheme="minorHAnsi"/>
                <w:noProof/>
                <w:color w:val="auto"/>
                <w:kern w:val="2"/>
                <w:sz w:val="24"/>
                <w:szCs w:val="24"/>
                <w14:ligatures w14:val="standardContextual"/>
              </w:rPr>
              <w:tab/>
            </w:r>
            <w:r w:rsidR="00C42BBC" w:rsidRPr="004953FD">
              <w:rPr>
                <w:rStyle w:val="Hyperlink"/>
                <w:noProof/>
              </w:rPr>
              <w:t>Dimensioni i efiçiencës së energjisë</w:t>
            </w:r>
            <w:r w:rsidR="00C42BBC">
              <w:rPr>
                <w:noProof/>
                <w:webHidden/>
              </w:rPr>
              <w:tab/>
            </w:r>
            <w:r w:rsidR="00C42BBC">
              <w:rPr>
                <w:noProof/>
                <w:webHidden/>
              </w:rPr>
              <w:fldChar w:fldCharType="begin"/>
            </w:r>
            <w:r w:rsidR="00C42BBC">
              <w:rPr>
                <w:noProof/>
                <w:webHidden/>
              </w:rPr>
              <w:instrText xml:space="preserve"> PAGEREF _Toc182302266 \h </w:instrText>
            </w:r>
            <w:r w:rsidR="00C42BBC">
              <w:rPr>
                <w:noProof/>
                <w:webHidden/>
              </w:rPr>
            </w:r>
            <w:r w:rsidR="00C42BBC">
              <w:rPr>
                <w:noProof/>
                <w:webHidden/>
              </w:rPr>
              <w:fldChar w:fldCharType="separate"/>
            </w:r>
            <w:r w:rsidR="00C42BBC">
              <w:rPr>
                <w:noProof/>
                <w:webHidden/>
              </w:rPr>
              <w:t>44</w:t>
            </w:r>
            <w:r w:rsidR="00C42BBC">
              <w:rPr>
                <w:noProof/>
                <w:webHidden/>
              </w:rPr>
              <w:fldChar w:fldCharType="end"/>
            </w:r>
          </w:hyperlink>
        </w:p>
        <w:p w14:paraId="154EDD12" w14:textId="293C2702" w:rsidR="00C42BBC" w:rsidRDefault="00062E07">
          <w:pPr>
            <w:pStyle w:val="TOC3"/>
            <w:rPr>
              <w:rFonts w:asciiTheme="minorHAnsi" w:hAnsiTheme="minorHAnsi"/>
              <w:noProof/>
              <w:color w:val="auto"/>
              <w:kern w:val="2"/>
              <w:sz w:val="24"/>
              <w:szCs w:val="24"/>
              <w14:ligatures w14:val="standardContextual"/>
            </w:rPr>
          </w:pPr>
          <w:hyperlink w:anchor="_Toc182302267" w:history="1">
            <w:r w:rsidR="00C42BBC" w:rsidRPr="004953FD">
              <w:rPr>
                <w:rStyle w:val="Hyperlink"/>
                <w:rFonts w:cs="Times New Roman"/>
                <w:noProof/>
              </w:rPr>
              <w:t>I.</w:t>
            </w:r>
            <w:r w:rsidR="00C42BBC">
              <w:rPr>
                <w:rFonts w:asciiTheme="minorHAnsi" w:hAnsiTheme="minorHAnsi"/>
                <w:noProof/>
                <w:color w:val="auto"/>
                <w:kern w:val="2"/>
                <w:sz w:val="24"/>
                <w:szCs w:val="24"/>
                <w14:ligatures w14:val="standardContextual"/>
              </w:rPr>
              <w:tab/>
            </w:r>
            <w:r w:rsidR="00C42BBC" w:rsidRPr="004953FD">
              <w:rPr>
                <w:rStyle w:val="Hyperlink"/>
                <w:noProof/>
              </w:rPr>
              <w:t>Elementet e përcaktuara në pikën (b) të nenit 4</w:t>
            </w:r>
            <w:r w:rsidR="00C42BBC">
              <w:rPr>
                <w:noProof/>
                <w:webHidden/>
              </w:rPr>
              <w:tab/>
            </w:r>
            <w:r w:rsidR="00C42BBC">
              <w:rPr>
                <w:noProof/>
                <w:webHidden/>
              </w:rPr>
              <w:fldChar w:fldCharType="begin"/>
            </w:r>
            <w:r w:rsidR="00C42BBC">
              <w:rPr>
                <w:noProof/>
                <w:webHidden/>
              </w:rPr>
              <w:instrText xml:space="preserve"> PAGEREF _Toc182302267 \h </w:instrText>
            </w:r>
            <w:r w:rsidR="00C42BBC">
              <w:rPr>
                <w:noProof/>
                <w:webHidden/>
              </w:rPr>
            </w:r>
            <w:r w:rsidR="00C42BBC">
              <w:rPr>
                <w:noProof/>
                <w:webHidden/>
              </w:rPr>
              <w:fldChar w:fldCharType="separate"/>
            </w:r>
            <w:r w:rsidR="00C42BBC">
              <w:rPr>
                <w:noProof/>
                <w:webHidden/>
              </w:rPr>
              <w:t>44</w:t>
            </w:r>
            <w:r w:rsidR="00C42BBC">
              <w:rPr>
                <w:noProof/>
                <w:webHidden/>
              </w:rPr>
              <w:fldChar w:fldCharType="end"/>
            </w:r>
          </w:hyperlink>
        </w:p>
        <w:p w14:paraId="0D83B16B" w14:textId="309708DE" w:rsidR="00C42BBC" w:rsidRDefault="00062E07">
          <w:pPr>
            <w:pStyle w:val="TOC3"/>
            <w:rPr>
              <w:rFonts w:asciiTheme="minorHAnsi" w:hAnsiTheme="minorHAnsi"/>
              <w:noProof/>
              <w:color w:val="auto"/>
              <w:kern w:val="2"/>
              <w:sz w:val="24"/>
              <w:szCs w:val="24"/>
              <w14:ligatures w14:val="standardContextual"/>
            </w:rPr>
          </w:pPr>
          <w:hyperlink w:anchor="_Toc182302268" w:history="1">
            <w:r w:rsidR="00C42BBC" w:rsidRPr="004953FD">
              <w:rPr>
                <w:rStyle w:val="Hyperlink"/>
                <w:rFonts w:cs="Times New Roman"/>
                <w:noProof/>
              </w:rPr>
              <w:t>II.</w:t>
            </w:r>
            <w:r w:rsidR="00C42BBC">
              <w:rPr>
                <w:rFonts w:asciiTheme="minorHAnsi" w:hAnsiTheme="minorHAnsi"/>
                <w:noProof/>
                <w:color w:val="auto"/>
                <w:kern w:val="2"/>
                <w:sz w:val="24"/>
                <w:szCs w:val="24"/>
                <w14:ligatures w14:val="standardContextual"/>
              </w:rPr>
              <w:tab/>
            </w:r>
            <w:r w:rsidR="00C42BBC" w:rsidRPr="004953FD">
              <w:rPr>
                <w:rStyle w:val="Hyperlink"/>
                <w:noProof/>
              </w:rPr>
              <w:t>Pikërefencat kyçe për 2030, 2040 dhe 2050, treguesit e progresit dhe kursimet e parashikuara të energjisë</w:t>
            </w:r>
            <w:r w:rsidR="00C42BBC">
              <w:rPr>
                <w:noProof/>
                <w:webHidden/>
              </w:rPr>
              <w:tab/>
            </w:r>
            <w:r w:rsidR="00C42BBC">
              <w:rPr>
                <w:noProof/>
                <w:webHidden/>
              </w:rPr>
              <w:fldChar w:fldCharType="begin"/>
            </w:r>
            <w:r w:rsidR="00C42BBC">
              <w:rPr>
                <w:noProof/>
                <w:webHidden/>
              </w:rPr>
              <w:instrText xml:space="preserve"> PAGEREF _Toc182302268 \h </w:instrText>
            </w:r>
            <w:r w:rsidR="00C42BBC">
              <w:rPr>
                <w:noProof/>
                <w:webHidden/>
              </w:rPr>
            </w:r>
            <w:r w:rsidR="00C42BBC">
              <w:rPr>
                <w:noProof/>
                <w:webHidden/>
              </w:rPr>
              <w:fldChar w:fldCharType="separate"/>
            </w:r>
            <w:r w:rsidR="00C42BBC">
              <w:rPr>
                <w:noProof/>
                <w:webHidden/>
              </w:rPr>
              <w:t>45</w:t>
            </w:r>
            <w:r w:rsidR="00C42BBC">
              <w:rPr>
                <w:noProof/>
                <w:webHidden/>
              </w:rPr>
              <w:fldChar w:fldCharType="end"/>
            </w:r>
          </w:hyperlink>
        </w:p>
        <w:p w14:paraId="103A07A5" w14:textId="1C881DC0" w:rsidR="00C42BBC" w:rsidRDefault="00062E07">
          <w:pPr>
            <w:pStyle w:val="TOC3"/>
            <w:rPr>
              <w:rFonts w:asciiTheme="minorHAnsi" w:hAnsiTheme="minorHAnsi"/>
              <w:noProof/>
              <w:color w:val="auto"/>
              <w:kern w:val="2"/>
              <w:sz w:val="24"/>
              <w:szCs w:val="24"/>
              <w14:ligatures w14:val="standardContextual"/>
            </w:rPr>
          </w:pPr>
          <w:hyperlink w:anchor="_Toc182302269" w:history="1">
            <w:r w:rsidR="00C42BBC" w:rsidRPr="004953FD">
              <w:rPr>
                <w:rStyle w:val="Hyperlink"/>
                <w:rFonts w:cs="Times New Roman"/>
                <w:noProof/>
              </w:rPr>
              <w:t>III.</w:t>
            </w:r>
            <w:r w:rsidR="00C42BBC">
              <w:rPr>
                <w:rFonts w:asciiTheme="minorHAnsi" w:hAnsiTheme="minorHAnsi"/>
                <w:noProof/>
                <w:color w:val="auto"/>
                <w:kern w:val="2"/>
                <w:sz w:val="24"/>
                <w:szCs w:val="24"/>
                <w14:ligatures w14:val="standardContextual"/>
              </w:rPr>
              <w:tab/>
            </w:r>
            <w:r w:rsidR="00C42BBC" w:rsidRPr="004953FD">
              <w:rPr>
                <w:rStyle w:val="Hyperlink"/>
                <w:noProof/>
              </w:rPr>
              <w:t>Qëndrueshmëria dhe sfidat drejt ekonomisë neutrale të karbonit deri në vitin 2050</w:t>
            </w:r>
            <w:r w:rsidR="00C42BBC">
              <w:rPr>
                <w:noProof/>
                <w:webHidden/>
              </w:rPr>
              <w:tab/>
            </w:r>
            <w:r w:rsidR="00C42BBC">
              <w:rPr>
                <w:noProof/>
                <w:webHidden/>
              </w:rPr>
              <w:fldChar w:fldCharType="begin"/>
            </w:r>
            <w:r w:rsidR="00C42BBC">
              <w:rPr>
                <w:noProof/>
                <w:webHidden/>
              </w:rPr>
              <w:instrText xml:space="preserve"> PAGEREF _Toc182302269 \h </w:instrText>
            </w:r>
            <w:r w:rsidR="00C42BBC">
              <w:rPr>
                <w:noProof/>
                <w:webHidden/>
              </w:rPr>
            </w:r>
            <w:r w:rsidR="00C42BBC">
              <w:rPr>
                <w:noProof/>
                <w:webHidden/>
              </w:rPr>
              <w:fldChar w:fldCharType="separate"/>
            </w:r>
            <w:r w:rsidR="00C42BBC">
              <w:rPr>
                <w:noProof/>
                <w:webHidden/>
              </w:rPr>
              <w:t>46</w:t>
            </w:r>
            <w:r w:rsidR="00C42BBC">
              <w:rPr>
                <w:noProof/>
                <w:webHidden/>
              </w:rPr>
              <w:fldChar w:fldCharType="end"/>
            </w:r>
          </w:hyperlink>
        </w:p>
        <w:p w14:paraId="1D4407F3" w14:textId="4D1A800E" w:rsidR="00C42BBC" w:rsidRDefault="00062E07">
          <w:pPr>
            <w:pStyle w:val="TOC2"/>
            <w:tabs>
              <w:tab w:val="left" w:pos="880"/>
              <w:tab w:val="right" w:leader="dot" w:pos="9564"/>
            </w:tabs>
            <w:rPr>
              <w:rFonts w:asciiTheme="minorHAnsi" w:hAnsiTheme="minorHAnsi"/>
              <w:noProof/>
              <w:color w:val="auto"/>
              <w:kern w:val="2"/>
              <w:sz w:val="24"/>
              <w:szCs w:val="24"/>
              <w14:ligatures w14:val="standardContextual"/>
            </w:rPr>
          </w:pPr>
          <w:hyperlink w:anchor="_Toc182302270" w:history="1">
            <w:r w:rsidR="00C42BBC" w:rsidRPr="004953FD">
              <w:rPr>
                <w:rStyle w:val="Hyperlink"/>
                <w:noProof/>
              </w:rPr>
              <w:t>2.3</w:t>
            </w:r>
            <w:r w:rsidR="00C42BBC">
              <w:rPr>
                <w:rFonts w:asciiTheme="minorHAnsi" w:hAnsiTheme="minorHAnsi"/>
                <w:noProof/>
                <w:color w:val="auto"/>
                <w:kern w:val="2"/>
                <w:sz w:val="24"/>
                <w:szCs w:val="24"/>
                <w14:ligatures w14:val="standardContextual"/>
              </w:rPr>
              <w:tab/>
            </w:r>
            <w:r w:rsidR="00C42BBC" w:rsidRPr="004953FD">
              <w:rPr>
                <w:rStyle w:val="Hyperlink"/>
                <w:noProof/>
              </w:rPr>
              <w:t>Dimensioni i sigurisë energjetike</w:t>
            </w:r>
            <w:r w:rsidR="00C42BBC">
              <w:rPr>
                <w:noProof/>
                <w:webHidden/>
              </w:rPr>
              <w:tab/>
            </w:r>
            <w:r w:rsidR="00C42BBC">
              <w:rPr>
                <w:noProof/>
                <w:webHidden/>
              </w:rPr>
              <w:fldChar w:fldCharType="begin"/>
            </w:r>
            <w:r w:rsidR="00C42BBC">
              <w:rPr>
                <w:noProof/>
                <w:webHidden/>
              </w:rPr>
              <w:instrText xml:space="preserve"> PAGEREF _Toc182302270 \h </w:instrText>
            </w:r>
            <w:r w:rsidR="00C42BBC">
              <w:rPr>
                <w:noProof/>
                <w:webHidden/>
              </w:rPr>
            </w:r>
            <w:r w:rsidR="00C42BBC">
              <w:rPr>
                <w:noProof/>
                <w:webHidden/>
              </w:rPr>
              <w:fldChar w:fldCharType="separate"/>
            </w:r>
            <w:r w:rsidR="00C42BBC">
              <w:rPr>
                <w:noProof/>
                <w:webHidden/>
              </w:rPr>
              <w:t>46</w:t>
            </w:r>
            <w:r w:rsidR="00C42BBC">
              <w:rPr>
                <w:noProof/>
                <w:webHidden/>
              </w:rPr>
              <w:fldChar w:fldCharType="end"/>
            </w:r>
          </w:hyperlink>
        </w:p>
        <w:p w14:paraId="55F1AFBD" w14:textId="726D6D07" w:rsidR="00C42BBC" w:rsidRDefault="00062E07">
          <w:pPr>
            <w:pStyle w:val="TOC3"/>
            <w:rPr>
              <w:rFonts w:asciiTheme="minorHAnsi" w:hAnsiTheme="minorHAnsi"/>
              <w:noProof/>
              <w:color w:val="auto"/>
              <w:kern w:val="2"/>
              <w:sz w:val="24"/>
              <w:szCs w:val="24"/>
              <w14:ligatures w14:val="standardContextual"/>
            </w:rPr>
          </w:pPr>
          <w:hyperlink w:anchor="_Toc182302271" w:history="1">
            <w:r w:rsidR="00C42BBC" w:rsidRPr="004953FD">
              <w:rPr>
                <w:rStyle w:val="Hyperlink"/>
                <w:rFonts w:cs="Times New Roman"/>
                <w:noProof/>
              </w:rPr>
              <w:t>I.</w:t>
            </w:r>
            <w:r w:rsidR="00C42BBC">
              <w:rPr>
                <w:rFonts w:asciiTheme="minorHAnsi" w:hAnsiTheme="minorHAnsi"/>
                <w:noProof/>
                <w:color w:val="auto"/>
                <w:kern w:val="2"/>
                <w:sz w:val="24"/>
                <w:szCs w:val="24"/>
                <w14:ligatures w14:val="standardContextual"/>
              </w:rPr>
              <w:tab/>
            </w:r>
            <w:r w:rsidR="00C42BBC" w:rsidRPr="004953FD">
              <w:rPr>
                <w:rStyle w:val="Hyperlink"/>
                <w:noProof/>
              </w:rPr>
              <w:t>Elementet e përcaktuara në pikën (c) të nenit 4</w:t>
            </w:r>
            <w:r w:rsidR="00C42BBC">
              <w:rPr>
                <w:noProof/>
                <w:webHidden/>
              </w:rPr>
              <w:tab/>
            </w:r>
            <w:r w:rsidR="00C42BBC">
              <w:rPr>
                <w:noProof/>
                <w:webHidden/>
              </w:rPr>
              <w:fldChar w:fldCharType="begin"/>
            </w:r>
            <w:r w:rsidR="00C42BBC">
              <w:rPr>
                <w:noProof/>
                <w:webHidden/>
              </w:rPr>
              <w:instrText xml:space="preserve"> PAGEREF _Toc182302271 \h </w:instrText>
            </w:r>
            <w:r w:rsidR="00C42BBC">
              <w:rPr>
                <w:noProof/>
                <w:webHidden/>
              </w:rPr>
            </w:r>
            <w:r w:rsidR="00C42BBC">
              <w:rPr>
                <w:noProof/>
                <w:webHidden/>
              </w:rPr>
              <w:fldChar w:fldCharType="separate"/>
            </w:r>
            <w:r w:rsidR="00C42BBC">
              <w:rPr>
                <w:noProof/>
                <w:webHidden/>
              </w:rPr>
              <w:t>46</w:t>
            </w:r>
            <w:r w:rsidR="00C42BBC">
              <w:rPr>
                <w:noProof/>
                <w:webHidden/>
              </w:rPr>
              <w:fldChar w:fldCharType="end"/>
            </w:r>
          </w:hyperlink>
        </w:p>
        <w:p w14:paraId="33EFD1B5" w14:textId="45209520" w:rsidR="00C42BBC" w:rsidRDefault="00062E07">
          <w:pPr>
            <w:pStyle w:val="TOC3"/>
            <w:rPr>
              <w:rFonts w:asciiTheme="minorHAnsi" w:hAnsiTheme="minorHAnsi"/>
              <w:noProof/>
              <w:color w:val="auto"/>
              <w:kern w:val="2"/>
              <w:sz w:val="24"/>
              <w:szCs w:val="24"/>
              <w14:ligatures w14:val="standardContextual"/>
            </w:rPr>
          </w:pPr>
          <w:hyperlink w:anchor="_Toc182302272" w:history="1">
            <w:r w:rsidR="00C42BBC" w:rsidRPr="004953FD">
              <w:rPr>
                <w:rStyle w:val="Hyperlink"/>
                <w:rFonts w:cs="Times New Roman"/>
                <w:noProof/>
              </w:rPr>
              <w:t>II.</w:t>
            </w:r>
            <w:r w:rsidR="00C42BBC">
              <w:rPr>
                <w:rFonts w:asciiTheme="minorHAnsi" w:hAnsiTheme="minorHAnsi"/>
                <w:noProof/>
                <w:color w:val="auto"/>
                <w:kern w:val="2"/>
                <w:sz w:val="24"/>
                <w:szCs w:val="24"/>
                <w14:ligatures w14:val="standardContextual"/>
              </w:rPr>
              <w:tab/>
            </w:r>
            <w:r w:rsidR="00C42BBC" w:rsidRPr="004953FD">
              <w:rPr>
                <w:rStyle w:val="Hyperlink"/>
                <w:noProof/>
              </w:rPr>
              <w:t>Objektivat kombëtare në lidhje me diversifikimin e burimeve të energjisë</w:t>
            </w:r>
            <w:r w:rsidR="00C42BBC">
              <w:rPr>
                <w:noProof/>
                <w:webHidden/>
              </w:rPr>
              <w:tab/>
            </w:r>
            <w:r w:rsidR="00C42BBC">
              <w:rPr>
                <w:noProof/>
                <w:webHidden/>
              </w:rPr>
              <w:fldChar w:fldCharType="begin"/>
            </w:r>
            <w:r w:rsidR="00C42BBC">
              <w:rPr>
                <w:noProof/>
                <w:webHidden/>
              </w:rPr>
              <w:instrText xml:space="preserve"> PAGEREF _Toc182302272 \h </w:instrText>
            </w:r>
            <w:r w:rsidR="00C42BBC">
              <w:rPr>
                <w:noProof/>
                <w:webHidden/>
              </w:rPr>
            </w:r>
            <w:r w:rsidR="00C42BBC">
              <w:rPr>
                <w:noProof/>
                <w:webHidden/>
              </w:rPr>
              <w:fldChar w:fldCharType="separate"/>
            </w:r>
            <w:r w:rsidR="00C42BBC">
              <w:rPr>
                <w:noProof/>
                <w:webHidden/>
              </w:rPr>
              <w:t>49</w:t>
            </w:r>
            <w:r w:rsidR="00C42BBC">
              <w:rPr>
                <w:noProof/>
                <w:webHidden/>
              </w:rPr>
              <w:fldChar w:fldCharType="end"/>
            </w:r>
          </w:hyperlink>
        </w:p>
        <w:p w14:paraId="124CE3C0" w14:textId="2AD413B8" w:rsidR="00C42BBC" w:rsidRDefault="00062E07">
          <w:pPr>
            <w:pStyle w:val="TOC3"/>
            <w:rPr>
              <w:rFonts w:asciiTheme="minorHAnsi" w:hAnsiTheme="minorHAnsi"/>
              <w:noProof/>
              <w:color w:val="auto"/>
              <w:kern w:val="2"/>
              <w:sz w:val="24"/>
              <w:szCs w:val="24"/>
              <w14:ligatures w14:val="standardContextual"/>
            </w:rPr>
          </w:pPr>
          <w:hyperlink w:anchor="_Toc182302273" w:history="1">
            <w:r w:rsidR="00C42BBC" w:rsidRPr="004953FD">
              <w:rPr>
                <w:rStyle w:val="Hyperlink"/>
                <w:rFonts w:cs="Times New Roman"/>
                <w:noProof/>
              </w:rPr>
              <w:t>III.</w:t>
            </w:r>
            <w:r w:rsidR="00C42BBC">
              <w:rPr>
                <w:rFonts w:asciiTheme="minorHAnsi" w:hAnsiTheme="minorHAnsi"/>
                <w:noProof/>
                <w:color w:val="auto"/>
                <w:kern w:val="2"/>
                <w:sz w:val="24"/>
                <w:szCs w:val="24"/>
                <w14:ligatures w14:val="standardContextual"/>
              </w:rPr>
              <w:tab/>
            </w:r>
            <w:r w:rsidR="00C42BBC" w:rsidRPr="004953FD">
              <w:rPr>
                <w:rStyle w:val="Hyperlink"/>
                <w:noProof/>
              </w:rPr>
              <w:t>Objektivat kombëtare në lidhje me reduktimin e varësisë së importit të energjisë nga vendet e treta</w:t>
            </w:r>
            <w:r w:rsidR="00C42BBC">
              <w:rPr>
                <w:noProof/>
                <w:webHidden/>
              </w:rPr>
              <w:tab/>
            </w:r>
            <w:r w:rsidR="00C42BBC">
              <w:rPr>
                <w:noProof/>
                <w:webHidden/>
              </w:rPr>
              <w:fldChar w:fldCharType="begin"/>
            </w:r>
            <w:r w:rsidR="00C42BBC">
              <w:rPr>
                <w:noProof/>
                <w:webHidden/>
              </w:rPr>
              <w:instrText xml:space="preserve"> PAGEREF _Toc182302273 \h </w:instrText>
            </w:r>
            <w:r w:rsidR="00C42BBC">
              <w:rPr>
                <w:noProof/>
                <w:webHidden/>
              </w:rPr>
            </w:r>
            <w:r w:rsidR="00C42BBC">
              <w:rPr>
                <w:noProof/>
                <w:webHidden/>
              </w:rPr>
              <w:fldChar w:fldCharType="separate"/>
            </w:r>
            <w:r w:rsidR="00C42BBC">
              <w:rPr>
                <w:noProof/>
                <w:webHidden/>
              </w:rPr>
              <w:t>51</w:t>
            </w:r>
            <w:r w:rsidR="00C42BBC">
              <w:rPr>
                <w:noProof/>
                <w:webHidden/>
              </w:rPr>
              <w:fldChar w:fldCharType="end"/>
            </w:r>
          </w:hyperlink>
        </w:p>
        <w:p w14:paraId="2AC9EBCE" w14:textId="2CADC942" w:rsidR="00C42BBC" w:rsidRDefault="00062E07">
          <w:pPr>
            <w:pStyle w:val="TOC3"/>
            <w:rPr>
              <w:rFonts w:asciiTheme="minorHAnsi" w:hAnsiTheme="minorHAnsi"/>
              <w:noProof/>
              <w:color w:val="auto"/>
              <w:kern w:val="2"/>
              <w:sz w:val="24"/>
              <w:szCs w:val="24"/>
              <w14:ligatures w14:val="standardContextual"/>
            </w:rPr>
          </w:pPr>
          <w:hyperlink w:anchor="_Toc182302274" w:history="1">
            <w:r w:rsidR="00C42BBC" w:rsidRPr="004953FD">
              <w:rPr>
                <w:rStyle w:val="Hyperlink"/>
                <w:rFonts w:cs="Times New Roman"/>
                <w:noProof/>
              </w:rPr>
              <w:t>IV.</w:t>
            </w:r>
            <w:r w:rsidR="00C42BBC">
              <w:rPr>
                <w:rFonts w:asciiTheme="minorHAnsi" w:hAnsiTheme="minorHAnsi"/>
                <w:noProof/>
                <w:color w:val="auto"/>
                <w:kern w:val="2"/>
                <w:sz w:val="24"/>
                <w:szCs w:val="24"/>
                <w14:ligatures w14:val="standardContextual"/>
              </w:rPr>
              <w:tab/>
            </w:r>
            <w:r w:rsidR="00C42BBC" w:rsidRPr="004953FD">
              <w:rPr>
                <w:rStyle w:val="Hyperlink"/>
                <w:noProof/>
              </w:rPr>
              <w:t>Objektivat kombëtare në lidhje me rritjen e fleksibilitetit të sistemit kombëtar të energjisë</w:t>
            </w:r>
            <w:r w:rsidR="00C42BBC">
              <w:rPr>
                <w:noProof/>
                <w:webHidden/>
              </w:rPr>
              <w:tab/>
            </w:r>
            <w:r w:rsidR="00C42BBC">
              <w:rPr>
                <w:noProof/>
                <w:webHidden/>
              </w:rPr>
              <w:fldChar w:fldCharType="begin"/>
            </w:r>
            <w:r w:rsidR="00C42BBC">
              <w:rPr>
                <w:noProof/>
                <w:webHidden/>
              </w:rPr>
              <w:instrText xml:space="preserve"> PAGEREF _Toc182302274 \h </w:instrText>
            </w:r>
            <w:r w:rsidR="00C42BBC">
              <w:rPr>
                <w:noProof/>
                <w:webHidden/>
              </w:rPr>
            </w:r>
            <w:r w:rsidR="00C42BBC">
              <w:rPr>
                <w:noProof/>
                <w:webHidden/>
              </w:rPr>
              <w:fldChar w:fldCharType="separate"/>
            </w:r>
            <w:r w:rsidR="00C42BBC">
              <w:rPr>
                <w:noProof/>
                <w:webHidden/>
              </w:rPr>
              <w:t>51</w:t>
            </w:r>
            <w:r w:rsidR="00C42BBC">
              <w:rPr>
                <w:noProof/>
                <w:webHidden/>
              </w:rPr>
              <w:fldChar w:fldCharType="end"/>
            </w:r>
          </w:hyperlink>
        </w:p>
        <w:p w14:paraId="1F681A60" w14:textId="1DF723D6" w:rsidR="00C42BBC" w:rsidRDefault="00062E07">
          <w:pPr>
            <w:pStyle w:val="TOC2"/>
            <w:tabs>
              <w:tab w:val="left" w:pos="880"/>
              <w:tab w:val="right" w:leader="dot" w:pos="9564"/>
            </w:tabs>
            <w:rPr>
              <w:rFonts w:asciiTheme="minorHAnsi" w:hAnsiTheme="minorHAnsi"/>
              <w:noProof/>
              <w:color w:val="auto"/>
              <w:kern w:val="2"/>
              <w:sz w:val="24"/>
              <w:szCs w:val="24"/>
              <w14:ligatures w14:val="standardContextual"/>
            </w:rPr>
          </w:pPr>
          <w:hyperlink w:anchor="_Toc182302275" w:history="1">
            <w:r w:rsidR="00C42BBC" w:rsidRPr="004953FD">
              <w:rPr>
                <w:rStyle w:val="Hyperlink"/>
                <w:noProof/>
              </w:rPr>
              <w:t>2.4</w:t>
            </w:r>
            <w:r w:rsidR="00C42BBC">
              <w:rPr>
                <w:rFonts w:asciiTheme="minorHAnsi" w:hAnsiTheme="minorHAnsi"/>
                <w:noProof/>
                <w:color w:val="auto"/>
                <w:kern w:val="2"/>
                <w:sz w:val="24"/>
                <w:szCs w:val="24"/>
                <w14:ligatures w14:val="standardContextual"/>
              </w:rPr>
              <w:tab/>
            </w:r>
            <w:r w:rsidR="00C42BBC" w:rsidRPr="004953FD">
              <w:rPr>
                <w:rStyle w:val="Hyperlink"/>
                <w:noProof/>
              </w:rPr>
              <w:t>Dimensioni i tregut të brendshëm energjetik</w:t>
            </w:r>
            <w:r w:rsidR="00C42BBC">
              <w:rPr>
                <w:noProof/>
                <w:webHidden/>
              </w:rPr>
              <w:tab/>
            </w:r>
            <w:r w:rsidR="00C42BBC">
              <w:rPr>
                <w:noProof/>
                <w:webHidden/>
              </w:rPr>
              <w:fldChar w:fldCharType="begin"/>
            </w:r>
            <w:r w:rsidR="00C42BBC">
              <w:rPr>
                <w:noProof/>
                <w:webHidden/>
              </w:rPr>
              <w:instrText xml:space="preserve"> PAGEREF _Toc182302275 \h </w:instrText>
            </w:r>
            <w:r w:rsidR="00C42BBC">
              <w:rPr>
                <w:noProof/>
                <w:webHidden/>
              </w:rPr>
            </w:r>
            <w:r w:rsidR="00C42BBC">
              <w:rPr>
                <w:noProof/>
                <w:webHidden/>
              </w:rPr>
              <w:fldChar w:fldCharType="separate"/>
            </w:r>
            <w:r w:rsidR="00C42BBC">
              <w:rPr>
                <w:noProof/>
                <w:webHidden/>
              </w:rPr>
              <w:t>52</w:t>
            </w:r>
            <w:r w:rsidR="00C42BBC">
              <w:rPr>
                <w:noProof/>
                <w:webHidden/>
              </w:rPr>
              <w:fldChar w:fldCharType="end"/>
            </w:r>
          </w:hyperlink>
        </w:p>
        <w:p w14:paraId="77C894DC" w14:textId="7420132D" w:rsidR="00C42BBC" w:rsidRDefault="00062E07">
          <w:pPr>
            <w:pStyle w:val="TOC3"/>
            <w:rPr>
              <w:rFonts w:asciiTheme="minorHAnsi" w:hAnsiTheme="minorHAnsi"/>
              <w:noProof/>
              <w:color w:val="auto"/>
              <w:kern w:val="2"/>
              <w:sz w:val="24"/>
              <w:szCs w:val="24"/>
              <w14:ligatures w14:val="standardContextual"/>
            </w:rPr>
          </w:pPr>
          <w:hyperlink w:anchor="_Toc182302276" w:history="1">
            <w:r w:rsidR="00C42BBC" w:rsidRPr="004953FD">
              <w:rPr>
                <w:rStyle w:val="Hyperlink"/>
                <w:rFonts w:cs="Times New Roman"/>
                <w:noProof/>
              </w:rPr>
              <w:t>I.</w:t>
            </w:r>
            <w:r w:rsidR="00C42BBC">
              <w:rPr>
                <w:rFonts w:asciiTheme="minorHAnsi" w:hAnsiTheme="minorHAnsi"/>
                <w:noProof/>
                <w:color w:val="auto"/>
                <w:kern w:val="2"/>
                <w:sz w:val="24"/>
                <w:szCs w:val="24"/>
                <w14:ligatures w14:val="standardContextual"/>
              </w:rPr>
              <w:tab/>
            </w:r>
            <w:r w:rsidR="00C42BBC" w:rsidRPr="004953FD">
              <w:rPr>
                <w:rStyle w:val="Hyperlink"/>
                <w:noProof/>
              </w:rPr>
              <w:t>Interkoneksioni i energjisë elektrike</w:t>
            </w:r>
            <w:r w:rsidR="00C42BBC">
              <w:rPr>
                <w:noProof/>
                <w:webHidden/>
              </w:rPr>
              <w:tab/>
            </w:r>
            <w:r w:rsidR="00C42BBC">
              <w:rPr>
                <w:noProof/>
                <w:webHidden/>
              </w:rPr>
              <w:fldChar w:fldCharType="begin"/>
            </w:r>
            <w:r w:rsidR="00C42BBC">
              <w:rPr>
                <w:noProof/>
                <w:webHidden/>
              </w:rPr>
              <w:instrText xml:space="preserve"> PAGEREF _Toc182302276 \h </w:instrText>
            </w:r>
            <w:r w:rsidR="00C42BBC">
              <w:rPr>
                <w:noProof/>
                <w:webHidden/>
              </w:rPr>
            </w:r>
            <w:r w:rsidR="00C42BBC">
              <w:rPr>
                <w:noProof/>
                <w:webHidden/>
              </w:rPr>
              <w:fldChar w:fldCharType="separate"/>
            </w:r>
            <w:r w:rsidR="00C42BBC">
              <w:rPr>
                <w:noProof/>
                <w:webHidden/>
              </w:rPr>
              <w:t>52</w:t>
            </w:r>
            <w:r w:rsidR="00C42BBC">
              <w:rPr>
                <w:noProof/>
                <w:webHidden/>
              </w:rPr>
              <w:fldChar w:fldCharType="end"/>
            </w:r>
          </w:hyperlink>
        </w:p>
        <w:p w14:paraId="6503C0C5" w14:textId="2059140D" w:rsidR="00C42BBC" w:rsidRDefault="00062E07">
          <w:pPr>
            <w:pStyle w:val="TOC3"/>
            <w:rPr>
              <w:rFonts w:asciiTheme="minorHAnsi" w:hAnsiTheme="minorHAnsi"/>
              <w:noProof/>
              <w:color w:val="auto"/>
              <w:kern w:val="2"/>
              <w:sz w:val="24"/>
              <w:szCs w:val="24"/>
              <w14:ligatures w14:val="standardContextual"/>
            </w:rPr>
          </w:pPr>
          <w:hyperlink w:anchor="_Toc182302277" w:history="1">
            <w:r w:rsidR="00C42BBC" w:rsidRPr="004953FD">
              <w:rPr>
                <w:rStyle w:val="Hyperlink"/>
                <w:rFonts w:cs="Times New Roman"/>
                <w:noProof/>
              </w:rPr>
              <w:t>II.</w:t>
            </w:r>
            <w:r w:rsidR="00C42BBC">
              <w:rPr>
                <w:rFonts w:asciiTheme="minorHAnsi" w:hAnsiTheme="minorHAnsi"/>
                <w:noProof/>
                <w:color w:val="auto"/>
                <w:kern w:val="2"/>
                <w:sz w:val="24"/>
                <w:szCs w:val="24"/>
                <w14:ligatures w14:val="standardContextual"/>
              </w:rPr>
              <w:tab/>
            </w:r>
            <w:r w:rsidR="00C42BBC" w:rsidRPr="004953FD">
              <w:rPr>
                <w:rStyle w:val="Hyperlink"/>
                <w:noProof/>
              </w:rPr>
              <w:t>Infrastruktura e transmisionit të energjisë</w:t>
            </w:r>
            <w:r w:rsidR="00C42BBC">
              <w:rPr>
                <w:noProof/>
                <w:webHidden/>
              </w:rPr>
              <w:tab/>
            </w:r>
            <w:r w:rsidR="00C42BBC">
              <w:rPr>
                <w:noProof/>
                <w:webHidden/>
              </w:rPr>
              <w:fldChar w:fldCharType="begin"/>
            </w:r>
            <w:r w:rsidR="00C42BBC">
              <w:rPr>
                <w:noProof/>
                <w:webHidden/>
              </w:rPr>
              <w:instrText xml:space="preserve"> PAGEREF _Toc182302277 \h </w:instrText>
            </w:r>
            <w:r w:rsidR="00C42BBC">
              <w:rPr>
                <w:noProof/>
                <w:webHidden/>
              </w:rPr>
            </w:r>
            <w:r w:rsidR="00C42BBC">
              <w:rPr>
                <w:noProof/>
                <w:webHidden/>
              </w:rPr>
              <w:fldChar w:fldCharType="separate"/>
            </w:r>
            <w:r w:rsidR="00C42BBC">
              <w:rPr>
                <w:noProof/>
                <w:webHidden/>
              </w:rPr>
              <w:t>53</w:t>
            </w:r>
            <w:r w:rsidR="00C42BBC">
              <w:rPr>
                <w:noProof/>
                <w:webHidden/>
              </w:rPr>
              <w:fldChar w:fldCharType="end"/>
            </w:r>
          </w:hyperlink>
        </w:p>
        <w:p w14:paraId="5C07215A" w14:textId="5DF615DC" w:rsidR="00C42BBC" w:rsidRDefault="00062E07">
          <w:pPr>
            <w:pStyle w:val="TOC3"/>
            <w:rPr>
              <w:rFonts w:asciiTheme="minorHAnsi" w:hAnsiTheme="minorHAnsi"/>
              <w:noProof/>
              <w:color w:val="auto"/>
              <w:kern w:val="2"/>
              <w:sz w:val="24"/>
              <w:szCs w:val="24"/>
              <w14:ligatures w14:val="standardContextual"/>
            </w:rPr>
          </w:pPr>
          <w:hyperlink w:anchor="_Toc182302278" w:history="1">
            <w:r w:rsidR="00C42BBC" w:rsidRPr="004953FD">
              <w:rPr>
                <w:rStyle w:val="Hyperlink"/>
                <w:rFonts w:cs="Times New Roman"/>
                <w:noProof/>
              </w:rPr>
              <w:t>III.</w:t>
            </w:r>
            <w:r w:rsidR="00C42BBC">
              <w:rPr>
                <w:rFonts w:asciiTheme="minorHAnsi" w:hAnsiTheme="minorHAnsi"/>
                <w:noProof/>
                <w:color w:val="auto"/>
                <w:kern w:val="2"/>
                <w:sz w:val="24"/>
                <w:szCs w:val="24"/>
                <w14:ligatures w14:val="standardContextual"/>
              </w:rPr>
              <w:tab/>
            </w:r>
            <w:r w:rsidR="00C42BBC" w:rsidRPr="004953FD">
              <w:rPr>
                <w:rStyle w:val="Hyperlink"/>
                <w:noProof/>
              </w:rPr>
              <w:t>Integrimi i tregut</w:t>
            </w:r>
            <w:r w:rsidR="00C42BBC">
              <w:rPr>
                <w:noProof/>
                <w:webHidden/>
              </w:rPr>
              <w:tab/>
            </w:r>
            <w:r w:rsidR="00C42BBC">
              <w:rPr>
                <w:noProof/>
                <w:webHidden/>
              </w:rPr>
              <w:fldChar w:fldCharType="begin"/>
            </w:r>
            <w:r w:rsidR="00C42BBC">
              <w:rPr>
                <w:noProof/>
                <w:webHidden/>
              </w:rPr>
              <w:instrText xml:space="preserve"> PAGEREF _Toc182302278 \h </w:instrText>
            </w:r>
            <w:r w:rsidR="00C42BBC">
              <w:rPr>
                <w:noProof/>
                <w:webHidden/>
              </w:rPr>
            </w:r>
            <w:r w:rsidR="00C42BBC">
              <w:rPr>
                <w:noProof/>
                <w:webHidden/>
              </w:rPr>
              <w:fldChar w:fldCharType="separate"/>
            </w:r>
            <w:r w:rsidR="00C42BBC">
              <w:rPr>
                <w:noProof/>
                <w:webHidden/>
              </w:rPr>
              <w:t>54</w:t>
            </w:r>
            <w:r w:rsidR="00C42BBC">
              <w:rPr>
                <w:noProof/>
                <w:webHidden/>
              </w:rPr>
              <w:fldChar w:fldCharType="end"/>
            </w:r>
          </w:hyperlink>
        </w:p>
        <w:p w14:paraId="18976718" w14:textId="3A77B9A3" w:rsidR="00C42BBC" w:rsidRDefault="00062E07">
          <w:pPr>
            <w:pStyle w:val="TOC3"/>
            <w:rPr>
              <w:rFonts w:asciiTheme="minorHAnsi" w:hAnsiTheme="minorHAnsi"/>
              <w:noProof/>
              <w:color w:val="auto"/>
              <w:kern w:val="2"/>
              <w:sz w:val="24"/>
              <w:szCs w:val="24"/>
              <w14:ligatures w14:val="standardContextual"/>
            </w:rPr>
          </w:pPr>
          <w:hyperlink w:anchor="_Toc182302279" w:history="1">
            <w:r w:rsidR="00C42BBC" w:rsidRPr="004953FD">
              <w:rPr>
                <w:rStyle w:val="Hyperlink"/>
                <w:rFonts w:cs="Times New Roman"/>
                <w:noProof/>
              </w:rPr>
              <w:t>IV.</w:t>
            </w:r>
            <w:r w:rsidR="00C42BBC">
              <w:rPr>
                <w:rFonts w:asciiTheme="minorHAnsi" w:hAnsiTheme="minorHAnsi"/>
                <w:noProof/>
                <w:color w:val="auto"/>
                <w:kern w:val="2"/>
                <w:sz w:val="24"/>
                <w:szCs w:val="24"/>
                <w14:ligatures w14:val="standardContextual"/>
              </w:rPr>
              <w:tab/>
            </w:r>
            <w:r w:rsidR="00C42BBC" w:rsidRPr="004953FD">
              <w:rPr>
                <w:rStyle w:val="Hyperlink"/>
                <w:noProof/>
              </w:rPr>
              <w:t>Varfëria energjetike</w:t>
            </w:r>
            <w:r w:rsidR="00C42BBC">
              <w:rPr>
                <w:noProof/>
                <w:webHidden/>
              </w:rPr>
              <w:tab/>
            </w:r>
            <w:r w:rsidR="00C42BBC">
              <w:rPr>
                <w:noProof/>
                <w:webHidden/>
              </w:rPr>
              <w:fldChar w:fldCharType="begin"/>
            </w:r>
            <w:r w:rsidR="00C42BBC">
              <w:rPr>
                <w:noProof/>
                <w:webHidden/>
              </w:rPr>
              <w:instrText xml:space="preserve"> PAGEREF _Toc182302279 \h </w:instrText>
            </w:r>
            <w:r w:rsidR="00C42BBC">
              <w:rPr>
                <w:noProof/>
                <w:webHidden/>
              </w:rPr>
            </w:r>
            <w:r w:rsidR="00C42BBC">
              <w:rPr>
                <w:noProof/>
                <w:webHidden/>
              </w:rPr>
              <w:fldChar w:fldCharType="separate"/>
            </w:r>
            <w:r w:rsidR="00C42BBC">
              <w:rPr>
                <w:noProof/>
                <w:webHidden/>
              </w:rPr>
              <w:t>57</w:t>
            </w:r>
            <w:r w:rsidR="00C42BBC">
              <w:rPr>
                <w:noProof/>
                <w:webHidden/>
              </w:rPr>
              <w:fldChar w:fldCharType="end"/>
            </w:r>
          </w:hyperlink>
        </w:p>
        <w:p w14:paraId="035ABEB1" w14:textId="1AF865CE" w:rsidR="00C42BBC" w:rsidRDefault="00062E07">
          <w:pPr>
            <w:pStyle w:val="TOC2"/>
            <w:tabs>
              <w:tab w:val="left" w:pos="880"/>
              <w:tab w:val="right" w:leader="dot" w:pos="9564"/>
            </w:tabs>
            <w:rPr>
              <w:rFonts w:asciiTheme="minorHAnsi" w:hAnsiTheme="minorHAnsi"/>
              <w:noProof/>
              <w:color w:val="auto"/>
              <w:kern w:val="2"/>
              <w:sz w:val="24"/>
              <w:szCs w:val="24"/>
              <w14:ligatures w14:val="standardContextual"/>
            </w:rPr>
          </w:pPr>
          <w:hyperlink w:anchor="_Toc182302280" w:history="1">
            <w:r w:rsidR="00C42BBC" w:rsidRPr="004953FD">
              <w:rPr>
                <w:rStyle w:val="Hyperlink"/>
                <w:noProof/>
              </w:rPr>
              <w:t>2.5</w:t>
            </w:r>
            <w:r w:rsidR="00C42BBC">
              <w:rPr>
                <w:rFonts w:asciiTheme="minorHAnsi" w:hAnsiTheme="minorHAnsi"/>
                <w:noProof/>
                <w:color w:val="auto"/>
                <w:kern w:val="2"/>
                <w:sz w:val="24"/>
                <w:szCs w:val="24"/>
                <w14:ligatures w14:val="standardContextual"/>
              </w:rPr>
              <w:tab/>
            </w:r>
            <w:r w:rsidR="00C42BBC" w:rsidRPr="004953FD">
              <w:rPr>
                <w:rStyle w:val="Hyperlink"/>
                <w:noProof/>
              </w:rPr>
              <w:t>Dimensioni i hulumtimit, inovacionit dhe konkurrueshmërisë</w:t>
            </w:r>
            <w:r w:rsidR="00C42BBC">
              <w:rPr>
                <w:noProof/>
                <w:webHidden/>
              </w:rPr>
              <w:tab/>
            </w:r>
            <w:r w:rsidR="00C42BBC">
              <w:rPr>
                <w:noProof/>
                <w:webHidden/>
              </w:rPr>
              <w:fldChar w:fldCharType="begin"/>
            </w:r>
            <w:r w:rsidR="00C42BBC">
              <w:rPr>
                <w:noProof/>
                <w:webHidden/>
              </w:rPr>
              <w:instrText xml:space="preserve"> PAGEREF _Toc182302280 \h </w:instrText>
            </w:r>
            <w:r w:rsidR="00C42BBC">
              <w:rPr>
                <w:noProof/>
                <w:webHidden/>
              </w:rPr>
            </w:r>
            <w:r w:rsidR="00C42BBC">
              <w:rPr>
                <w:noProof/>
                <w:webHidden/>
              </w:rPr>
              <w:fldChar w:fldCharType="separate"/>
            </w:r>
            <w:r w:rsidR="00C42BBC">
              <w:rPr>
                <w:noProof/>
                <w:webHidden/>
              </w:rPr>
              <w:t>57</w:t>
            </w:r>
            <w:r w:rsidR="00C42BBC">
              <w:rPr>
                <w:noProof/>
                <w:webHidden/>
              </w:rPr>
              <w:fldChar w:fldCharType="end"/>
            </w:r>
          </w:hyperlink>
        </w:p>
        <w:p w14:paraId="4B523DE7" w14:textId="2330AD56" w:rsidR="00C42BBC" w:rsidRDefault="00062E07">
          <w:pPr>
            <w:pStyle w:val="TOC3"/>
            <w:rPr>
              <w:rFonts w:asciiTheme="minorHAnsi" w:hAnsiTheme="minorHAnsi"/>
              <w:noProof/>
              <w:color w:val="auto"/>
              <w:kern w:val="2"/>
              <w:sz w:val="24"/>
              <w:szCs w:val="24"/>
              <w14:ligatures w14:val="standardContextual"/>
            </w:rPr>
          </w:pPr>
          <w:hyperlink w:anchor="_Toc182302281" w:history="1">
            <w:r w:rsidR="00C42BBC" w:rsidRPr="004953FD">
              <w:rPr>
                <w:rStyle w:val="Hyperlink"/>
                <w:rFonts w:cs="Times New Roman"/>
                <w:noProof/>
              </w:rPr>
              <w:t>I.</w:t>
            </w:r>
            <w:r w:rsidR="00C42BBC">
              <w:rPr>
                <w:rFonts w:asciiTheme="minorHAnsi" w:hAnsiTheme="minorHAnsi"/>
                <w:noProof/>
                <w:color w:val="auto"/>
                <w:kern w:val="2"/>
                <w:sz w:val="24"/>
                <w:szCs w:val="24"/>
                <w14:ligatures w14:val="standardContextual"/>
              </w:rPr>
              <w:tab/>
            </w:r>
            <w:r w:rsidR="00C42BBC" w:rsidRPr="004953FD">
              <w:rPr>
                <w:rStyle w:val="Hyperlink"/>
                <w:noProof/>
              </w:rPr>
              <w:t>Objektivat kombëtare dhe caqet e financimit për hulumtimin dhe inovacionin</w:t>
            </w:r>
            <w:r w:rsidR="00C42BBC">
              <w:rPr>
                <w:noProof/>
                <w:webHidden/>
              </w:rPr>
              <w:tab/>
            </w:r>
            <w:r w:rsidR="00C42BBC">
              <w:rPr>
                <w:noProof/>
                <w:webHidden/>
              </w:rPr>
              <w:fldChar w:fldCharType="begin"/>
            </w:r>
            <w:r w:rsidR="00C42BBC">
              <w:rPr>
                <w:noProof/>
                <w:webHidden/>
              </w:rPr>
              <w:instrText xml:space="preserve"> PAGEREF _Toc182302281 \h </w:instrText>
            </w:r>
            <w:r w:rsidR="00C42BBC">
              <w:rPr>
                <w:noProof/>
                <w:webHidden/>
              </w:rPr>
            </w:r>
            <w:r w:rsidR="00C42BBC">
              <w:rPr>
                <w:noProof/>
                <w:webHidden/>
              </w:rPr>
              <w:fldChar w:fldCharType="separate"/>
            </w:r>
            <w:r w:rsidR="00C42BBC">
              <w:rPr>
                <w:noProof/>
                <w:webHidden/>
              </w:rPr>
              <w:t>57</w:t>
            </w:r>
            <w:r w:rsidR="00C42BBC">
              <w:rPr>
                <w:noProof/>
                <w:webHidden/>
              </w:rPr>
              <w:fldChar w:fldCharType="end"/>
            </w:r>
          </w:hyperlink>
        </w:p>
        <w:p w14:paraId="2D1DAA33" w14:textId="428B4882" w:rsidR="00C42BBC" w:rsidRDefault="00062E07">
          <w:pPr>
            <w:pStyle w:val="TOC3"/>
            <w:rPr>
              <w:rFonts w:asciiTheme="minorHAnsi" w:hAnsiTheme="minorHAnsi"/>
              <w:noProof/>
              <w:color w:val="auto"/>
              <w:kern w:val="2"/>
              <w:sz w:val="24"/>
              <w:szCs w:val="24"/>
              <w14:ligatures w14:val="standardContextual"/>
            </w:rPr>
          </w:pPr>
          <w:hyperlink w:anchor="_Toc182302282" w:history="1">
            <w:r w:rsidR="00C42BBC" w:rsidRPr="004953FD">
              <w:rPr>
                <w:rStyle w:val="Hyperlink"/>
                <w:rFonts w:cs="Times New Roman"/>
                <w:noProof/>
              </w:rPr>
              <w:t>II.</w:t>
            </w:r>
            <w:r w:rsidR="00C42BBC">
              <w:rPr>
                <w:rFonts w:asciiTheme="minorHAnsi" w:hAnsiTheme="minorHAnsi"/>
                <w:noProof/>
                <w:color w:val="auto"/>
                <w:kern w:val="2"/>
                <w:sz w:val="24"/>
                <w:szCs w:val="24"/>
                <w14:ligatures w14:val="standardContextual"/>
              </w:rPr>
              <w:tab/>
            </w:r>
            <w:r w:rsidR="00C42BBC" w:rsidRPr="004953FD">
              <w:rPr>
                <w:rStyle w:val="Hyperlink"/>
                <w:noProof/>
              </w:rPr>
              <w:t>Objektivat kombëtare për vitin 2050 në lidhje me promovimin e teknologjive të energjisë së pastër dhe caqet afatgjata (2050) për vendosjen e teknologjive me karbon të ulët</w:t>
            </w:r>
            <w:r w:rsidR="00C42BBC">
              <w:rPr>
                <w:noProof/>
                <w:webHidden/>
              </w:rPr>
              <w:tab/>
            </w:r>
            <w:r w:rsidR="00C42BBC">
              <w:rPr>
                <w:noProof/>
                <w:webHidden/>
              </w:rPr>
              <w:fldChar w:fldCharType="begin"/>
            </w:r>
            <w:r w:rsidR="00C42BBC">
              <w:rPr>
                <w:noProof/>
                <w:webHidden/>
              </w:rPr>
              <w:instrText xml:space="preserve"> PAGEREF _Toc182302282 \h </w:instrText>
            </w:r>
            <w:r w:rsidR="00C42BBC">
              <w:rPr>
                <w:noProof/>
                <w:webHidden/>
              </w:rPr>
            </w:r>
            <w:r w:rsidR="00C42BBC">
              <w:rPr>
                <w:noProof/>
                <w:webHidden/>
              </w:rPr>
              <w:fldChar w:fldCharType="separate"/>
            </w:r>
            <w:r w:rsidR="00C42BBC">
              <w:rPr>
                <w:noProof/>
                <w:webHidden/>
              </w:rPr>
              <w:t>60</w:t>
            </w:r>
            <w:r w:rsidR="00C42BBC">
              <w:rPr>
                <w:noProof/>
                <w:webHidden/>
              </w:rPr>
              <w:fldChar w:fldCharType="end"/>
            </w:r>
          </w:hyperlink>
        </w:p>
        <w:p w14:paraId="661733DA" w14:textId="6C317C06" w:rsidR="00C42BBC" w:rsidRDefault="00062E07">
          <w:pPr>
            <w:pStyle w:val="TOC3"/>
            <w:rPr>
              <w:rFonts w:asciiTheme="minorHAnsi" w:hAnsiTheme="minorHAnsi"/>
              <w:noProof/>
              <w:color w:val="auto"/>
              <w:kern w:val="2"/>
              <w:sz w:val="24"/>
              <w:szCs w:val="24"/>
              <w14:ligatures w14:val="standardContextual"/>
            </w:rPr>
          </w:pPr>
          <w:hyperlink w:anchor="_Toc182302283" w:history="1">
            <w:r w:rsidR="00C42BBC" w:rsidRPr="004953FD">
              <w:rPr>
                <w:rStyle w:val="Hyperlink"/>
                <w:rFonts w:cs="Times New Roman"/>
                <w:noProof/>
              </w:rPr>
              <w:t>III.</w:t>
            </w:r>
            <w:r w:rsidR="00C42BBC">
              <w:rPr>
                <w:rFonts w:asciiTheme="minorHAnsi" w:hAnsiTheme="minorHAnsi"/>
                <w:noProof/>
                <w:color w:val="auto"/>
                <w:kern w:val="2"/>
                <w:sz w:val="24"/>
                <w:szCs w:val="24"/>
                <w14:ligatures w14:val="standardContextual"/>
              </w:rPr>
              <w:tab/>
            </w:r>
            <w:r w:rsidR="00C42BBC" w:rsidRPr="004953FD">
              <w:rPr>
                <w:rStyle w:val="Hyperlink"/>
                <w:noProof/>
              </w:rPr>
              <w:t>Objektivat kombëtare në lidhje me konkurrencën</w:t>
            </w:r>
            <w:r w:rsidR="00C42BBC">
              <w:rPr>
                <w:noProof/>
                <w:webHidden/>
              </w:rPr>
              <w:tab/>
            </w:r>
            <w:r w:rsidR="00C42BBC">
              <w:rPr>
                <w:noProof/>
                <w:webHidden/>
              </w:rPr>
              <w:fldChar w:fldCharType="begin"/>
            </w:r>
            <w:r w:rsidR="00C42BBC">
              <w:rPr>
                <w:noProof/>
                <w:webHidden/>
              </w:rPr>
              <w:instrText xml:space="preserve"> PAGEREF _Toc182302283 \h </w:instrText>
            </w:r>
            <w:r w:rsidR="00C42BBC">
              <w:rPr>
                <w:noProof/>
                <w:webHidden/>
              </w:rPr>
            </w:r>
            <w:r w:rsidR="00C42BBC">
              <w:rPr>
                <w:noProof/>
                <w:webHidden/>
              </w:rPr>
              <w:fldChar w:fldCharType="separate"/>
            </w:r>
            <w:r w:rsidR="00C42BBC">
              <w:rPr>
                <w:noProof/>
                <w:webHidden/>
              </w:rPr>
              <w:t>60</w:t>
            </w:r>
            <w:r w:rsidR="00C42BBC">
              <w:rPr>
                <w:noProof/>
                <w:webHidden/>
              </w:rPr>
              <w:fldChar w:fldCharType="end"/>
            </w:r>
          </w:hyperlink>
        </w:p>
        <w:p w14:paraId="232D1D6B" w14:textId="452A4746" w:rsidR="00C42BBC" w:rsidRDefault="00062E07">
          <w:pPr>
            <w:pStyle w:val="TOC1"/>
            <w:tabs>
              <w:tab w:val="left" w:pos="400"/>
            </w:tabs>
            <w:rPr>
              <w:rFonts w:asciiTheme="minorHAnsi" w:hAnsiTheme="minorHAnsi"/>
              <w:noProof/>
              <w:color w:val="auto"/>
              <w:kern w:val="2"/>
              <w:sz w:val="24"/>
              <w:szCs w:val="24"/>
              <w14:ligatures w14:val="standardContextual"/>
            </w:rPr>
          </w:pPr>
          <w:hyperlink w:anchor="_Toc182302284" w:history="1">
            <w:r w:rsidR="00C42BBC" w:rsidRPr="004953FD">
              <w:rPr>
                <w:rStyle w:val="Hyperlink"/>
                <w:noProof/>
              </w:rPr>
              <w:t>3</w:t>
            </w:r>
            <w:r w:rsidR="00C42BBC">
              <w:rPr>
                <w:rFonts w:asciiTheme="minorHAnsi" w:hAnsiTheme="minorHAnsi"/>
                <w:noProof/>
                <w:color w:val="auto"/>
                <w:kern w:val="2"/>
                <w:sz w:val="24"/>
                <w:szCs w:val="24"/>
                <w14:ligatures w14:val="standardContextual"/>
              </w:rPr>
              <w:tab/>
            </w:r>
            <w:r w:rsidR="00C42BBC" w:rsidRPr="004953FD">
              <w:rPr>
                <w:rStyle w:val="Hyperlink"/>
                <w:noProof/>
              </w:rPr>
              <w:t>POLITIKAT DHE MASAT</w:t>
            </w:r>
            <w:r w:rsidR="00C42BBC">
              <w:rPr>
                <w:noProof/>
                <w:webHidden/>
              </w:rPr>
              <w:tab/>
            </w:r>
            <w:r w:rsidR="00C42BBC">
              <w:rPr>
                <w:noProof/>
                <w:webHidden/>
              </w:rPr>
              <w:fldChar w:fldCharType="begin"/>
            </w:r>
            <w:r w:rsidR="00C42BBC">
              <w:rPr>
                <w:noProof/>
                <w:webHidden/>
              </w:rPr>
              <w:instrText xml:space="preserve"> PAGEREF _Toc182302284 \h </w:instrText>
            </w:r>
            <w:r w:rsidR="00C42BBC">
              <w:rPr>
                <w:noProof/>
                <w:webHidden/>
              </w:rPr>
            </w:r>
            <w:r w:rsidR="00C42BBC">
              <w:rPr>
                <w:noProof/>
                <w:webHidden/>
              </w:rPr>
              <w:fldChar w:fldCharType="separate"/>
            </w:r>
            <w:r w:rsidR="00C42BBC">
              <w:rPr>
                <w:noProof/>
                <w:webHidden/>
              </w:rPr>
              <w:t>62</w:t>
            </w:r>
            <w:r w:rsidR="00C42BBC">
              <w:rPr>
                <w:noProof/>
                <w:webHidden/>
              </w:rPr>
              <w:fldChar w:fldCharType="end"/>
            </w:r>
          </w:hyperlink>
        </w:p>
        <w:p w14:paraId="14CE68F1" w14:textId="0F27740D" w:rsidR="00C42BBC" w:rsidRDefault="00062E07">
          <w:pPr>
            <w:pStyle w:val="TOC2"/>
            <w:tabs>
              <w:tab w:val="left" w:pos="880"/>
              <w:tab w:val="right" w:leader="dot" w:pos="9564"/>
            </w:tabs>
            <w:rPr>
              <w:rFonts w:asciiTheme="minorHAnsi" w:hAnsiTheme="minorHAnsi"/>
              <w:noProof/>
              <w:color w:val="auto"/>
              <w:kern w:val="2"/>
              <w:sz w:val="24"/>
              <w:szCs w:val="24"/>
              <w14:ligatures w14:val="standardContextual"/>
            </w:rPr>
          </w:pPr>
          <w:hyperlink w:anchor="_Toc182302285" w:history="1">
            <w:r w:rsidR="00C42BBC" w:rsidRPr="004953FD">
              <w:rPr>
                <w:rStyle w:val="Hyperlink"/>
                <w:noProof/>
              </w:rPr>
              <w:t>3.1</w:t>
            </w:r>
            <w:r w:rsidR="00C42BBC">
              <w:rPr>
                <w:rFonts w:asciiTheme="minorHAnsi" w:hAnsiTheme="minorHAnsi"/>
                <w:noProof/>
                <w:color w:val="auto"/>
                <w:kern w:val="2"/>
                <w:sz w:val="24"/>
                <w:szCs w:val="24"/>
                <w14:ligatures w14:val="standardContextual"/>
              </w:rPr>
              <w:tab/>
            </w:r>
            <w:r w:rsidR="00C42BBC" w:rsidRPr="004953FD">
              <w:rPr>
                <w:rStyle w:val="Hyperlink"/>
                <w:noProof/>
              </w:rPr>
              <w:t>Dimensioni i dekarbonizimit</w:t>
            </w:r>
            <w:r w:rsidR="00C42BBC">
              <w:rPr>
                <w:noProof/>
                <w:webHidden/>
              </w:rPr>
              <w:tab/>
            </w:r>
            <w:r w:rsidR="00C42BBC">
              <w:rPr>
                <w:noProof/>
                <w:webHidden/>
              </w:rPr>
              <w:fldChar w:fldCharType="begin"/>
            </w:r>
            <w:r w:rsidR="00C42BBC">
              <w:rPr>
                <w:noProof/>
                <w:webHidden/>
              </w:rPr>
              <w:instrText xml:space="preserve"> PAGEREF _Toc182302285 \h </w:instrText>
            </w:r>
            <w:r w:rsidR="00C42BBC">
              <w:rPr>
                <w:noProof/>
                <w:webHidden/>
              </w:rPr>
            </w:r>
            <w:r w:rsidR="00C42BBC">
              <w:rPr>
                <w:noProof/>
                <w:webHidden/>
              </w:rPr>
              <w:fldChar w:fldCharType="separate"/>
            </w:r>
            <w:r w:rsidR="00C42BBC">
              <w:rPr>
                <w:noProof/>
                <w:webHidden/>
              </w:rPr>
              <w:t>62</w:t>
            </w:r>
            <w:r w:rsidR="00C42BBC">
              <w:rPr>
                <w:noProof/>
                <w:webHidden/>
              </w:rPr>
              <w:fldChar w:fldCharType="end"/>
            </w:r>
          </w:hyperlink>
        </w:p>
        <w:p w14:paraId="4D9C9B93" w14:textId="7514E371" w:rsidR="00C42BBC" w:rsidRDefault="00062E07">
          <w:pPr>
            <w:pStyle w:val="TOC3"/>
            <w:rPr>
              <w:rFonts w:asciiTheme="minorHAnsi" w:hAnsiTheme="minorHAnsi"/>
              <w:noProof/>
              <w:color w:val="auto"/>
              <w:kern w:val="2"/>
              <w:sz w:val="24"/>
              <w:szCs w:val="24"/>
              <w14:ligatures w14:val="standardContextual"/>
            </w:rPr>
          </w:pPr>
          <w:hyperlink w:anchor="_Toc182302286" w:history="1">
            <w:r w:rsidR="00C42BBC" w:rsidRPr="004953FD">
              <w:rPr>
                <w:rStyle w:val="Hyperlink"/>
                <w:rFonts w:cs="Times New Roman"/>
                <w:noProof/>
              </w:rPr>
              <w:t>I.</w:t>
            </w:r>
            <w:r w:rsidR="00C42BBC">
              <w:rPr>
                <w:rFonts w:asciiTheme="minorHAnsi" w:hAnsiTheme="minorHAnsi"/>
                <w:noProof/>
                <w:color w:val="auto"/>
                <w:kern w:val="2"/>
                <w:sz w:val="24"/>
                <w:szCs w:val="24"/>
                <w14:ligatures w14:val="standardContextual"/>
              </w:rPr>
              <w:tab/>
            </w:r>
            <w:r w:rsidR="00C42BBC" w:rsidRPr="004953FD">
              <w:rPr>
                <w:rStyle w:val="Hyperlink"/>
                <w:noProof/>
              </w:rPr>
              <w:t>Emetimet dhe largimet e GS-ve</w:t>
            </w:r>
            <w:r w:rsidR="00C42BBC">
              <w:rPr>
                <w:noProof/>
                <w:webHidden/>
              </w:rPr>
              <w:tab/>
            </w:r>
            <w:r w:rsidR="00C42BBC">
              <w:rPr>
                <w:noProof/>
                <w:webHidden/>
              </w:rPr>
              <w:fldChar w:fldCharType="begin"/>
            </w:r>
            <w:r w:rsidR="00C42BBC">
              <w:rPr>
                <w:noProof/>
                <w:webHidden/>
              </w:rPr>
              <w:instrText xml:space="preserve"> PAGEREF _Toc182302286 \h </w:instrText>
            </w:r>
            <w:r w:rsidR="00C42BBC">
              <w:rPr>
                <w:noProof/>
                <w:webHidden/>
              </w:rPr>
            </w:r>
            <w:r w:rsidR="00C42BBC">
              <w:rPr>
                <w:noProof/>
                <w:webHidden/>
              </w:rPr>
              <w:fldChar w:fldCharType="separate"/>
            </w:r>
            <w:r w:rsidR="00C42BBC">
              <w:rPr>
                <w:noProof/>
                <w:webHidden/>
              </w:rPr>
              <w:t>62</w:t>
            </w:r>
            <w:r w:rsidR="00C42BBC">
              <w:rPr>
                <w:noProof/>
                <w:webHidden/>
              </w:rPr>
              <w:fldChar w:fldCharType="end"/>
            </w:r>
          </w:hyperlink>
        </w:p>
        <w:p w14:paraId="0C092ED2" w14:textId="32F2401F" w:rsidR="00C42BBC" w:rsidRDefault="00062E07">
          <w:pPr>
            <w:pStyle w:val="TOC3"/>
            <w:rPr>
              <w:rFonts w:asciiTheme="minorHAnsi" w:hAnsiTheme="minorHAnsi"/>
              <w:noProof/>
              <w:color w:val="auto"/>
              <w:kern w:val="2"/>
              <w:sz w:val="24"/>
              <w:szCs w:val="24"/>
              <w14:ligatures w14:val="standardContextual"/>
            </w:rPr>
          </w:pPr>
          <w:hyperlink w:anchor="_Toc182302287" w:history="1">
            <w:r w:rsidR="00C42BBC" w:rsidRPr="004953FD">
              <w:rPr>
                <w:rStyle w:val="Hyperlink"/>
                <w:rFonts w:cs="Times New Roman"/>
                <w:noProof/>
              </w:rPr>
              <w:t>II.</w:t>
            </w:r>
            <w:r w:rsidR="00C42BBC">
              <w:rPr>
                <w:rFonts w:asciiTheme="minorHAnsi" w:hAnsiTheme="minorHAnsi"/>
                <w:noProof/>
                <w:color w:val="auto"/>
                <w:kern w:val="2"/>
                <w:sz w:val="24"/>
                <w:szCs w:val="24"/>
                <w14:ligatures w14:val="standardContextual"/>
              </w:rPr>
              <w:tab/>
            </w:r>
            <w:r w:rsidR="00C42BBC" w:rsidRPr="004953FD">
              <w:rPr>
                <w:rStyle w:val="Hyperlink"/>
                <w:noProof/>
              </w:rPr>
              <w:t>Energjia e ripërtëritshme</w:t>
            </w:r>
            <w:r w:rsidR="00C42BBC">
              <w:rPr>
                <w:noProof/>
                <w:webHidden/>
              </w:rPr>
              <w:tab/>
            </w:r>
            <w:r w:rsidR="00C42BBC">
              <w:rPr>
                <w:noProof/>
                <w:webHidden/>
              </w:rPr>
              <w:fldChar w:fldCharType="begin"/>
            </w:r>
            <w:r w:rsidR="00C42BBC">
              <w:rPr>
                <w:noProof/>
                <w:webHidden/>
              </w:rPr>
              <w:instrText xml:space="preserve"> PAGEREF _Toc182302287 \h </w:instrText>
            </w:r>
            <w:r w:rsidR="00C42BBC">
              <w:rPr>
                <w:noProof/>
                <w:webHidden/>
              </w:rPr>
            </w:r>
            <w:r w:rsidR="00C42BBC">
              <w:rPr>
                <w:noProof/>
                <w:webHidden/>
              </w:rPr>
              <w:fldChar w:fldCharType="separate"/>
            </w:r>
            <w:r w:rsidR="00C42BBC">
              <w:rPr>
                <w:noProof/>
                <w:webHidden/>
              </w:rPr>
              <w:t>67</w:t>
            </w:r>
            <w:r w:rsidR="00C42BBC">
              <w:rPr>
                <w:noProof/>
                <w:webHidden/>
              </w:rPr>
              <w:fldChar w:fldCharType="end"/>
            </w:r>
          </w:hyperlink>
        </w:p>
        <w:p w14:paraId="5755EEA7" w14:textId="5E7BB0B1" w:rsidR="00C42BBC" w:rsidRDefault="00062E07">
          <w:pPr>
            <w:pStyle w:val="TOC2"/>
            <w:tabs>
              <w:tab w:val="left" w:pos="880"/>
              <w:tab w:val="right" w:leader="dot" w:pos="9564"/>
            </w:tabs>
            <w:rPr>
              <w:rFonts w:asciiTheme="minorHAnsi" w:hAnsiTheme="minorHAnsi"/>
              <w:noProof/>
              <w:color w:val="auto"/>
              <w:kern w:val="2"/>
              <w:sz w:val="24"/>
              <w:szCs w:val="24"/>
              <w14:ligatures w14:val="standardContextual"/>
            </w:rPr>
          </w:pPr>
          <w:hyperlink w:anchor="_Toc182302288" w:history="1">
            <w:r w:rsidR="00C42BBC" w:rsidRPr="004953FD">
              <w:rPr>
                <w:rStyle w:val="Hyperlink"/>
                <w:noProof/>
              </w:rPr>
              <w:t>3.2</w:t>
            </w:r>
            <w:r w:rsidR="00C42BBC">
              <w:rPr>
                <w:rFonts w:asciiTheme="minorHAnsi" w:hAnsiTheme="minorHAnsi"/>
                <w:noProof/>
                <w:color w:val="auto"/>
                <w:kern w:val="2"/>
                <w:sz w:val="24"/>
                <w:szCs w:val="24"/>
                <w14:ligatures w14:val="standardContextual"/>
              </w:rPr>
              <w:tab/>
            </w:r>
            <w:r w:rsidR="00C42BBC" w:rsidRPr="004953FD">
              <w:rPr>
                <w:rStyle w:val="Hyperlink"/>
                <w:noProof/>
              </w:rPr>
              <w:t>Dimensioni i efiçiencës së energjisë</w:t>
            </w:r>
            <w:r w:rsidR="00C42BBC">
              <w:rPr>
                <w:noProof/>
                <w:webHidden/>
              </w:rPr>
              <w:tab/>
            </w:r>
            <w:r w:rsidR="00C42BBC">
              <w:rPr>
                <w:noProof/>
                <w:webHidden/>
              </w:rPr>
              <w:fldChar w:fldCharType="begin"/>
            </w:r>
            <w:r w:rsidR="00C42BBC">
              <w:rPr>
                <w:noProof/>
                <w:webHidden/>
              </w:rPr>
              <w:instrText xml:space="preserve"> PAGEREF _Toc182302288 \h </w:instrText>
            </w:r>
            <w:r w:rsidR="00C42BBC">
              <w:rPr>
                <w:noProof/>
                <w:webHidden/>
              </w:rPr>
            </w:r>
            <w:r w:rsidR="00C42BBC">
              <w:rPr>
                <w:noProof/>
                <w:webHidden/>
              </w:rPr>
              <w:fldChar w:fldCharType="separate"/>
            </w:r>
            <w:r w:rsidR="00C42BBC">
              <w:rPr>
                <w:noProof/>
                <w:webHidden/>
              </w:rPr>
              <w:t>76</w:t>
            </w:r>
            <w:r w:rsidR="00C42BBC">
              <w:rPr>
                <w:noProof/>
                <w:webHidden/>
              </w:rPr>
              <w:fldChar w:fldCharType="end"/>
            </w:r>
          </w:hyperlink>
        </w:p>
        <w:p w14:paraId="16B157A2" w14:textId="18703823" w:rsidR="00C42BBC" w:rsidRDefault="00062E07">
          <w:pPr>
            <w:pStyle w:val="TOC3"/>
            <w:rPr>
              <w:rFonts w:asciiTheme="minorHAnsi" w:hAnsiTheme="minorHAnsi"/>
              <w:noProof/>
              <w:color w:val="auto"/>
              <w:kern w:val="2"/>
              <w:sz w:val="24"/>
              <w:szCs w:val="24"/>
              <w14:ligatures w14:val="standardContextual"/>
            </w:rPr>
          </w:pPr>
          <w:hyperlink w:anchor="_Toc182302289" w:history="1">
            <w:r w:rsidR="00C42BBC" w:rsidRPr="004953FD">
              <w:rPr>
                <w:rStyle w:val="Hyperlink"/>
                <w:rFonts w:cs="Times New Roman"/>
                <w:noProof/>
              </w:rPr>
              <w:t>I.</w:t>
            </w:r>
            <w:r w:rsidR="00C42BBC">
              <w:rPr>
                <w:rFonts w:asciiTheme="minorHAnsi" w:hAnsiTheme="minorHAnsi"/>
                <w:noProof/>
                <w:color w:val="auto"/>
                <w:kern w:val="2"/>
                <w:sz w:val="24"/>
                <w:szCs w:val="24"/>
                <w14:ligatures w14:val="standardContextual"/>
              </w:rPr>
              <w:tab/>
            </w:r>
            <w:r w:rsidR="00C42BBC" w:rsidRPr="004953FD">
              <w:rPr>
                <w:rStyle w:val="Hyperlink"/>
                <w:noProof/>
              </w:rPr>
              <w:t>Transpozimi dhe zbatimi i politikave të BE-së për efiçiencën e energjisë</w:t>
            </w:r>
            <w:r w:rsidR="00C42BBC">
              <w:rPr>
                <w:noProof/>
                <w:webHidden/>
              </w:rPr>
              <w:tab/>
            </w:r>
            <w:r w:rsidR="00C42BBC">
              <w:rPr>
                <w:noProof/>
                <w:webHidden/>
              </w:rPr>
              <w:fldChar w:fldCharType="begin"/>
            </w:r>
            <w:r w:rsidR="00C42BBC">
              <w:rPr>
                <w:noProof/>
                <w:webHidden/>
              </w:rPr>
              <w:instrText xml:space="preserve"> PAGEREF _Toc182302289 \h </w:instrText>
            </w:r>
            <w:r w:rsidR="00C42BBC">
              <w:rPr>
                <w:noProof/>
                <w:webHidden/>
              </w:rPr>
            </w:r>
            <w:r w:rsidR="00C42BBC">
              <w:rPr>
                <w:noProof/>
                <w:webHidden/>
              </w:rPr>
              <w:fldChar w:fldCharType="separate"/>
            </w:r>
            <w:r w:rsidR="00C42BBC">
              <w:rPr>
                <w:noProof/>
                <w:webHidden/>
              </w:rPr>
              <w:t>76</w:t>
            </w:r>
            <w:r w:rsidR="00C42BBC">
              <w:rPr>
                <w:noProof/>
                <w:webHidden/>
              </w:rPr>
              <w:fldChar w:fldCharType="end"/>
            </w:r>
          </w:hyperlink>
        </w:p>
        <w:p w14:paraId="2C7BA8F6" w14:textId="6BA12439" w:rsidR="00C42BBC" w:rsidRDefault="00062E07">
          <w:pPr>
            <w:pStyle w:val="TOC3"/>
            <w:rPr>
              <w:rFonts w:asciiTheme="minorHAnsi" w:hAnsiTheme="minorHAnsi"/>
              <w:noProof/>
              <w:color w:val="auto"/>
              <w:kern w:val="2"/>
              <w:sz w:val="24"/>
              <w:szCs w:val="24"/>
              <w14:ligatures w14:val="standardContextual"/>
            </w:rPr>
          </w:pPr>
          <w:hyperlink w:anchor="_Toc182302290" w:history="1">
            <w:r w:rsidR="00C42BBC" w:rsidRPr="004953FD">
              <w:rPr>
                <w:rStyle w:val="Hyperlink"/>
                <w:rFonts w:cs="Times New Roman"/>
                <w:noProof/>
              </w:rPr>
              <w:t>II.</w:t>
            </w:r>
            <w:r w:rsidR="00C42BBC">
              <w:rPr>
                <w:rFonts w:asciiTheme="minorHAnsi" w:hAnsiTheme="minorHAnsi"/>
                <w:noProof/>
                <w:color w:val="auto"/>
                <w:kern w:val="2"/>
                <w:sz w:val="24"/>
                <w:szCs w:val="24"/>
                <w14:ligatures w14:val="standardContextual"/>
              </w:rPr>
              <w:tab/>
            </w:r>
            <w:r w:rsidR="00C42BBC" w:rsidRPr="004953FD">
              <w:rPr>
                <w:rStyle w:val="Hyperlink"/>
                <w:noProof/>
              </w:rPr>
              <w:t>Strategjia afatgjatë e rinovimit për rinovimin e stokut kombëtar të ndërtesave rezidenciale dhe jorezidenciale</w:t>
            </w:r>
            <w:r w:rsidR="00C42BBC">
              <w:rPr>
                <w:noProof/>
                <w:webHidden/>
              </w:rPr>
              <w:tab/>
            </w:r>
            <w:r w:rsidR="00C42BBC">
              <w:rPr>
                <w:noProof/>
                <w:webHidden/>
              </w:rPr>
              <w:fldChar w:fldCharType="begin"/>
            </w:r>
            <w:r w:rsidR="00C42BBC">
              <w:rPr>
                <w:noProof/>
                <w:webHidden/>
              </w:rPr>
              <w:instrText xml:space="preserve"> PAGEREF _Toc182302290 \h </w:instrText>
            </w:r>
            <w:r w:rsidR="00C42BBC">
              <w:rPr>
                <w:noProof/>
                <w:webHidden/>
              </w:rPr>
            </w:r>
            <w:r w:rsidR="00C42BBC">
              <w:rPr>
                <w:noProof/>
                <w:webHidden/>
              </w:rPr>
              <w:fldChar w:fldCharType="separate"/>
            </w:r>
            <w:r w:rsidR="00C42BBC">
              <w:rPr>
                <w:noProof/>
                <w:webHidden/>
              </w:rPr>
              <w:t>77</w:t>
            </w:r>
            <w:r w:rsidR="00C42BBC">
              <w:rPr>
                <w:noProof/>
                <w:webHidden/>
              </w:rPr>
              <w:fldChar w:fldCharType="end"/>
            </w:r>
          </w:hyperlink>
        </w:p>
        <w:p w14:paraId="1F0DA74E" w14:textId="16408CE5" w:rsidR="00C42BBC" w:rsidRDefault="00062E07">
          <w:pPr>
            <w:pStyle w:val="TOC3"/>
            <w:rPr>
              <w:rFonts w:asciiTheme="minorHAnsi" w:hAnsiTheme="minorHAnsi"/>
              <w:noProof/>
              <w:color w:val="auto"/>
              <w:kern w:val="2"/>
              <w:sz w:val="24"/>
              <w:szCs w:val="24"/>
              <w14:ligatures w14:val="standardContextual"/>
            </w:rPr>
          </w:pPr>
          <w:hyperlink w:anchor="_Toc182302291" w:history="1">
            <w:r w:rsidR="00C42BBC" w:rsidRPr="004953FD">
              <w:rPr>
                <w:rStyle w:val="Hyperlink"/>
                <w:rFonts w:cs="Times New Roman"/>
                <w:noProof/>
              </w:rPr>
              <w:t>III.</w:t>
            </w:r>
            <w:r w:rsidR="00C42BBC">
              <w:rPr>
                <w:rFonts w:asciiTheme="minorHAnsi" w:hAnsiTheme="minorHAnsi"/>
                <w:noProof/>
                <w:color w:val="auto"/>
                <w:kern w:val="2"/>
                <w:sz w:val="24"/>
                <w:szCs w:val="24"/>
                <w14:ligatures w14:val="standardContextual"/>
              </w:rPr>
              <w:tab/>
            </w:r>
            <w:r w:rsidR="00C42BBC" w:rsidRPr="004953FD">
              <w:rPr>
                <w:rStyle w:val="Hyperlink"/>
                <w:noProof/>
              </w:rPr>
              <w:t>Politika dhe masat për të promovuar shërbimet energjetike dhe për të kapërcyer barrierat</w:t>
            </w:r>
            <w:r w:rsidR="00C42BBC">
              <w:rPr>
                <w:noProof/>
                <w:webHidden/>
              </w:rPr>
              <w:tab/>
            </w:r>
            <w:r w:rsidR="00C42BBC">
              <w:rPr>
                <w:noProof/>
                <w:webHidden/>
              </w:rPr>
              <w:fldChar w:fldCharType="begin"/>
            </w:r>
            <w:r w:rsidR="00C42BBC">
              <w:rPr>
                <w:noProof/>
                <w:webHidden/>
              </w:rPr>
              <w:instrText xml:space="preserve"> PAGEREF _Toc182302291 \h </w:instrText>
            </w:r>
            <w:r w:rsidR="00C42BBC">
              <w:rPr>
                <w:noProof/>
                <w:webHidden/>
              </w:rPr>
            </w:r>
            <w:r w:rsidR="00C42BBC">
              <w:rPr>
                <w:noProof/>
                <w:webHidden/>
              </w:rPr>
              <w:fldChar w:fldCharType="separate"/>
            </w:r>
            <w:r w:rsidR="00C42BBC">
              <w:rPr>
                <w:noProof/>
                <w:webHidden/>
              </w:rPr>
              <w:t>82</w:t>
            </w:r>
            <w:r w:rsidR="00C42BBC">
              <w:rPr>
                <w:noProof/>
                <w:webHidden/>
              </w:rPr>
              <w:fldChar w:fldCharType="end"/>
            </w:r>
          </w:hyperlink>
        </w:p>
        <w:p w14:paraId="69D82F2E" w14:textId="561B2432" w:rsidR="00C42BBC" w:rsidRDefault="00062E07">
          <w:pPr>
            <w:pStyle w:val="TOC3"/>
            <w:rPr>
              <w:rFonts w:asciiTheme="minorHAnsi" w:hAnsiTheme="minorHAnsi"/>
              <w:noProof/>
              <w:color w:val="auto"/>
              <w:kern w:val="2"/>
              <w:sz w:val="24"/>
              <w:szCs w:val="24"/>
              <w14:ligatures w14:val="standardContextual"/>
            </w:rPr>
          </w:pPr>
          <w:hyperlink w:anchor="_Toc182302292" w:history="1">
            <w:r w:rsidR="00C42BBC" w:rsidRPr="004953FD">
              <w:rPr>
                <w:rStyle w:val="Hyperlink"/>
                <w:rFonts w:cs="Times New Roman"/>
                <w:noProof/>
              </w:rPr>
              <w:t>IV.</w:t>
            </w:r>
            <w:r w:rsidR="00C42BBC">
              <w:rPr>
                <w:rFonts w:asciiTheme="minorHAnsi" w:hAnsiTheme="minorHAnsi"/>
                <w:noProof/>
                <w:color w:val="auto"/>
                <w:kern w:val="2"/>
                <w:sz w:val="24"/>
                <w:szCs w:val="24"/>
                <w14:ligatures w14:val="standardContextual"/>
              </w:rPr>
              <w:tab/>
            </w:r>
            <w:r w:rsidR="00C42BBC" w:rsidRPr="004953FD">
              <w:rPr>
                <w:rStyle w:val="Hyperlink"/>
                <w:noProof/>
              </w:rPr>
              <w:t>Politikat, masat dhe programet e tjera të planifikuara për të arritur kontributet kombëtare treguese të efiçiencës së energjisë për vitin 2030 si dhe objektiva të tjerë të përmendur në pikën 2.2.</w:t>
            </w:r>
            <w:r w:rsidR="00C42BBC">
              <w:rPr>
                <w:noProof/>
                <w:webHidden/>
              </w:rPr>
              <w:tab/>
            </w:r>
            <w:r w:rsidR="00C42BBC">
              <w:rPr>
                <w:noProof/>
                <w:webHidden/>
              </w:rPr>
              <w:fldChar w:fldCharType="begin"/>
            </w:r>
            <w:r w:rsidR="00C42BBC">
              <w:rPr>
                <w:noProof/>
                <w:webHidden/>
              </w:rPr>
              <w:instrText xml:space="preserve"> PAGEREF _Toc182302292 \h </w:instrText>
            </w:r>
            <w:r w:rsidR="00C42BBC">
              <w:rPr>
                <w:noProof/>
                <w:webHidden/>
              </w:rPr>
            </w:r>
            <w:r w:rsidR="00C42BBC">
              <w:rPr>
                <w:noProof/>
                <w:webHidden/>
              </w:rPr>
              <w:fldChar w:fldCharType="separate"/>
            </w:r>
            <w:r w:rsidR="00C42BBC">
              <w:rPr>
                <w:noProof/>
                <w:webHidden/>
              </w:rPr>
              <w:t>82</w:t>
            </w:r>
            <w:r w:rsidR="00C42BBC">
              <w:rPr>
                <w:noProof/>
                <w:webHidden/>
              </w:rPr>
              <w:fldChar w:fldCharType="end"/>
            </w:r>
          </w:hyperlink>
        </w:p>
        <w:p w14:paraId="2596DB5E" w14:textId="7BD87BEB" w:rsidR="00C42BBC" w:rsidRDefault="00062E07">
          <w:pPr>
            <w:pStyle w:val="TOC3"/>
            <w:rPr>
              <w:rFonts w:asciiTheme="minorHAnsi" w:hAnsiTheme="minorHAnsi"/>
              <w:noProof/>
              <w:color w:val="auto"/>
              <w:kern w:val="2"/>
              <w:sz w:val="24"/>
              <w:szCs w:val="24"/>
              <w14:ligatures w14:val="standardContextual"/>
            </w:rPr>
          </w:pPr>
          <w:hyperlink w:anchor="_Toc182302293" w:history="1">
            <w:r w:rsidR="00C42BBC" w:rsidRPr="004953FD">
              <w:rPr>
                <w:rStyle w:val="Hyperlink"/>
                <w:rFonts w:cs="Times New Roman"/>
                <w:noProof/>
              </w:rPr>
              <w:t>V.</w:t>
            </w:r>
            <w:r w:rsidR="00C42BBC">
              <w:rPr>
                <w:rFonts w:asciiTheme="minorHAnsi" w:hAnsiTheme="minorHAnsi"/>
                <w:noProof/>
                <w:color w:val="auto"/>
                <w:kern w:val="2"/>
                <w:sz w:val="24"/>
                <w:szCs w:val="24"/>
                <w14:ligatures w14:val="standardContextual"/>
              </w:rPr>
              <w:tab/>
            </w:r>
            <w:r w:rsidR="00C42BBC" w:rsidRPr="004953FD">
              <w:rPr>
                <w:rStyle w:val="Hyperlink"/>
                <w:noProof/>
              </w:rPr>
              <w:t>Politikat dhe masat për të promovuar rolin e komuniteteve lokale të energjisë së ripërtëritshme</w:t>
            </w:r>
            <w:r w:rsidR="00C42BBC">
              <w:rPr>
                <w:noProof/>
                <w:webHidden/>
              </w:rPr>
              <w:tab/>
            </w:r>
            <w:r w:rsidR="00C42BBC">
              <w:rPr>
                <w:noProof/>
                <w:webHidden/>
              </w:rPr>
              <w:fldChar w:fldCharType="begin"/>
            </w:r>
            <w:r w:rsidR="00C42BBC">
              <w:rPr>
                <w:noProof/>
                <w:webHidden/>
              </w:rPr>
              <w:instrText xml:space="preserve"> PAGEREF _Toc182302293 \h </w:instrText>
            </w:r>
            <w:r w:rsidR="00C42BBC">
              <w:rPr>
                <w:noProof/>
                <w:webHidden/>
              </w:rPr>
            </w:r>
            <w:r w:rsidR="00C42BBC">
              <w:rPr>
                <w:noProof/>
                <w:webHidden/>
              </w:rPr>
              <w:fldChar w:fldCharType="separate"/>
            </w:r>
            <w:r w:rsidR="00C42BBC">
              <w:rPr>
                <w:noProof/>
                <w:webHidden/>
              </w:rPr>
              <w:t>92</w:t>
            </w:r>
            <w:r w:rsidR="00C42BBC">
              <w:rPr>
                <w:noProof/>
                <w:webHidden/>
              </w:rPr>
              <w:fldChar w:fldCharType="end"/>
            </w:r>
          </w:hyperlink>
        </w:p>
        <w:p w14:paraId="276A6EF4" w14:textId="56D17638" w:rsidR="00C42BBC" w:rsidRDefault="00062E07">
          <w:pPr>
            <w:pStyle w:val="TOC3"/>
            <w:rPr>
              <w:rFonts w:asciiTheme="minorHAnsi" w:hAnsiTheme="minorHAnsi"/>
              <w:noProof/>
              <w:color w:val="auto"/>
              <w:kern w:val="2"/>
              <w:sz w:val="24"/>
              <w:szCs w:val="24"/>
              <w14:ligatures w14:val="standardContextual"/>
            </w:rPr>
          </w:pPr>
          <w:hyperlink w:anchor="_Toc182302294" w:history="1">
            <w:r w:rsidR="00C42BBC" w:rsidRPr="004953FD">
              <w:rPr>
                <w:rStyle w:val="Hyperlink"/>
                <w:rFonts w:cs="Times New Roman"/>
                <w:noProof/>
              </w:rPr>
              <w:t>VI.</w:t>
            </w:r>
            <w:r w:rsidR="00C42BBC">
              <w:rPr>
                <w:rFonts w:asciiTheme="minorHAnsi" w:hAnsiTheme="minorHAnsi"/>
                <w:noProof/>
                <w:color w:val="auto"/>
                <w:kern w:val="2"/>
                <w:sz w:val="24"/>
                <w:szCs w:val="24"/>
                <w14:ligatures w14:val="standardContextual"/>
              </w:rPr>
              <w:tab/>
            </w:r>
            <w:r w:rsidR="00C42BBC" w:rsidRPr="004953FD">
              <w:rPr>
                <w:rStyle w:val="Hyperlink"/>
                <w:noProof/>
              </w:rPr>
              <w:t>Masat për shfrytëzimin e potencialeve të efiçiencës së energjisë të infrastrukturës elektrike</w:t>
            </w:r>
            <w:r w:rsidR="00C42BBC">
              <w:rPr>
                <w:noProof/>
                <w:webHidden/>
              </w:rPr>
              <w:tab/>
            </w:r>
            <w:r w:rsidR="00C42BBC">
              <w:rPr>
                <w:noProof/>
                <w:webHidden/>
              </w:rPr>
              <w:fldChar w:fldCharType="begin"/>
            </w:r>
            <w:r w:rsidR="00C42BBC">
              <w:rPr>
                <w:noProof/>
                <w:webHidden/>
              </w:rPr>
              <w:instrText xml:space="preserve"> PAGEREF _Toc182302294 \h </w:instrText>
            </w:r>
            <w:r w:rsidR="00C42BBC">
              <w:rPr>
                <w:noProof/>
                <w:webHidden/>
              </w:rPr>
            </w:r>
            <w:r w:rsidR="00C42BBC">
              <w:rPr>
                <w:noProof/>
                <w:webHidden/>
              </w:rPr>
              <w:fldChar w:fldCharType="separate"/>
            </w:r>
            <w:r w:rsidR="00C42BBC">
              <w:rPr>
                <w:noProof/>
                <w:webHidden/>
              </w:rPr>
              <w:t>92</w:t>
            </w:r>
            <w:r w:rsidR="00C42BBC">
              <w:rPr>
                <w:noProof/>
                <w:webHidden/>
              </w:rPr>
              <w:fldChar w:fldCharType="end"/>
            </w:r>
          </w:hyperlink>
        </w:p>
        <w:p w14:paraId="392F5D42" w14:textId="32AA44D7" w:rsidR="00C42BBC" w:rsidRDefault="00062E07">
          <w:pPr>
            <w:pStyle w:val="TOC3"/>
            <w:rPr>
              <w:rFonts w:asciiTheme="minorHAnsi" w:hAnsiTheme="minorHAnsi"/>
              <w:noProof/>
              <w:color w:val="auto"/>
              <w:kern w:val="2"/>
              <w:sz w:val="24"/>
              <w:szCs w:val="24"/>
              <w14:ligatures w14:val="standardContextual"/>
            </w:rPr>
          </w:pPr>
          <w:hyperlink w:anchor="_Toc182302295" w:history="1">
            <w:r w:rsidR="00C42BBC" w:rsidRPr="004953FD">
              <w:rPr>
                <w:rStyle w:val="Hyperlink"/>
                <w:rFonts w:cs="Times New Roman"/>
                <w:noProof/>
              </w:rPr>
              <w:t>VII.</w:t>
            </w:r>
            <w:r w:rsidR="00C42BBC">
              <w:rPr>
                <w:rFonts w:asciiTheme="minorHAnsi" w:hAnsiTheme="minorHAnsi"/>
                <w:noProof/>
                <w:color w:val="auto"/>
                <w:kern w:val="2"/>
                <w:sz w:val="24"/>
                <w:szCs w:val="24"/>
                <w14:ligatures w14:val="standardContextual"/>
              </w:rPr>
              <w:tab/>
            </w:r>
            <w:r w:rsidR="00C42BBC" w:rsidRPr="004953FD">
              <w:rPr>
                <w:rStyle w:val="Hyperlink"/>
                <w:noProof/>
              </w:rPr>
              <w:t>Bashkëpunimi rajonal</w:t>
            </w:r>
            <w:r w:rsidR="00C42BBC">
              <w:rPr>
                <w:noProof/>
                <w:webHidden/>
              </w:rPr>
              <w:tab/>
            </w:r>
            <w:r w:rsidR="00C42BBC">
              <w:rPr>
                <w:noProof/>
                <w:webHidden/>
              </w:rPr>
              <w:fldChar w:fldCharType="begin"/>
            </w:r>
            <w:r w:rsidR="00C42BBC">
              <w:rPr>
                <w:noProof/>
                <w:webHidden/>
              </w:rPr>
              <w:instrText xml:space="preserve"> PAGEREF _Toc182302295 \h </w:instrText>
            </w:r>
            <w:r w:rsidR="00C42BBC">
              <w:rPr>
                <w:noProof/>
                <w:webHidden/>
              </w:rPr>
            </w:r>
            <w:r w:rsidR="00C42BBC">
              <w:rPr>
                <w:noProof/>
                <w:webHidden/>
              </w:rPr>
              <w:fldChar w:fldCharType="separate"/>
            </w:r>
            <w:r w:rsidR="00C42BBC">
              <w:rPr>
                <w:noProof/>
                <w:webHidden/>
              </w:rPr>
              <w:t>93</w:t>
            </w:r>
            <w:r w:rsidR="00C42BBC">
              <w:rPr>
                <w:noProof/>
                <w:webHidden/>
              </w:rPr>
              <w:fldChar w:fldCharType="end"/>
            </w:r>
          </w:hyperlink>
        </w:p>
        <w:p w14:paraId="691985EA" w14:textId="519F630A" w:rsidR="00C42BBC" w:rsidRDefault="00062E07">
          <w:pPr>
            <w:pStyle w:val="TOC3"/>
            <w:rPr>
              <w:rFonts w:asciiTheme="minorHAnsi" w:hAnsiTheme="minorHAnsi"/>
              <w:noProof/>
              <w:color w:val="auto"/>
              <w:kern w:val="2"/>
              <w:sz w:val="24"/>
              <w:szCs w:val="24"/>
              <w14:ligatures w14:val="standardContextual"/>
            </w:rPr>
          </w:pPr>
          <w:hyperlink w:anchor="_Toc182302296" w:history="1">
            <w:r w:rsidR="00C42BBC" w:rsidRPr="004953FD">
              <w:rPr>
                <w:rStyle w:val="Hyperlink"/>
                <w:rFonts w:cs="Times New Roman"/>
                <w:noProof/>
              </w:rPr>
              <w:t>VIII.</w:t>
            </w:r>
            <w:r w:rsidR="00C42BBC">
              <w:rPr>
                <w:rFonts w:asciiTheme="minorHAnsi" w:hAnsiTheme="minorHAnsi"/>
                <w:noProof/>
                <w:color w:val="auto"/>
                <w:kern w:val="2"/>
                <w:sz w:val="24"/>
                <w:szCs w:val="24"/>
                <w14:ligatures w14:val="standardContextual"/>
              </w:rPr>
              <w:tab/>
            </w:r>
            <w:r w:rsidR="00C42BBC" w:rsidRPr="004953FD">
              <w:rPr>
                <w:rStyle w:val="Hyperlink"/>
                <w:noProof/>
              </w:rPr>
              <w:t>Masat financuese, duke përfshirë mbështetjen e BE-së dhe donatorët tjerë në këtë fushë</w:t>
            </w:r>
            <w:r w:rsidR="00C42BBC">
              <w:rPr>
                <w:noProof/>
                <w:webHidden/>
              </w:rPr>
              <w:tab/>
            </w:r>
            <w:r w:rsidR="00C42BBC">
              <w:rPr>
                <w:noProof/>
                <w:webHidden/>
              </w:rPr>
              <w:fldChar w:fldCharType="begin"/>
            </w:r>
            <w:r w:rsidR="00C42BBC">
              <w:rPr>
                <w:noProof/>
                <w:webHidden/>
              </w:rPr>
              <w:instrText xml:space="preserve"> PAGEREF _Toc182302296 \h </w:instrText>
            </w:r>
            <w:r w:rsidR="00C42BBC">
              <w:rPr>
                <w:noProof/>
                <w:webHidden/>
              </w:rPr>
            </w:r>
            <w:r w:rsidR="00C42BBC">
              <w:rPr>
                <w:noProof/>
                <w:webHidden/>
              </w:rPr>
              <w:fldChar w:fldCharType="separate"/>
            </w:r>
            <w:r w:rsidR="00C42BBC">
              <w:rPr>
                <w:noProof/>
                <w:webHidden/>
              </w:rPr>
              <w:t>93</w:t>
            </w:r>
            <w:r w:rsidR="00C42BBC">
              <w:rPr>
                <w:noProof/>
                <w:webHidden/>
              </w:rPr>
              <w:fldChar w:fldCharType="end"/>
            </w:r>
          </w:hyperlink>
        </w:p>
        <w:p w14:paraId="13335327" w14:textId="3C02B99D" w:rsidR="00C42BBC" w:rsidRDefault="00062E07">
          <w:pPr>
            <w:pStyle w:val="TOC2"/>
            <w:tabs>
              <w:tab w:val="right" w:leader="dot" w:pos="9564"/>
            </w:tabs>
            <w:rPr>
              <w:rFonts w:asciiTheme="minorHAnsi" w:hAnsiTheme="minorHAnsi"/>
              <w:noProof/>
              <w:color w:val="auto"/>
              <w:kern w:val="2"/>
              <w:sz w:val="24"/>
              <w:szCs w:val="24"/>
              <w14:ligatures w14:val="standardContextual"/>
            </w:rPr>
          </w:pPr>
          <w:hyperlink w:anchor="_Toc182302297" w:history="1">
            <w:r w:rsidR="00C42BBC" w:rsidRPr="004953FD">
              <w:rPr>
                <w:rStyle w:val="Hyperlink"/>
                <w:noProof/>
              </w:rPr>
              <w:t>3.3 Dimensioni i sigurisë energjetike</w:t>
            </w:r>
            <w:r w:rsidR="00C42BBC">
              <w:rPr>
                <w:noProof/>
                <w:webHidden/>
              </w:rPr>
              <w:tab/>
            </w:r>
            <w:r w:rsidR="00C42BBC">
              <w:rPr>
                <w:noProof/>
                <w:webHidden/>
              </w:rPr>
              <w:fldChar w:fldCharType="begin"/>
            </w:r>
            <w:r w:rsidR="00C42BBC">
              <w:rPr>
                <w:noProof/>
                <w:webHidden/>
              </w:rPr>
              <w:instrText xml:space="preserve"> PAGEREF _Toc182302297 \h </w:instrText>
            </w:r>
            <w:r w:rsidR="00C42BBC">
              <w:rPr>
                <w:noProof/>
                <w:webHidden/>
              </w:rPr>
            </w:r>
            <w:r w:rsidR="00C42BBC">
              <w:rPr>
                <w:noProof/>
                <w:webHidden/>
              </w:rPr>
              <w:fldChar w:fldCharType="separate"/>
            </w:r>
            <w:r w:rsidR="00C42BBC">
              <w:rPr>
                <w:noProof/>
                <w:webHidden/>
              </w:rPr>
              <w:t>94</w:t>
            </w:r>
            <w:r w:rsidR="00C42BBC">
              <w:rPr>
                <w:noProof/>
                <w:webHidden/>
              </w:rPr>
              <w:fldChar w:fldCharType="end"/>
            </w:r>
          </w:hyperlink>
        </w:p>
        <w:p w14:paraId="3309BD49" w14:textId="529BC85D" w:rsidR="00C42BBC" w:rsidRDefault="00062E07">
          <w:pPr>
            <w:pStyle w:val="TOC3"/>
            <w:rPr>
              <w:rFonts w:asciiTheme="minorHAnsi" w:hAnsiTheme="minorHAnsi"/>
              <w:noProof/>
              <w:color w:val="auto"/>
              <w:kern w:val="2"/>
              <w:sz w:val="24"/>
              <w:szCs w:val="24"/>
              <w14:ligatures w14:val="standardContextual"/>
            </w:rPr>
          </w:pPr>
          <w:hyperlink w:anchor="_Toc182302298" w:history="1">
            <w:r w:rsidR="00C42BBC" w:rsidRPr="004953FD">
              <w:rPr>
                <w:rStyle w:val="Hyperlink"/>
                <w:rFonts w:cs="Times New Roman"/>
                <w:noProof/>
              </w:rPr>
              <w:t>I.</w:t>
            </w:r>
            <w:r w:rsidR="00C42BBC">
              <w:rPr>
                <w:rFonts w:asciiTheme="minorHAnsi" w:hAnsiTheme="minorHAnsi"/>
                <w:noProof/>
                <w:color w:val="auto"/>
                <w:kern w:val="2"/>
                <w:sz w:val="24"/>
                <w:szCs w:val="24"/>
                <w14:ligatures w14:val="standardContextual"/>
              </w:rPr>
              <w:tab/>
            </w:r>
            <w:r w:rsidR="00C42BBC" w:rsidRPr="004953FD">
              <w:rPr>
                <w:rStyle w:val="Hyperlink"/>
                <w:noProof/>
              </w:rPr>
              <w:t>Politikat dhe masat që lidhen me elementët e përcaktuar në pikën 2.3</w:t>
            </w:r>
            <w:r w:rsidR="00C42BBC">
              <w:rPr>
                <w:noProof/>
                <w:webHidden/>
              </w:rPr>
              <w:tab/>
            </w:r>
            <w:r w:rsidR="00C42BBC">
              <w:rPr>
                <w:noProof/>
                <w:webHidden/>
              </w:rPr>
              <w:fldChar w:fldCharType="begin"/>
            </w:r>
            <w:r w:rsidR="00C42BBC">
              <w:rPr>
                <w:noProof/>
                <w:webHidden/>
              </w:rPr>
              <w:instrText xml:space="preserve"> PAGEREF _Toc182302298 \h </w:instrText>
            </w:r>
            <w:r w:rsidR="00C42BBC">
              <w:rPr>
                <w:noProof/>
                <w:webHidden/>
              </w:rPr>
            </w:r>
            <w:r w:rsidR="00C42BBC">
              <w:rPr>
                <w:noProof/>
                <w:webHidden/>
              </w:rPr>
              <w:fldChar w:fldCharType="separate"/>
            </w:r>
            <w:r w:rsidR="00C42BBC">
              <w:rPr>
                <w:noProof/>
                <w:webHidden/>
              </w:rPr>
              <w:t>94</w:t>
            </w:r>
            <w:r w:rsidR="00C42BBC">
              <w:rPr>
                <w:noProof/>
                <w:webHidden/>
              </w:rPr>
              <w:fldChar w:fldCharType="end"/>
            </w:r>
          </w:hyperlink>
        </w:p>
        <w:p w14:paraId="17AF6340" w14:textId="709B7FDF" w:rsidR="00C42BBC" w:rsidRDefault="00062E07">
          <w:pPr>
            <w:pStyle w:val="TOC3"/>
            <w:rPr>
              <w:rFonts w:asciiTheme="minorHAnsi" w:hAnsiTheme="minorHAnsi"/>
              <w:noProof/>
              <w:color w:val="auto"/>
              <w:kern w:val="2"/>
              <w:sz w:val="24"/>
              <w:szCs w:val="24"/>
              <w14:ligatures w14:val="standardContextual"/>
            </w:rPr>
          </w:pPr>
          <w:hyperlink w:anchor="_Toc182302299" w:history="1">
            <w:r w:rsidR="00C42BBC" w:rsidRPr="004953FD">
              <w:rPr>
                <w:rStyle w:val="Hyperlink"/>
                <w:rFonts w:cs="Times New Roman"/>
                <w:noProof/>
              </w:rPr>
              <w:t>II.</w:t>
            </w:r>
            <w:r w:rsidR="00C42BBC">
              <w:rPr>
                <w:rFonts w:asciiTheme="minorHAnsi" w:hAnsiTheme="minorHAnsi"/>
                <w:noProof/>
                <w:color w:val="auto"/>
                <w:kern w:val="2"/>
                <w:sz w:val="24"/>
                <w:szCs w:val="24"/>
                <w14:ligatures w14:val="standardContextual"/>
              </w:rPr>
              <w:tab/>
            </w:r>
            <w:r w:rsidR="00C42BBC" w:rsidRPr="004953FD">
              <w:rPr>
                <w:rStyle w:val="Hyperlink"/>
                <w:noProof/>
              </w:rPr>
              <w:t>Bashkëpunimi rajonal në këtë fushë</w:t>
            </w:r>
            <w:r w:rsidR="00C42BBC">
              <w:rPr>
                <w:noProof/>
                <w:webHidden/>
              </w:rPr>
              <w:tab/>
            </w:r>
            <w:r w:rsidR="00C42BBC">
              <w:rPr>
                <w:noProof/>
                <w:webHidden/>
              </w:rPr>
              <w:fldChar w:fldCharType="begin"/>
            </w:r>
            <w:r w:rsidR="00C42BBC">
              <w:rPr>
                <w:noProof/>
                <w:webHidden/>
              </w:rPr>
              <w:instrText xml:space="preserve"> PAGEREF _Toc182302299 \h </w:instrText>
            </w:r>
            <w:r w:rsidR="00C42BBC">
              <w:rPr>
                <w:noProof/>
                <w:webHidden/>
              </w:rPr>
            </w:r>
            <w:r w:rsidR="00C42BBC">
              <w:rPr>
                <w:noProof/>
                <w:webHidden/>
              </w:rPr>
              <w:fldChar w:fldCharType="separate"/>
            </w:r>
            <w:r w:rsidR="00C42BBC">
              <w:rPr>
                <w:noProof/>
                <w:webHidden/>
              </w:rPr>
              <w:t>97</w:t>
            </w:r>
            <w:r w:rsidR="00C42BBC">
              <w:rPr>
                <w:noProof/>
                <w:webHidden/>
              </w:rPr>
              <w:fldChar w:fldCharType="end"/>
            </w:r>
          </w:hyperlink>
        </w:p>
        <w:p w14:paraId="3E7F5DE6" w14:textId="6AFBF530" w:rsidR="00C42BBC" w:rsidRDefault="00062E07">
          <w:pPr>
            <w:pStyle w:val="TOC3"/>
            <w:rPr>
              <w:rFonts w:asciiTheme="minorHAnsi" w:hAnsiTheme="minorHAnsi"/>
              <w:noProof/>
              <w:color w:val="auto"/>
              <w:kern w:val="2"/>
              <w:sz w:val="24"/>
              <w:szCs w:val="24"/>
              <w14:ligatures w14:val="standardContextual"/>
            </w:rPr>
          </w:pPr>
          <w:hyperlink w:anchor="_Toc182302300" w:history="1">
            <w:r w:rsidR="00C42BBC" w:rsidRPr="004953FD">
              <w:rPr>
                <w:rStyle w:val="Hyperlink"/>
                <w:rFonts w:cs="Times New Roman"/>
                <w:noProof/>
              </w:rPr>
              <w:t>III.</w:t>
            </w:r>
            <w:r w:rsidR="00C42BBC">
              <w:rPr>
                <w:rFonts w:asciiTheme="minorHAnsi" w:hAnsiTheme="minorHAnsi"/>
                <w:noProof/>
                <w:color w:val="auto"/>
                <w:kern w:val="2"/>
                <w:sz w:val="24"/>
                <w:szCs w:val="24"/>
                <w14:ligatures w14:val="standardContextual"/>
              </w:rPr>
              <w:tab/>
            </w:r>
            <w:r w:rsidR="00C42BBC" w:rsidRPr="004953FD">
              <w:rPr>
                <w:rStyle w:val="Hyperlink"/>
                <w:noProof/>
              </w:rPr>
              <w:t>Masat financuese në këtë fushë</w:t>
            </w:r>
            <w:r w:rsidR="00C42BBC">
              <w:rPr>
                <w:noProof/>
                <w:webHidden/>
              </w:rPr>
              <w:tab/>
            </w:r>
            <w:r w:rsidR="00C42BBC">
              <w:rPr>
                <w:noProof/>
                <w:webHidden/>
              </w:rPr>
              <w:fldChar w:fldCharType="begin"/>
            </w:r>
            <w:r w:rsidR="00C42BBC">
              <w:rPr>
                <w:noProof/>
                <w:webHidden/>
              </w:rPr>
              <w:instrText xml:space="preserve"> PAGEREF _Toc182302300 \h </w:instrText>
            </w:r>
            <w:r w:rsidR="00C42BBC">
              <w:rPr>
                <w:noProof/>
                <w:webHidden/>
              </w:rPr>
            </w:r>
            <w:r w:rsidR="00C42BBC">
              <w:rPr>
                <w:noProof/>
                <w:webHidden/>
              </w:rPr>
              <w:fldChar w:fldCharType="separate"/>
            </w:r>
            <w:r w:rsidR="00C42BBC">
              <w:rPr>
                <w:noProof/>
                <w:webHidden/>
              </w:rPr>
              <w:t>97</w:t>
            </w:r>
            <w:r w:rsidR="00C42BBC">
              <w:rPr>
                <w:noProof/>
                <w:webHidden/>
              </w:rPr>
              <w:fldChar w:fldCharType="end"/>
            </w:r>
          </w:hyperlink>
        </w:p>
        <w:p w14:paraId="37421D9E" w14:textId="2E5D6B28" w:rsidR="00C42BBC" w:rsidRDefault="00062E07">
          <w:pPr>
            <w:pStyle w:val="TOC2"/>
            <w:tabs>
              <w:tab w:val="right" w:leader="dot" w:pos="9564"/>
            </w:tabs>
            <w:rPr>
              <w:rFonts w:asciiTheme="minorHAnsi" w:hAnsiTheme="minorHAnsi"/>
              <w:noProof/>
              <w:color w:val="auto"/>
              <w:kern w:val="2"/>
              <w:sz w:val="24"/>
              <w:szCs w:val="24"/>
              <w14:ligatures w14:val="standardContextual"/>
            </w:rPr>
          </w:pPr>
          <w:hyperlink w:anchor="_Toc182302301" w:history="1">
            <w:r w:rsidR="00C42BBC" w:rsidRPr="004953FD">
              <w:rPr>
                <w:rStyle w:val="Hyperlink"/>
                <w:noProof/>
              </w:rPr>
              <w:t>3.4. Dimensioni i tregut të brendshëm energjetik</w:t>
            </w:r>
            <w:r w:rsidR="00C42BBC">
              <w:rPr>
                <w:noProof/>
                <w:webHidden/>
              </w:rPr>
              <w:tab/>
            </w:r>
            <w:r w:rsidR="00C42BBC">
              <w:rPr>
                <w:noProof/>
                <w:webHidden/>
              </w:rPr>
              <w:fldChar w:fldCharType="begin"/>
            </w:r>
            <w:r w:rsidR="00C42BBC">
              <w:rPr>
                <w:noProof/>
                <w:webHidden/>
              </w:rPr>
              <w:instrText xml:space="preserve"> PAGEREF _Toc182302301 \h </w:instrText>
            </w:r>
            <w:r w:rsidR="00C42BBC">
              <w:rPr>
                <w:noProof/>
                <w:webHidden/>
              </w:rPr>
            </w:r>
            <w:r w:rsidR="00C42BBC">
              <w:rPr>
                <w:noProof/>
                <w:webHidden/>
              </w:rPr>
              <w:fldChar w:fldCharType="separate"/>
            </w:r>
            <w:r w:rsidR="00C42BBC">
              <w:rPr>
                <w:noProof/>
                <w:webHidden/>
              </w:rPr>
              <w:t>98</w:t>
            </w:r>
            <w:r w:rsidR="00C42BBC">
              <w:rPr>
                <w:noProof/>
                <w:webHidden/>
              </w:rPr>
              <w:fldChar w:fldCharType="end"/>
            </w:r>
          </w:hyperlink>
        </w:p>
        <w:p w14:paraId="7E7700CC" w14:textId="6C0CEAB3" w:rsidR="00C42BBC" w:rsidRDefault="00062E07">
          <w:pPr>
            <w:pStyle w:val="TOC3"/>
            <w:rPr>
              <w:rFonts w:asciiTheme="minorHAnsi" w:hAnsiTheme="minorHAnsi"/>
              <w:noProof/>
              <w:color w:val="auto"/>
              <w:kern w:val="2"/>
              <w:sz w:val="24"/>
              <w:szCs w:val="24"/>
              <w14:ligatures w14:val="standardContextual"/>
            </w:rPr>
          </w:pPr>
          <w:hyperlink w:anchor="_Toc182302302" w:history="1">
            <w:r w:rsidR="00C42BBC" w:rsidRPr="004953FD">
              <w:rPr>
                <w:rStyle w:val="Hyperlink"/>
                <w:rFonts w:cs="Times New Roman"/>
                <w:noProof/>
              </w:rPr>
              <w:t>I.</w:t>
            </w:r>
            <w:r w:rsidR="00C42BBC">
              <w:rPr>
                <w:rFonts w:asciiTheme="minorHAnsi" w:hAnsiTheme="minorHAnsi"/>
                <w:noProof/>
                <w:color w:val="auto"/>
                <w:kern w:val="2"/>
                <w:sz w:val="24"/>
                <w:szCs w:val="24"/>
                <w14:ligatures w14:val="standardContextual"/>
              </w:rPr>
              <w:tab/>
            </w:r>
            <w:r w:rsidR="00C42BBC" w:rsidRPr="004953FD">
              <w:rPr>
                <w:rStyle w:val="Hyperlink"/>
                <w:noProof/>
              </w:rPr>
              <w:t>Infrastruktura e energjisë elektrike</w:t>
            </w:r>
            <w:r w:rsidR="00C42BBC">
              <w:rPr>
                <w:noProof/>
                <w:webHidden/>
              </w:rPr>
              <w:tab/>
            </w:r>
            <w:r w:rsidR="00C42BBC">
              <w:rPr>
                <w:noProof/>
                <w:webHidden/>
              </w:rPr>
              <w:fldChar w:fldCharType="begin"/>
            </w:r>
            <w:r w:rsidR="00C42BBC">
              <w:rPr>
                <w:noProof/>
                <w:webHidden/>
              </w:rPr>
              <w:instrText xml:space="preserve"> PAGEREF _Toc182302302 \h </w:instrText>
            </w:r>
            <w:r w:rsidR="00C42BBC">
              <w:rPr>
                <w:noProof/>
                <w:webHidden/>
              </w:rPr>
            </w:r>
            <w:r w:rsidR="00C42BBC">
              <w:rPr>
                <w:noProof/>
                <w:webHidden/>
              </w:rPr>
              <w:fldChar w:fldCharType="separate"/>
            </w:r>
            <w:r w:rsidR="00C42BBC">
              <w:rPr>
                <w:noProof/>
                <w:webHidden/>
              </w:rPr>
              <w:t>98</w:t>
            </w:r>
            <w:r w:rsidR="00C42BBC">
              <w:rPr>
                <w:noProof/>
                <w:webHidden/>
              </w:rPr>
              <w:fldChar w:fldCharType="end"/>
            </w:r>
          </w:hyperlink>
        </w:p>
        <w:p w14:paraId="3666A079" w14:textId="6E2F5228" w:rsidR="00C42BBC" w:rsidRDefault="00062E07">
          <w:pPr>
            <w:pStyle w:val="TOC3"/>
            <w:rPr>
              <w:rFonts w:asciiTheme="minorHAnsi" w:hAnsiTheme="minorHAnsi"/>
              <w:noProof/>
              <w:color w:val="auto"/>
              <w:kern w:val="2"/>
              <w:sz w:val="24"/>
              <w:szCs w:val="24"/>
              <w14:ligatures w14:val="standardContextual"/>
            </w:rPr>
          </w:pPr>
          <w:hyperlink w:anchor="_Toc182302303" w:history="1">
            <w:r w:rsidR="00C42BBC" w:rsidRPr="004953FD">
              <w:rPr>
                <w:rStyle w:val="Hyperlink"/>
                <w:rFonts w:cs="Times New Roman"/>
                <w:noProof/>
              </w:rPr>
              <w:t>II.</w:t>
            </w:r>
            <w:r w:rsidR="00C42BBC">
              <w:rPr>
                <w:rFonts w:asciiTheme="minorHAnsi" w:hAnsiTheme="minorHAnsi"/>
                <w:noProof/>
                <w:color w:val="auto"/>
                <w:kern w:val="2"/>
                <w:sz w:val="24"/>
                <w:szCs w:val="24"/>
                <w14:ligatures w14:val="standardContextual"/>
              </w:rPr>
              <w:tab/>
            </w:r>
            <w:r w:rsidR="00C42BBC" w:rsidRPr="004953FD">
              <w:rPr>
                <w:rStyle w:val="Hyperlink"/>
                <w:noProof/>
              </w:rPr>
              <w:t>Infrastruktura e transmisionit të energjisë</w:t>
            </w:r>
            <w:r w:rsidR="00C42BBC">
              <w:rPr>
                <w:noProof/>
                <w:webHidden/>
              </w:rPr>
              <w:tab/>
            </w:r>
            <w:r w:rsidR="00C42BBC">
              <w:rPr>
                <w:noProof/>
                <w:webHidden/>
              </w:rPr>
              <w:fldChar w:fldCharType="begin"/>
            </w:r>
            <w:r w:rsidR="00C42BBC">
              <w:rPr>
                <w:noProof/>
                <w:webHidden/>
              </w:rPr>
              <w:instrText xml:space="preserve"> PAGEREF _Toc182302303 \h </w:instrText>
            </w:r>
            <w:r w:rsidR="00C42BBC">
              <w:rPr>
                <w:noProof/>
                <w:webHidden/>
              </w:rPr>
            </w:r>
            <w:r w:rsidR="00C42BBC">
              <w:rPr>
                <w:noProof/>
                <w:webHidden/>
              </w:rPr>
              <w:fldChar w:fldCharType="separate"/>
            </w:r>
            <w:r w:rsidR="00C42BBC">
              <w:rPr>
                <w:noProof/>
                <w:webHidden/>
              </w:rPr>
              <w:t>98</w:t>
            </w:r>
            <w:r w:rsidR="00C42BBC">
              <w:rPr>
                <w:noProof/>
                <w:webHidden/>
              </w:rPr>
              <w:fldChar w:fldCharType="end"/>
            </w:r>
          </w:hyperlink>
        </w:p>
        <w:p w14:paraId="1A27204B" w14:textId="6A5A56C6" w:rsidR="00C42BBC" w:rsidRDefault="00062E07">
          <w:pPr>
            <w:pStyle w:val="TOC3"/>
            <w:rPr>
              <w:rFonts w:asciiTheme="minorHAnsi" w:hAnsiTheme="minorHAnsi"/>
              <w:noProof/>
              <w:color w:val="auto"/>
              <w:kern w:val="2"/>
              <w:sz w:val="24"/>
              <w:szCs w:val="24"/>
              <w14:ligatures w14:val="standardContextual"/>
            </w:rPr>
          </w:pPr>
          <w:hyperlink w:anchor="_Toc182302304" w:history="1">
            <w:r w:rsidR="00C42BBC" w:rsidRPr="004953FD">
              <w:rPr>
                <w:rStyle w:val="Hyperlink"/>
                <w:rFonts w:cs="Times New Roman"/>
                <w:noProof/>
              </w:rPr>
              <w:t>III.</w:t>
            </w:r>
            <w:r w:rsidR="00C42BBC">
              <w:rPr>
                <w:rFonts w:asciiTheme="minorHAnsi" w:hAnsiTheme="minorHAnsi"/>
                <w:noProof/>
                <w:color w:val="auto"/>
                <w:kern w:val="2"/>
                <w:sz w:val="24"/>
                <w:szCs w:val="24"/>
                <w14:ligatures w14:val="standardContextual"/>
              </w:rPr>
              <w:tab/>
            </w:r>
            <w:r w:rsidR="00C42BBC" w:rsidRPr="004953FD">
              <w:rPr>
                <w:rStyle w:val="Hyperlink"/>
                <w:noProof/>
              </w:rPr>
              <w:t>Integrimi i tregut</w:t>
            </w:r>
            <w:r w:rsidR="00C42BBC">
              <w:rPr>
                <w:noProof/>
                <w:webHidden/>
              </w:rPr>
              <w:tab/>
            </w:r>
            <w:r w:rsidR="00C42BBC">
              <w:rPr>
                <w:noProof/>
                <w:webHidden/>
              </w:rPr>
              <w:fldChar w:fldCharType="begin"/>
            </w:r>
            <w:r w:rsidR="00C42BBC">
              <w:rPr>
                <w:noProof/>
                <w:webHidden/>
              </w:rPr>
              <w:instrText xml:space="preserve"> PAGEREF _Toc182302304 \h </w:instrText>
            </w:r>
            <w:r w:rsidR="00C42BBC">
              <w:rPr>
                <w:noProof/>
                <w:webHidden/>
              </w:rPr>
            </w:r>
            <w:r w:rsidR="00C42BBC">
              <w:rPr>
                <w:noProof/>
                <w:webHidden/>
              </w:rPr>
              <w:fldChar w:fldCharType="separate"/>
            </w:r>
            <w:r w:rsidR="00C42BBC">
              <w:rPr>
                <w:noProof/>
                <w:webHidden/>
              </w:rPr>
              <w:t>100</w:t>
            </w:r>
            <w:r w:rsidR="00C42BBC">
              <w:rPr>
                <w:noProof/>
                <w:webHidden/>
              </w:rPr>
              <w:fldChar w:fldCharType="end"/>
            </w:r>
          </w:hyperlink>
        </w:p>
        <w:p w14:paraId="6A0EAB05" w14:textId="5BAE4AB8" w:rsidR="00C42BBC" w:rsidRDefault="00062E07">
          <w:pPr>
            <w:pStyle w:val="TOC3"/>
            <w:rPr>
              <w:rFonts w:asciiTheme="minorHAnsi" w:hAnsiTheme="minorHAnsi"/>
              <w:noProof/>
              <w:color w:val="auto"/>
              <w:kern w:val="2"/>
              <w:sz w:val="24"/>
              <w:szCs w:val="24"/>
              <w14:ligatures w14:val="standardContextual"/>
            </w:rPr>
          </w:pPr>
          <w:hyperlink w:anchor="_Toc182302305" w:history="1">
            <w:r w:rsidR="00C42BBC" w:rsidRPr="004953FD">
              <w:rPr>
                <w:rStyle w:val="Hyperlink"/>
                <w:rFonts w:cs="Times New Roman"/>
                <w:noProof/>
              </w:rPr>
              <w:t>IV.</w:t>
            </w:r>
            <w:r w:rsidR="00C42BBC">
              <w:rPr>
                <w:rFonts w:asciiTheme="minorHAnsi" w:hAnsiTheme="minorHAnsi"/>
                <w:noProof/>
                <w:color w:val="auto"/>
                <w:kern w:val="2"/>
                <w:sz w:val="24"/>
                <w:szCs w:val="24"/>
                <w14:ligatures w14:val="standardContextual"/>
              </w:rPr>
              <w:tab/>
            </w:r>
            <w:r w:rsidR="00C42BBC" w:rsidRPr="004953FD">
              <w:rPr>
                <w:rStyle w:val="Hyperlink"/>
                <w:noProof/>
              </w:rPr>
              <w:t>Varfëria energjetike</w:t>
            </w:r>
            <w:r w:rsidR="00C42BBC">
              <w:rPr>
                <w:noProof/>
                <w:webHidden/>
              </w:rPr>
              <w:tab/>
            </w:r>
            <w:r w:rsidR="00C42BBC">
              <w:rPr>
                <w:noProof/>
                <w:webHidden/>
              </w:rPr>
              <w:fldChar w:fldCharType="begin"/>
            </w:r>
            <w:r w:rsidR="00C42BBC">
              <w:rPr>
                <w:noProof/>
                <w:webHidden/>
              </w:rPr>
              <w:instrText xml:space="preserve"> PAGEREF _Toc182302305 \h </w:instrText>
            </w:r>
            <w:r w:rsidR="00C42BBC">
              <w:rPr>
                <w:noProof/>
                <w:webHidden/>
              </w:rPr>
            </w:r>
            <w:r w:rsidR="00C42BBC">
              <w:rPr>
                <w:noProof/>
                <w:webHidden/>
              </w:rPr>
              <w:fldChar w:fldCharType="separate"/>
            </w:r>
            <w:r w:rsidR="00C42BBC">
              <w:rPr>
                <w:noProof/>
                <w:webHidden/>
              </w:rPr>
              <w:t>103</w:t>
            </w:r>
            <w:r w:rsidR="00C42BBC">
              <w:rPr>
                <w:noProof/>
                <w:webHidden/>
              </w:rPr>
              <w:fldChar w:fldCharType="end"/>
            </w:r>
          </w:hyperlink>
        </w:p>
        <w:p w14:paraId="4FC3CD7C" w14:textId="19560607" w:rsidR="00C42BBC" w:rsidRDefault="00062E07">
          <w:pPr>
            <w:pStyle w:val="TOC2"/>
            <w:tabs>
              <w:tab w:val="right" w:leader="dot" w:pos="9564"/>
            </w:tabs>
            <w:rPr>
              <w:rFonts w:asciiTheme="minorHAnsi" w:hAnsiTheme="minorHAnsi"/>
              <w:noProof/>
              <w:color w:val="auto"/>
              <w:kern w:val="2"/>
              <w:sz w:val="24"/>
              <w:szCs w:val="24"/>
              <w14:ligatures w14:val="standardContextual"/>
            </w:rPr>
          </w:pPr>
          <w:hyperlink w:anchor="_Toc182302306" w:history="1">
            <w:r w:rsidR="00C42BBC" w:rsidRPr="004953FD">
              <w:rPr>
                <w:rStyle w:val="Hyperlink"/>
                <w:noProof/>
              </w:rPr>
              <w:t>3.5. Dimensioni i hulumtimit, inovacionit dhe konkurrueshmërisë</w:t>
            </w:r>
            <w:r w:rsidR="00C42BBC">
              <w:rPr>
                <w:noProof/>
                <w:webHidden/>
              </w:rPr>
              <w:tab/>
            </w:r>
            <w:r w:rsidR="00C42BBC">
              <w:rPr>
                <w:noProof/>
                <w:webHidden/>
              </w:rPr>
              <w:fldChar w:fldCharType="begin"/>
            </w:r>
            <w:r w:rsidR="00C42BBC">
              <w:rPr>
                <w:noProof/>
                <w:webHidden/>
              </w:rPr>
              <w:instrText xml:space="preserve"> PAGEREF _Toc182302306 \h </w:instrText>
            </w:r>
            <w:r w:rsidR="00C42BBC">
              <w:rPr>
                <w:noProof/>
                <w:webHidden/>
              </w:rPr>
            </w:r>
            <w:r w:rsidR="00C42BBC">
              <w:rPr>
                <w:noProof/>
                <w:webHidden/>
              </w:rPr>
              <w:fldChar w:fldCharType="separate"/>
            </w:r>
            <w:r w:rsidR="00C42BBC">
              <w:rPr>
                <w:noProof/>
                <w:webHidden/>
              </w:rPr>
              <w:t>104</w:t>
            </w:r>
            <w:r w:rsidR="00C42BBC">
              <w:rPr>
                <w:noProof/>
                <w:webHidden/>
              </w:rPr>
              <w:fldChar w:fldCharType="end"/>
            </w:r>
          </w:hyperlink>
        </w:p>
        <w:p w14:paraId="25AEF2C1" w14:textId="0918246F" w:rsidR="00C42BBC" w:rsidRDefault="00062E07">
          <w:pPr>
            <w:pStyle w:val="TOC3"/>
            <w:rPr>
              <w:rFonts w:asciiTheme="minorHAnsi" w:hAnsiTheme="minorHAnsi"/>
              <w:noProof/>
              <w:color w:val="auto"/>
              <w:kern w:val="2"/>
              <w:sz w:val="24"/>
              <w:szCs w:val="24"/>
              <w14:ligatures w14:val="standardContextual"/>
            </w:rPr>
          </w:pPr>
          <w:hyperlink w:anchor="_Toc182302307" w:history="1">
            <w:r w:rsidR="00C42BBC" w:rsidRPr="004953FD">
              <w:rPr>
                <w:rStyle w:val="Hyperlink"/>
                <w:rFonts w:cs="Times New Roman"/>
                <w:noProof/>
              </w:rPr>
              <w:t>I.</w:t>
            </w:r>
            <w:r w:rsidR="00C42BBC">
              <w:rPr>
                <w:rFonts w:asciiTheme="minorHAnsi" w:hAnsiTheme="minorHAnsi"/>
                <w:noProof/>
                <w:color w:val="auto"/>
                <w:kern w:val="2"/>
                <w:sz w:val="24"/>
                <w:szCs w:val="24"/>
                <w14:ligatures w14:val="standardContextual"/>
              </w:rPr>
              <w:tab/>
            </w:r>
            <w:r w:rsidR="00C42BBC" w:rsidRPr="004953FD">
              <w:rPr>
                <w:rStyle w:val="Hyperlink"/>
                <w:noProof/>
              </w:rPr>
              <w:t>Politikat dhe masat që lidhen me elementët e përcaktuar në pikën 2.5</w:t>
            </w:r>
            <w:r w:rsidR="00C42BBC">
              <w:rPr>
                <w:noProof/>
                <w:webHidden/>
              </w:rPr>
              <w:tab/>
            </w:r>
            <w:r w:rsidR="00C42BBC">
              <w:rPr>
                <w:noProof/>
                <w:webHidden/>
              </w:rPr>
              <w:fldChar w:fldCharType="begin"/>
            </w:r>
            <w:r w:rsidR="00C42BBC">
              <w:rPr>
                <w:noProof/>
                <w:webHidden/>
              </w:rPr>
              <w:instrText xml:space="preserve"> PAGEREF _Toc182302307 \h </w:instrText>
            </w:r>
            <w:r w:rsidR="00C42BBC">
              <w:rPr>
                <w:noProof/>
                <w:webHidden/>
              </w:rPr>
            </w:r>
            <w:r w:rsidR="00C42BBC">
              <w:rPr>
                <w:noProof/>
                <w:webHidden/>
              </w:rPr>
              <w:fldChar w:fldCharType="separate"/>
            </w:r>
            <w:r w:rsidR="00C42BBC">
              <w:rPr>
                <w:noProof/>
                <w:webHidden/>
              </w:rPr>
              <w:t>104</w:t>
            </w:r>
            <w:r w:rsidR="00C42BBC">
              <w:rPr>
                <w:noProof/>
                <w:webHidden/>
              </w:rPr>
              <w:fldChar w:fldCharType="end"/>
            </w:r>
          </w:hyperlink>
        </w:p>
        <w:p w14:paraId="43A38E62" w14:textId="305229FB" w:rsidR="00C42BBC" w:rsidRDefault="00062E07">
          <w:pPr>
            <w:pStyle w:val="TOC3"/>
            <w:rPr>
              <w:rFonts w:asciiTheme="minorHAnsi" w:hAnsiTheme="minorHAnsi"/>
              <w:noProof/>
              <w:color w:val="auto"/>
              <w:kern w:val="2"/>
              <w:sz w:val="24"/>
              <w:szCs w:val="24"/>
              <w14:ligatures w14:val="standardContextual"/>
            </w:rPr>
          </w:pPr>
          <w:hyperlink w:anchor="_Toc182302308" w:history="1">
            <w:r w:rsidR="00C42BBC" w:rsidRPr="004953FD">
              <w:rPr>
                <w:rStyle w:val="Hyperlink"/>
                <w:rFonts w:cs="Times New Roman"/>
                <w:noProof/>
              </w:rPr>
              <w:t>II.</w:t>
            </w:r>
            <w:r w:rsidR="00C42BBC">
              <w:rPr>
                <w:rFonts w:asciiTheme="minorHAnsi" w:hAnsiTheme="minorHAnsi"/>
                <w:noProof/>
                <w:color w:val="auto"/>
                <w:kern w:val="2"/>
                <w:sz w:val="24"/>
                <w:szCs w:val="24"/>
                <w14:ligatures w14:val="standardContextual"/>
              </w:rPr>
              <w:tab/>
            </w:r>
            <w:r w:rsidR="00C42BBC" w:rsidRPr="004953FD">
              <w:rPr>
                <w:rStyle w:val="Hyperlink"/>
                <w:noProof/>
              </w:rPr>
              <w:t>Bashkëpunimi me palët e tjera kontraktuese dhe/ose shtetet anëtare të Bashkimit Evropian në këtë fushë</w:t>
            </w:r>
            <w:r w:rsidR="00C42BBC">
              <w:rPr>
                <w:noProof/>
                <w:webHidden/>
              </w:rPr>
              <w:tab/>
            </w:r>
            <w:r w:rsidR="00C42BBC">
              <w:rPr>
                <w:noProof/>
                <w:webHidden/>
              </w:rPr>
              <w:fldChar w:fldCharType="begin"/>
            </w:r>
            <w:r w:rsidR="00C42BBC">
              <w:rPr>
                <w:noProof/>
                <w:webHidden/>
              </w:rPr>
              <w:instrText xml:space="preserve"> PAGEREF _Toc182302308 \h </w:instrText>
            </w:r>
            <w:r w:rsidR="00C42BBC">
              <w:rPr>
                <w:noProof/>
                <w:webHidden/>
              </w:rPr>
            </w:r>
            <w:r w:rsidR="00C42BBC">
              <w:rPr>
                <w:noProof/>
                <w:webHidden/>
              </w:rPr>
              <w:fldChar w:fldCharType="separate"/>
            </w:r>
            <w:r w:rsidR="00C42BBC">
              <w:rPr>
                <w:noProof/>
                <w:webHidden/>
              </w:rPr>
              <w:t>111</w:t>
            </w:r>
            <w:r w:rsidR="00C42BBC">
              <w:rPr>
                <w:noProof/>
                <w:webHidden/>
              </w:rPr>
              <w:fldChar w:fldCharType="end"/>
            </w:r>
          </w:hyperlink>
        </w:p>
        <w:p w14:paraId="749A2F3F" w14:textId="060C58C0" w:rsidR="00C42BBC" w:rsidRDefault="00062E07">
          <w:pPr>
            <w:pStyle w:val="TOC3"/>
            <w:rPr>
              <w:rFonts w:asciiTheme="minorHAnsi" w:hAnsiTheme="minorHAnsi"/>
              <w:noProof/>
              <w:color w:val="auto"/>
              <w:kern w:val="2"/>
              <w:sz w:val="24"/>
              <w:szCs w:val="24"/>
              <w14:ligatures w14:val="standardContextual"/>
            </w:rPr>
          </w:pPr>
          <w:hyperlink w:anchor="_Toc182302309" w:history="1">
            <w:r w:rsidR="00C42BBC" w:rsidRPr="004953FD">
              <w:rPr>
                <w:rStyle w:val="Hyperlink"/>
                <w:rFonts w:cs="Times New Roman"/>
                <w:noProof/>
              </w:rPr>
              <w:t>III.</w:t>
            </w:r>
            <w:r w:rsidR="00C42BBC">
              <w:rPr>
                <w:rFonts w:asciiTheme="minorHAnsi" w:hAnsiTheme="minorHAnsi"/>
                <w:noProof/>
                <w:color w:val="auto"/>
                <w:kern w:val="2"/>
                <w:sz w:val="24"/>
                <w:szCs w:val="24"/>
                <w14:ligatures w14:val="standardContextual"/>
              </w:rPr>
              <w:tab/>
            </w:r>
            <w:r w:rsidR="00C42BBC" w:rsidRPr="004953FD">
              <w:rPr>
                <w:rStyle w:val="Hyperlink"/>
                <w:noProof/>
              </w:rPr>
              <w:t>Masat financuese në këtë fushë</w:t>
            </w:r>
            <w:r w:rsidR="00C42BBC">
              <w:rPr>
                <w:noProof/>
                <w:webHidden/>
              </w:rPr>
              <w:tab/>
            </w:r>
            <w:r w:rsidR="00C42BBC">
              <w:rPr>
                <w:noProof/>
                <w:webHidden/>
              </w:rPr>
              <w:fldChar w:fldCharType="begin"/>
            </w:r>
            <w:r w:rsidR="00C42BBC">
              <w:rPr>
                <w:noProof/>
                <w:webHidden/>
              </w:rPr>
              <w:instrText xml:space="preserve"> PAGEREF _Toc182302309 \h </w:instrText>
            </w:r>
            <w:r w:rsidR="00C42BBC">
              <w:rPr>
                <w:noProof/>
                <w:webHidden/>
              </w:rPr>
            </w:r>
            <w:r w:rsidR="00C42BBC">
              <w:rPr>
                <w:noProof/>
                <w:webHidden/>
              </w:rPr>
              <w:fldChar w:fldCharType="separate"/>
            </w:r>
            <w:r w:rsidR="00C42BBC">
              <w:rPr>
                <w:noProof/>
                <w:webHidden/>
              </w:rPr>
              <w:t>111</w:t>
            </w:r>
            <w:r w:rsidR="00C42BBC">
              <w:rPr>
                <w:noProof/>
                <w:webHidden/>
              </w:rPr>
              <w:fldChar w:fldCharType="end"/>
            </w:r>
          </w:hyperlink>
        </w:p>
        <w:p w14:paraId="5A13886F" w14:textId="330E123A" w:rsidR="00C42BBC" w:rsidRDefault="00062E07">
          <w:pPr>
            <w:pStyle w:val="TOC1"/>
            <w:tabs>
              <w:tab w:val="left" w:pos="400"/>
            </w:tabs>
            <w:rPr>
              <w:rFonts w:asciiTheme="minorHAnsi" w:hAnsiTheme="minorHAnsi"/>
              <w:noProof/>
              <w:color w:val="auto"/>
              <w:kern w:val="2"/>
              <w:sz w:val="24"/>
              <w:szCs w:val="24"/>
              <w14:ligatures w14:val="standardContextual"/>
            </w:rPr>
          </w:pPr>
          <w:hyperlink w:anchor="_Toc182302310" w:history="1">
            <w:r w:rsidR="00C42BBC" w:rsidRPr="004953FD">
              <w:rPr>
                <w:rStyle w:val="Hyperlink"/>
                <w:noProof/>
              </w:rPr>
              <w:t>4</w:t>
            </w:r>
            <w:r w:rsidR="00C42BBC">
              <w:rPr>
                <w:rFonts w:asciiTheme="minorHAnsi" w:hAnsiTheme="minorHAnsi"/>
                <w:noProof/>
                <w:color w:val="auto"/>
                <w:kern w:val="2"/>
                <w:sz w:val="24"/>
                <w:szCs w:val="24"/>
                <w14:ligatures w14:val="standardContextual"/>
              </w:rPr>
              <w:tab/>
            </w:r>
            <w:r w:rsidR="00C42BBC" w:rsidRPr="004953FD">
              <w:rPr>
                <w:rStyle w:val="Hyperlink"/>
                <w:noProof/>
              </w:rPr>
              <w:t>SITUATA AKTUALE DHE PROJEKSIONET ME POLITIKAT DHE MASAT EKZISTUESE</w:t>
            </w:r>
            <w:r w:rsidR="00C42BBC">
              <w:rPr>
                <w:noProof/>
                <w:webHidden/>
              </w:rPr>
              <w:tab/>
            </w:r>
            <w:r w:rsidR="00C42BBC">
              <w:rPr>
                <w:noProof/>
                <w:webHidden/>
              </w:rPr>
              <w:fldChar w:fldCharType="begin"/>
            </w:r>
            <w:r w:rsidR="00C42BBC">
              <w:rPr>
                <w:noProof/>
                <w:webHidden/>
              </w:rPr>
              <w:instrText xml:space="preserve"> PAGEREF _Toc182302310 \h </w:instrText>
            </w:r>
            <w:r w:rsidR="00C42BBC">
              <w:rPr>
                <w:noProof/>
                <w:webHidden/>
              </w:rPr>
            </w:r>
            <w:r w:rsidR="00C42BBC">
              <w:rPr>
                <w:noProof/>
                <w:webHidden/>
              </w:rPr>
              <w:fldChar w:fldCharType="separate"/>
            </w:r>
            <w:r w:rsidR="00C42BBC">
              <w:rPr>
                <w:noProof/>
                <w:webHidden/>
              </w:rPr>
              <w:t>112</w:t>
            </w:r>
            <w:r w:rsidR="00C42BBC">
              <w:rPr>
                <w:noProof/>
                <w:webHidden/>
              </w:rPr>
              <w:fldChar w:fldCharType="end"/>
            </w:r>
          </w:hyperlink>
        </w:p>
        <w:p w14:paraId="3A65F09A" w14:textId="7C54DFD0" w:rsidR="00C42BBC" w:rsidRDefault="00062E07">
          <w:pPr>
            <w:pStyle w:val="TOC2"/>
            <w:tabs>
              <w:tab w:val="left" w:pos="880"/>
              <w:tab w:val="right" w:leader="dot" w:pos="9564"/>
            </w:tabs>
            <w:rPr>
              <w:rFonts w:asciiTheme="minorHAnsi" w:hAnsiTheme="minorHAnsi"/>
              <w:noProof/>
              <w:color w:val="auto"/>
              <w:kern w:val="2"/>
              <w:sz w:val="24"/>
              <w:szCs w:val="24"/>
              <w14:ligatures w14:val="standardContextual"/>
            </w:rPr>
          </w:pPr>
          <w:hyperlink w:anchor="_Toc182302311" w:history="1">
            <w:r w:rsidR="00C42BBC" w:rsidRPr="004953FD">
              <w:rPr>
                <w:rStyle w:val="Hyperlink"/>
                <w:noProof/>
              </w:rPr>
              <w:t>4.1</w:t>
            </w:r>
            <w:r w:rsidR="00C42BBC">
              <w:rPr>
                <w:rFonts w:asciiTheme="minorHAnsi" w:hAnsiTheme="minorHAnsi"/>
                <w:noProof/>
                <w:color w:val="auto"/>
                <w:kern w:val="2"/>
                <w:sz w:val="24"/>
                <w:szCs w:val="24"/>
                <w14:ligatures w14:val="standardContextual"/>
              </w:rPr>
              <w:tab/>
            </w:r>
            <w:r w:rsidR="00C42BBC" w:rsidRPr="004953FD">
              <w:rPr>
                <w:rStyle w:val="Hyperlink"/>
                <w:noProof/>
              </w:rPr>
              <w:t>Evoluimi i parashikuar i faktorëve kryesorë ekzogjenë që ndikojnë në sistemin energjetik dhe zhvillimet e emetimeve të GS-ve</w:t>
            </w:r>
            <w:r w:rsidR="00C42BBC">
              <w:rPr>
                <w:noProof/>
                <w:webHidden/>
              </w:rPr>
              <w:tab/>
            </w:r>
            <w:r w:rsidR="00C42BBC">
              <w:rPr>
                <w:noProof/>
                <w:webHidden/>
              </w:rPr>
              <w:fldChar w:fldCharType="begin"/>
            </w:r>
            <w:r w:rsidR="00C42BBC">
              <w:rPr>
                <w:noProof/>
                <w:webHidden/>
              </w:rPr>
              <w:instrText xml:space="preserve"> PAGEREF _Toc182302311 \h </w:instrText>
            </w:r>
            <w:r w:rsidR="00C42BBC">
              <w:rPr>
                <w:noProof/>
                <w:webHidden/>
              </w:rPr>
            </w:r>
            <w:r w:rsidR="00C42BBC">
              <w:rPr>
                <w:noProof/>
                <w:webHidden/>
              </w:rPr>
              <w:fldChar w:fldCharType="separate"/>
            </w:r>
            <w:r w:rsidR="00C42BBC">
              <w:rPr>
                <w:noProof/>
                <w:webHidden/>
              </w:rPr>
              <w:t>112</w:t>
            </w:r>
            <w:r w:rsidR="00C42BBC">
              <w:rPr>
                <w:noProof/>
                <w:webHidden/>
              </w:rPr>
              <w:fldChar w:fldCharType="end"/>
            </w:r>
          </w:hyperlink>
        </w:p>
        <w:p w14:paraId="73CC1B75" w14:textId="0CE54AAC" w:rsidR="00C42BBC" w:rsidRDefault="00062E07">
          <w:pPr>
            <w:pStyle w:val="TOC3"/>
            <w:rPr>
              <w:rFonts w:asciiTheme="minorHAnsi" w:hAnsiTheme="minorHAnsi"/>
              <w:noProof/>
              <w:color w:val="auto"/>
              <w:kern w:val="2"/>
              <w:sz w:val="24"/>
              <w:szCs w:val="24"/>
              <w14:ligatures w14:val="standardContextual"/>
            </w:rPr>
          </w:pPr>
          <w:hyperlink w:anchor="_Toc182302312" w:history="1">
            <w:r w:rsidR="00C42BBC" w:rsidRPr="004953FD">
              <w:rPr>
                <w:rStyle w:val="Hyperlink"/>
                <w:rFonts w:cs="Times New Roman"/>
                <w:noProof/>
              </w:rPr>
              <w:t>I.</w:t>
            </w:r>
            <w:r w:rsidR="00C42BBC">
              <w:rPr>
                <w:rFonts w:asciiTheme="minorHAnsi" w:hAnsiTheme="minorHAnsi"/>
                <w:noProof/>
                <w:color w:val="auto"/>
                <w:kern w:val="2"/>
                <w:sz w:val="24"/>
                <w:szCs w:val="24"/>
                <w14:ligatures w14:val="standardContextual"/>
              </w:rPr>
              <w:tab/>
            </w:r>
            <w:r w:rsidR="00C42BBC" w:rsidRPr="004953FD">
              <w:rPr>
                <w:rStyle w:val="Hyperlink"/>
                <w:noProof/>
              </w:rPr>
              <w:t>Projeksionet makroekonomike (BPV dhe rritja e popullsisë)</w:t>
            </w:r>
            <w:r w:rsidR="00C42BBC">
              <w:rPr>
                <w:noProof/>
                <w:webHidden/>
              </w:rPr>
              <w:tab/>
            </w:r>
            <w:r w:rsidR="00C42BBC">
              <w:rPr>
                <w:noProof/>
                <w:webHidden/>
              </w:rPr>
              <w:fldChar w:fldCharType="begin"/>
            </w:r>
            <w:r w:rsidR="00C42BBC">
              <w:rPr>
                <w:noProof/>
                <w:webHidden/>
              </w:rPr>
              <w:instrText xml:space="preserve"> PAGEREF _Toc182302312 \h </w:instrText>
            </w:r>
            <w:r w:rsidR="00C42BBC">
              <w:rPr>
                <w:noProof/>
                <w:webHidden/>
              </w:rPr>
            </w:r>
            <w:r w:rsidR="00C42BBC">
              <w:rPr>
                <w:noProof/>
                <w:webHidden/>
              </w:rPr>
              <w:fldChar w:fldCharType="separate"/>
            </w:r>
            <w:r w:rsidR="00C42BBC">
              <w:rPr>
                <w:noProof/>
                <w:webHidden/>
              </w:rPr>
              <w:t>112</w:t>
            </w:r>
            <w:r w:rsidR="00C42BBC">
              <w:rPr>
                <w:noProof/>
                <w:webHidden/>
              </w:rPr>
              <w:fldChar w:fldCharType="end"/>
            </w:r>
          </w:hyperlink>
        </w:p>
        <w:p w14:paraId="78465DB3" w14:textId="0AE7BC25" w:rsidR="00C42BBC" w:rsidRDefault="00062E07">
          <w:pPr>
            <w:pStyle w:val="TOC3"/>
            <w:rPr>
              <w:rFonts w:asciiTheme="minorHAnsi" w:hAnsiTheme="minorHAnsi"/>
              <w:noProof/>
              <w:color w:val="auto"/>
              <w:kern w:val="2"/>
              <w:sz w:val="24"/>
              <w:szCs w:val="24"/>
              <w14:ligatures w14:val="standardContextual"/>
            </w:rPr>
          </w:pPr>
          <w:hyperlink w:anchor="_Toc182302313" w:history="1">
            <w:r w:rsidR="00C42BBC" w:rsidRPr="004953FD">
              <w:rPr>
                <w:rStyle w:val="Hyperlink"/>
                <w:rFonts w:cs="Times New Roman"/>
                <w:noProof/>
              </w:rPr>
              <w:t>II.</w:t>
            </w:r>
            <w:r w:rsidR="00C42BBC">
              <w:rPr>
                <w:rFonts w:asciiTheme="minorHAnsi" w:hAnsiTheme="minorHAnsi"/>
                <w:noProof/>
                <w:color w:val="auto"/>
                <w:kern w:val="2"/>
                <w:sz w:val="24"/>
                <w:szCs w:val="24"/>
                <w14:ligatures w14:val="standardContextual"/>
              </w:rPr>
              <w:tab/>
            </w:r>
            <w:r w:rsidR="00C42BBC" w:rsidRPr="004953FD">
              <w:rPr>
                <w:rStyle w:val="Hyperlink"/>
                <w:noProof/>
              </w:rPr>
              <w:t>Ndryshimet sektoriale pritet të ndikojnë në sistemin energjetik dhe emetimet e GS-ve</w:t>
            </w:r>
            <w:r w:rsidR="00C42BBC">
              <w:rPr>
                <w:noProof/>
                <w:webHidden/>
              </w:rPr>
              <w:tab/>
            </w:r>
            <w:r w:rsidR="00C42BBC">
              <w:rPr>
                <w:noProof/>
                <w:webHidden/>
              </w:rPr>
              <w:fldChar w:fldCharType="begin"/>
            </w:r>
            <w:r w:rsidR="00C42BBC">
              <w:rPr>
                <w:noProof/>
                <w:webHidden/>
              </w:rPr>
              <w:instrText xml:space="preserve"> PAGEREF _Toc182302313 \h </w:instrText>
            </w:r>
            <w:r w:rsidR="00C42BBC">
              <w:rPr>
                <w:noProof/>
                <w:webHidden/>
              </w:rPr>
            </w:r>
            <w:r w:rsidR="00C42BBC">
              <w:rPr>
                <w:noProof/>
                <w:webHidden/>
              </w:rPr>
              <w:fldChar w:fldCharType="separate"/>
            </w:r>
            <w:r w:rsidR="00C42BBC">
              <w:rPr>
                <w:noProof/>
                <w:webHidden/>
              </w:rPr>
              <w:t>113</w:t>
            </w:r>
            <w:r w:rsidR="00C42BBC">
              <w:rPr>
                <w:noProof/>
                <w:webHidden/>
              </w:rPr>
              <w:fldChar w:fldCharType="end"/>
            </w:r>
          </w:hyperlink>
        </w:p>
        <w:p w14:paraId="3E858228" w14:textId="2D54630D" w:rsidR="00C42BBC" w:rsidRDefault="00062E07">
          <w:pPr>
            <w:pStyle w:val="TOC3"/>
            <w:rPr>
              <w:rFonts w:asciiTheme="minorHAnsi" w:hAnsiTheme="minorHAnsi"/>
              <w:noProof/>
              <w:color w:val="auto"/>
              <w:kern w:val="2"/>
              <w:sz w:val="24"/>
              <w:szCs w:val="24"/>
              <w14:ligatures w14:val="standardContextual"/>
            </w:rPr>
          </w:pPr>
          <w:hyperlink w:anchor="_Toc182302314" w:history="1">
            <w:r w:rsidR="00C42BBC" w:rsidRPr="004953FD">
              <w:rPr>
                <w:rStyle w:val="Hyperlink"/>
                <w:b/>
                <w:i/>
                <w:noProof/>
              </w:rPr>
              <w:t>Sektori rezidencial</w:t>
            </w:r>
            <w:r w:rsidR="00C42BBC">
              <w:rPr>
                <w:noProof/>
                <w:webHidden/>
              </w:rPr>
              <w:tab/>
            </w:r>
            <w:r w:rsidR="00C42BBC">
              <w:rPr>
                <w:noProof/>
                <w:webHidden/>
              </w:rPr>
              <w:fldChar w:fldCharType="begin"/>
            </w:r>
            <w:r w:rsidR="00C42BBC">
              <w:rPr>
                <w:noProof/>
                <w:webHidden/>
              </w:rPr>
              <w:instrText xml:space="preserve"> PAGEREF _Toc182302314 \h </w:instrText>
            </w:r>
            <w:r w:rsidR="00C42BBC">
              <w:rPr>
                <w:noProof/>
                <w:webHidden/>
              </w:rPr>
            </w:r>
            <w:r w:rsidR="00C42BBC">
              <w:rPr>
                <w:noProof/>
                <w:webHidden/>
              </w:rPr>
              <w:fldChar w:fldCharType="separate"/>
            </w:r>
            <w:r w:rsidR="00C42BBC">
              <w:rPr>
                <w:noProof/>
                <w:webHidden/>
              </w:rPr>
              <w:t>114</w:t>
            </w:r>
            <w:r w:rsidR="00C42BBC">
              <w:rPr>
                <w:noProof/>
                <w:webHidden/>
              </w:rPr>
              <w:fldChar w:fldCharType="end"/>
            </w:r>
          </w:hyperlink>
        </w:p>
        <w:p w14:paraId="22DF0230" w14:textId="5E50C299" w:rsidR="00C42BBC" w:rsidRDefault="00062E07">
          <w:pPr>
            <w:pStyle w:val="TOC3"/>
            <w:rPr>
              <w:rFonts w:asciiTheme="minorHAnsi" w:hAnsiTheme="minorHAnsi"/>
              <w:noProof/>
              <w:color w:val="auto"/>
              <w:kern w:val="2"/>
              <w:sz w:val="24"/>
              <w:szCs w:val="24"/>
              <w14:ligatures w14:val="standardContextual"/>
            </w:rPr>
          </w:pPr>
          <w:hyperlink w:anchor="_Toc182302315" w:history="1">
            <w:r w:rsidR="00C42BBC" w:rsidRPr="004953FD">
              <w:rPr>
                <w:rStyle w:val="Hyperlink"/>
                <w:b/>
                <w:i/>
                <w:noProof/>
              </w:rPr>
              <w:t>Sektori i shërbimeve</w:t>
            </w:r>
            <w:r w:rsidR="00C42BBC">
              <w:rPr>
                <w:noProof/>
                <w:webHidden/>
              </w:rPr>
              <w:tab/>
            </w:r>
            <w:r w:rsidR="00C42BBC">
              <w:rPr>
                <w:noProof/>
                <w:webHidden/>
              </w:rPr>
              <w:fldChar w:fldCharType="begin"/>
            </w:r>
            <w:r w:rsidR="00C42BBC">
              <w:rPr>
                <w:noProof/>
                <w:webHidden/>
              </w:rPr>
              <w:instrText xml:space="preserve"> PAGEREF _Toc182302315 \h </w:instrText>
            </w:r>
            <w:r w:rsidR="00C42BBC">
              <w:rPr>
                <w:noProof/>
                <w:webHidden/>
              </w:rPr>
            </w:r>
            <w:r w:rsidR="00C42BBC">
              <w:rPr>
                <w:noProof/>
                <w:webHidden/>
              </w:rPr>
              <w:fldChar w:fldCharType="separate"/>
            </w:r>
            <w:r w:rsidR="00C42BBC">
              <w:rPr>
                <w:noProof/>
                <w:webHidden/>
              </w:rPr>
              <w:t>115</w:t>
            </w:r>
            <w:r w:rsidR="00C42BBC">
              <w:rPr>
                <w:noProof/>
                <w:webHidden/>
              </w:rPr>
              <w:fldChar w:fldCharType="end"/>
            </w:r>
          </w:hyperlink>
        </w:p>
        <w:p w14:paraId="6063B41E" w14:textId="41C6A1FD" w:rsidR="00C42BBC" w:rsidRDefault="00062E07">
          <w:pPr>
            <w:pStyle w:val="TOC3"/>
            <w:rPr>
              <w:rFonts w:asciiTheme="minorHAnsi" w:hAnsiTheme="minorHAnsi"/>
              <w:noProof/>
              <w:color w:val="auto"/>
              <w:kern w:val="2"/>
              <w:sz w:val="24"/>
              <w:szCs w:val="24"/>
              <w14:ligatures w14:val="standardContextual"/>
            </w:rPr>
          </w:pPr>
          <w:hyperlink w:anchor="_Toc182302316" w:history="1">
            <w:r w:rsidR="00C42BBC" w:rsidRPr="004953FD">
              <w:rPr>
                <w:rStyle w:val="Hyperlink"/>
                <w:b/>
                <w:i/>
                <w:noProof/>
              </w:rPr>
              <w:t>Industria</w:t>
            </w:r>
            <w:r w:rsidR="00C42BBC">
              <w:rPr>
                <w:noProof/>
                <w:webHidden/>
              </w:rPr>
              <w:tab/>
            </w:r>
            <w:r w:rsidR="00C42BBC">
              <w:rPr>
                <w:noProof/>
                <w:webHidden/>
              </w:rPr>
              <w:fldChar w:fldCharType="begin"/>
            </w:r>
            <w:r w:rsidR="00C42BBC">
              <w:rPr>
                <w:noProof/>
                <w:webHidden/>
              </w:rPr>
              <w:instrText xml:space="preserve"> PAGEREF _Toc182302316 \h </w:instrText>
            </w:r>
            <w:r w:rsidR="00C42BBC">
              <w:rPr>
                <w:noProof/>
                <w:webHidden/>
              </w:rPr>
            </w:r>
            <w:r w:rsidR="00C42BBC">
              <w:rPr>
                <w:noProof/>
                <w:webHidden/>
              </w:rPr>
              <w:fldChar w:fldCharType="separate"/>
            </w:r>
            <w:r w:rsidR="00C42BBC">
              <w:rPr>
                <w:noProof/>
                <w:webHidden/>
              </w:rPr>
              <w:t>116</w:t>
            </w:r>
            <w:r w:rsidR="00C42BBC">
              <w:rPr>
                <w:noProof/>
                <w:webHidden/>
              </w:rPr>
              <w:fldChar w:fldCharType="end"/>
            </w:r>
          </w:hyperlink>
        </w:p>
        <w:p w14:paraId="6C01C414" w14:textId="27302737" w:rsidR="00C42BBC" w:rsidRDefault="00062E07">
          <w:pPr>
            <w:pStyle w:val="TOC3"/>
            <w:rPr>
              <w:rFonts w:asciiTheme="minorHAnsi" w:hAnsiTheme="minorHAnsi"/>
              <w:noProof/>
              <w:color w:val="auto"/>
              <w:kern w:val="2"/>
              <w:sz w:val="24"/>
              <w:szCs w:val="24"/>
              <w14:ligatures w14:val="standardContextual"/>
            </w:rPr>
          </w:pPr>
          <w:hyperlink w:anchor="_Toc182302317" w:history="1">
            <w:r w:rsidR="00C42BBC" w:rsidRPr="004953FD">
              <w:rPr>
                <w:rStyle w:val="Hyperlink"/>
                <w:b/>
                <w:i/>
                <w:noProof/>
              </w:rPr>
              <w:t>Proceset industriale dhe përdorimi i produkteve</w:t>
            </w:r>
            <w:r w:rsidR="00C42BBC">
              <w:rPr>
                <w:noProof/>
                <w:webHidden/>
              </w:rPr>
              <w:tab/>
            </w:r>
            <w:r w:rsidR="00C42BBC">
              <w:rPr>
                <w:noProof/>
                <w:webHidden/>
              </w:rPr>
              <w:fldChar w:fldCharType="begin"/>
            </w:r>
            <w:r w:rsidR="00C42BBC">
              <w:rPr>
                <w:noProof/>
                <w:webHidden/>
              </w:rPr>
              <w:instrText xml:space="preserve"> PAGEREF _Toc182302317 \h </w:instrText>
            </w:r>
            <w:r w:rsidR="00C42BBC">
              <w:rPr>
                <w:noProof/>
                <w:webHidden/>
              </w:rPr>
            </w:r>
            <w:r w:rsidR="00C42BBC">
              <w:rPr>
                <w:noProof/>
                <w:webHidden/>
              </w:rPr>
              <w:fldChar w:fldCharType="separate"/>
            </w:r>
            <w:r w:rsidR="00C42BBC">
              <w:rPr>
                <w:noProof/>
                <w:webHidden/>
              </w:rPr>
              <w:t>117</w:t>
            </w:r>
            <w:r w:rsidR="00C42BBC">
              <w:rPr>
                <w:noProof/>
                <w:webHidden/>
              </w:rPr>
              <w:fldChar w:fldCharType="end"/>
            </w:r>
          </w:hyperlink>
        </w:p>
        <w:p w14:paraId="1ACC23A9" w14:textId="6AA3E423" w:rsidR="00C42BBC" w:rsidRDefault="00062E07">
          <w:pPr>
            <w:pStyle w:val="TOC3"/>
            <w:rPr>
              <w:rFonts w:asciiTheme="minorHAnsi" w:hAnsiTheme="minorHAnsi"/>
              <w:noProof/>
              <w:color w:val="auto"/>
              <w:kern w:val="2"/>
              <w:sz w:val="24"/>
              <w:szCs w:val="24"/>
              <w14:ligatures w14:val="standardContextual"/>
            </w:rPr>
          </w:pPr>
          <w:hyperlink w:anchor="_Toc182302318" w:history="1">
            <w:r w:rsidR="00C42BBC" w:rsidRPr="004953FD">
              <w:rPr>
                <w:rStyle w:val="Hyperlink"/>
                <w:b/>
                <w:i/>
                <w:noProof/>
              </w:rPr>
              <w:t>Transporti</w:t>
            </w:r>
            <w:r w:rsidR="00C42BBC">
              <w:rPr>
                <w:noProof/>
                <w:webHidden/>
              </w:rPr>
              <w:tab/>
            </w:r>
            <w:r w:rsidR="00C42BBC">
              <w:rPr>
                <w:noProof/>
                <w:webHidden/>
              </w:rPr>
              <w:fldChar w:fldCharType="begin"/>
            </w:r>
            <w:r w:rsidR="00C42BBC">
              <w:rPr>
                <w:noProof/>
                <w:webHidden/>
              </w:rPr>
              <w:instrText xml:space="preserve"> PAGEREF _Toc182302318 \h </w:instrText>
            </w:r>
            <w:r w:rsidR="00C42BBC">
              <w:rPr>
                <w:noProof/>
                <w:webHidden/>
              </w:rPr>
            </w:r>
            <w:r w:rsidR="00C42BBC">
              <w:rPr>
                <w:noProof/>
                <w:webHidden/>
              </w:rPr>
              <w:fldChar w:fldCharType="separate"/>
            </w:r>
            <w:r w:rsidR="00C42BBC">
              <w:rPr>
                <w:noProof/>
                <w:webHidden/>
              </w:rPr>
              <w:t>117</w:t>
            </w:r>
            <w:r w:rsidR="00C42BBC">
              <w:rPr>
                <w:noProof/>
                <w:webHidden/>
              </w:rPr>
              <w:fldChar w:fldCharType="end"/>
            </w:r>
          </w:hyperlink>
        </w:p>
        <w:p w14:paraId="2480CF8E" w14:textId="553E721F" w:rsidR="00C42BBC" w:rsidRDefault="00062E07">
          <w:pPr>
            <w:pStyle w:val="TOC3"/>
            <w:rPr>
              <w:rFonts w:asciiTheme="minorHAnsi" w:hAnsiTheme="minorHAnsi"/>
              <w:noProof/>
              <w:color w:val="auto"/>
              <w:kern w:val="2"/>
              <w:sz w:val="24"/>
              <w:szCs w:val="24"/>
              <w14:ligatures w14:val="standardContextual"/>
            </w:rPr>
          </w:pPr>
          <w:hyperlink w:anchor="_Toc182302319" w:history="1">
            <w:r w:rsidR="00C42BBC" w:rsidRPr="004953FD">
              <w:rPr>
                <w:rStyle w:val="Hyperlink"/>
                <w:b/>
                <w:i/>
                <w:noProof/>
              </w:rPr>
              <w:t>Transformimi i energjetik</w:t>
            </w:r>
            <w:r w:rsidR="00C42BBC">
              <w:rPr>
                <w:noProof/>
                <w:webHidden/>
              </w:rPr>
              <w:tab/>
            </w:r>
            <w:r w:rsidR="00C42BBC">
              <w:rPr>
                <w:noProof/>
                <w:webHidden/>
              </w:rPr>
              <w:fldChar w:fldCharType="begin"/>
            </w:r>
            <w:r w:rsidR="00C42BBC">
              <w:rPr>
                <w:noProof/>
                <w:webHidden/>
              </w:rPr>
              <w:instrText xml:space="preserve"> PAGEREF _Toc182302319 \h </w:instrText>
            </w:r>
            <w:r w:rsidR="00C42BBC">
              <w:rPr>
                <w:noProof/>
                <w:webHidden/>
              </w:rPr>
            </w:r>
            <w:r w:rsidR="00C42BBC">
              <w:rPr>
                <w:noProof/>
                <w:webHidden/>
              </w:rPr>
              <w:fldChar w:fldCharType="separate"/>
            </w:r>
            <w:r w:rsidR="00C42BBC">
              <w:rPr>
                <w:noProof/>
                <w:webHidden/>
              </w:rPr>
              <w:t>119</w:t>
            </w:r>
            <w:r w:rsidR="00C42BBC">
              <w:rPr>
                <w:noProof/>
                <w:webHidden/>
              </w:rPr>
              <w:fldChar w:fldCharType="end"/>
            </w:r>
          </w:hyperlink>
        </w:p>
        <w:p w14:paraId="7CA74729" w14:textId="17EDEBE1" w:rsidR="00C42BBC" w:rsidRDefault="00062E07">
          <w:pPr>
            <w:pStyle w:val="TOC3"/>
            <w:rPr>
              <w:rFonts w:asciiTheme="minorHAnsi" w:hAnsiTheme="minorHAnsi"/>
              <w:noProof/>
              <w:color w:val="auto"/>
              <w:kern w:val="2"/>
              <w:sz w:val="24"/>
              <w:szCs w:val="24"/>
              <w14:ligatures w14:val="standardContextual"/>
            </w:rPr>
          </w:pPr>
          <w:hyperlink w:anchor="_Toc182302320" w:history="1">
            <w:r w:rsidR="00C42BBC" w:rsidRPr="004953FD">
              <w:rPr>
                <w:rStyle w:val="Hyperlink"/>
                <w:b/>
                <w:i/>
                <w:noProof/>
              </w:rPr>
              <w:t>Bujqësia</w:t>
            </w:r>
            <w:r w:rsidR="00C42BBC">
              <w:rPr>
                <w:noProof/>
                <w:webHidden/>
              </w:rPr>
              <w:tab/>
            </w:r>
            <w:r w:rsidR="00C42BBC">
              <w:rPr>
                <w:noProof/>
                <w:webHidden/>
              </w:rPr>
              <w:fldChar w:fldCharType="begin"/>
            </w:r>
            <w:r w:rsidR="00C42BBC">
              <w:rPr>
                <w:noProof/>
                <w:webHidden/>
              </w:rPr>
              <w:instrText xml:space="preserve"> PAGEREF _Toc182302320 \h </w:instrText>
            </w:r>
            <w:r w:rsidR="00C42BBC">
              <w:rPr>
                <w:noProof/>
                <w:webHidden/>
              </w:rPr>
            </w:r>
            <w:r w:rsidR="00C42BBC">
              <w:rPr>
                <w:noProof/>
                <w:webHidden/>
              </w:rPr>
              <w:fldChar w:fldCharType="separate"/>
            </w:r>
            <w:r w:rsidR="00C42BBC">
              <w:rPr>
                <w:noProof/>
                <w:webHidden/>
              </w:rPr>
              <w:t>121</w:t>
            </w:r>
            <w:r w:rsidR="00C42BBC">
              <w:rPr>
                <w:noProof/>
                <w:webHidden/>
              </w:rPr>
              <w:fldChar w:fldCharType="end"/>
            </w:r>
          </w:hyperlink>
        </w:p>
        <w:p w14:paraId="3861E229" w14:textId="12F325FF" w:rsidR="00C42BBC" w:rsidRDefault="00062E07">
          <w:pPr>
            <w:pStyle w:val="TOC3"/>
            <w:rPr>
              <w:rFonts w:asciiTheme="minorHAnsi" w:hAnsiTheme="minorHAnsi"/>
              <w:noProof/>
              <w:color w:val="auto"/>
              <w:kern w:val="2"/>
              <w:sz w:val="24"/>
              <w:szCs w:val="24"/>
              <w14:ligatures w14:val="standardContextual"/>
            </w:rPr>
          </w:pPr>
          <w:hyperlink w:anchor="_Toc182302321" w:history="1">
            <w:r w:rsidR="00C42BBC" w:rsidRPr="004953FD">
              <w:rPr>
                <w:rStyle w:val="Hyperlink"/>
                <w:b/>
                <w:i/>
                <w:noProof/>
              </w:rPr>
              <w:t>LULUCF</w:t>
            </w:r>
            <w:r w:rsidR="00C42BBC">
              <w:rPr>
                <w:noProof/>
                <w:webHidden/>
              </w:rPr>
              <w:tab/>
            </w:r>
            <w:r w:rsidR="00C42BBC">
              <w:rPr>
                <w:noProof/>
                <w:webHidden/>
              </w:rPr>
              <w:fldChar w:fldCharType="begin"/>
            </w:r>
            <w:r w:rsidR="00C42BBC">
              <w:rPr>
                <w:noProof/>
                <w:webHidden/>
              </w:rPr>
              <w:instrText xml:space="preserve"> PAGEREF _Toc182302321 \h </w:instrText>
            </w:r>
            <w:r w:rsidR="00C42BBC">
              <w:rPr>
                <w:noProof/>
                <w:webHidden/>
              </w:rPr>
            </w:r>
            <w:r w:rsidR="00C42BBC">
              <w:rPr>
                <w:noProof/>
                <w:webHidden/>
              </w:rPr>
              <w:fldChar w:fldCharType="separate"/>
            </w:r>
            <w:r w:rsidR="00C42BBC">
              <w:rPr>
                <w:noProof/>
                <w:webHidden/>
              </w:rPr>
              <w:t>122</w:t>
            </w:r>
            <w:r w:rsidR="00C42BBC">
              <w:rPr>
                <w:noProof/>
                <w:webHidden/>
              </w:rPr>
              <w:fldChar w:fldCharType="end"/>
            </w:r>
          </w:hyperlink>
        </w:p>
        <w:p w14:paraId="1E2E18E3" w14:textId="100A2736" w:rsidR="00C42BBC" w:rsidRDefault="00062E07">
          <w:pPr>
            <w:pStyle w:val="TOC3"/>
            <w:rPr>
              <w:rFonts w:asciiTheme="minorHAnsi" w:hAnsiTheme="minorHAnsi"/>
              <w:noProof/>
              <w:color w:val="auto"/>
              <w:kern w:val="2"/>
              <w:sz w:val="24"/>
              <w:szCs w:val="24"/>
              <w14:ligatures w14:val="standardContextual"/>
            </w:rPr>
          </w:pPr>
          <w:hyperlink w:anchor="_Toc182302322" w:history="1">
            <w:r w:rsidR="00C42BBC" w:rsidRPr="004953FD">
              <w:rPr>
                <w:rStyle w:val="Hyperlink"/>
                <w:b/>
                <w:i/>
                <w:noProof/>
              </w:rPr>
              <w:t>Mbeturinat</w:t>
            </w:r>
            <w:r w:rsidR="00C42BBC">
              <w:rPr>
                <w:noProof/>
                <w:webHidden/>
              </w:rPr>
              <w:tab/>
            </w:r>
            <w:r w:rsidR="00C42BBC">
              <w:rPr>
                <w:noProof/>
                <w:webHidden/>
              </w:rPr>
              <w:fldChar w:fldCharType="begin"/>
            </w:r>
            <w:r w:rsidR="00C42BBC">
              <w:rPr>
                <w:noProof/>
                <w:webHidden/>
              </w:rPr>
              <w:instrText xml:space="preserve"> PAGEREF _Toc182302322 \h </w:instrText>
            </w:r>
            <w:r w:rsidR="00C42BBC">
              <w:rPr>
                <w:noProof/>
                <w:webHidden/>
              </w:rPr>
            </w:r>
            <w:r w:rsidR="00C42BBC">
              <w:rPr>
                <w:noProof/>
                <w:webHidden/>
              </w:rPr>
              <w:fldChar w:fldCharType="separate"/>
            </w:r>
            <w:r w:rsidR="00C42BBC">
              <w:rPr>
                <w:noProof/>
                <w:webHidden/>
              </w:rPr>
              <w:t>122</w:t>
            </w:r>
            <w:r w:rsidR="00C42BBC">
              <w:rPr>
                <w:noProof/>
                <w:webHidden/>
              </w:rPr>
              <w:fldChar w:fldCharType="end"/>
            </w:r>
          </w:hyperlink>
        </w:p>
        <w:p w14:paraId="697D75B5" w14:textId="2E89A68E" w:rsidR="00C42BBC" w:rsidRDefault="00062E07">
          <w:pPr>
            <w:pStyle w:val="TOC3"/>
            <w:rPr>
              <w:rFonts w:asciiTheme="minorHAnsi" w:hAnsiTheme="minorHAnsi"/>
              <w:noProof/>
              <w:color w:val="auto"/>
              <w:kern w:val="2"/>
              <w:sz w:val="24"/>
              <w:szCs w:val="24"/>
              <w14:ligatures w14:val="standardContextual"/>
            </w:rPr>
          </w:pPr>
          <w:hyperlink w:anchor="_Toc182302323" w:history="1">
            <w:r w:rsidR="00C42BBC" w:rsidRPr="004953FD">
              <w:rPr>
                <w:rStyle w:val="Hyperlink"/>
                <w:rFonts w:cs="Times New Roman"/>
                <w:noProof/>
              </w:rPr>
              <w:t>III.</w:t>
            </w:r>
            <w:r w:rsidR="00C42BBC">
              <w:rPr>
                <w:rFonts w:asciiTheme="minorHAnsi" w:hAnsiTheme="minorHAnsi"/>
                <w:noProof/>
                <w:color w:val="auto"/>
                <w:kern w:val="2"/>
                <w:sz w:val="24"/>
                <w:szCs w:val="24"/>
                <w14:ligatures w14:val="standardContextual"/>
              </w:rPr>
              <w:tab/>
            </w:r>
            <w:r w:rsidR="00C42BBC" w:rsidRPr="004953FD">
              <w:rPr>
                <w:rStyle w:val="Hyperlink"/>
                <w:noProof/>
              </w:rPr>
              <w:t>Trendët globale të energjisë, çmimet ndërkombëtare të lëndëve djegëse fosile, çmimi i karbonit sipas EU ETS</w:t>
            </w:r>
            <w:r w:rsidR="00C42BBC">
              <w:rPr>
                <w:noProof/>
                <w:webHidden/>
              </w:rPr>
              <w:tab/>
            </w:r>
            <w:r w:rsidR="00C42BBC">
              <w:rPr>
                <w:noProof/>
                <w:webHidden/>
              </w:rPr>
              <w:fldChar w:fldCharType="begin"/>
            </w:r>
            <w:r w:rsidR="00C42BBC">
              <w:rPr>
                <w:noProof/>
                <w:webHidden/>
              </w:rPr>
              <w:instrText xml:space="preserve"> PAGEREF _Toc182302323 \h </w:instrText>
            </w:r>
            <w:r w:rsidR="00C42BBC">
              <w:rPr>
                <w:noProof/>
                <w:webHidden/>
              </w:rPr>
            </w:r>
            <w:r w:rsidR="00C42BBC">
              <w:rPr>
                <w:noProof/>
                <w:webHidden/>
              </w:rPr>
              <w:fldChar w:fldCharType="separate"/>
            </w:r>
            <w:r w:rsidR="00C42BBC">
              <w:rPr>
                <w:noProof/>
                <w:webHidden/>
              </w:rPr>
              <w:t>122</w:t>
            </w:r>
            <w:r w:rsidR="00C42BBC">
              <w:rPr>
                <w:noProof/>
                <w:webHidden/>
              </w:rPr>
              <w:fldChar w:fldCharType="end"/>
            </w:r>
          </w:hyperlink>
        </w:p>
        <w:p w14:paraId="0D199845" w14:textId="401E7122" w:rsidR="00C42BBC" w:rsidRDefault="00062E07">
          <w:pPr>
            <w:pStyle w:val="TOC3"/>
            <w:rPr>
              <w:rFonts w:asciiTheme="minorHAnsi" w:hAnsiTheme="minorHAnsi"/>
              <w:noProof/>
              <w:color w:val="auto"/>
              <w:kern w:val="2"/>
              <w:sz w:val="24"/>
              <w:szCs w:val="24"/>
              <w14:ligatures w14:val="standardContextual"/>
            </w:rPr>
          </w:pPr>
          <w:hyperlink w:anchor="_Toc182302324" w:history="1">
            <w:r w:rsidR="00C42BBC" w:rsidRPr="004953FD">
              <w:rPr>
                <w:rStyle w:val="Hyperlink"/>
                <w:rFonts w:cs="Times New Roman"/>
                <w:noProof/>
              </w:rPr>
              <w:t>IV.</w:t>
            </w:r>
            <w:r w:rsidR="00C42BBC">
              <w:rPr>
                <w:rFonts w:asciiTheme="minorHAnsi" w:hAnsiTheme="minorHAnsi"/>
                <w:noProof/>
                <w:color w:val="auto"/>
                <w:kern w:val="2"/>
                <w:sz w:val="24"/>
                <w:szCs w:val="24"/>
                <w14:ligatures w14:val="standardContextual"/>
              </w:rPr>
              <w:tab/>
            </w:r>
            <w:r w:rsidR="00C42BBC" w:rsidRPr="004953FD">
              <w:rPr>
                <w:rStyle w:val="Hyperlink"/>
                <w:noProof/>
              </w:rPr>
              <w:t>Zhvillimet e kostos së teknologjisë</w:t>
            </w:r>
            <w:r w:rsidR="00C42BBC">
              <w:rPr>
                <w:noProof/>
                <w:webHidden/>
              </w:rPr>
              <w:tab/>
            </w:r>
            <w:r w:rsidR="00C42BBC">
              <w:rPr>
                <w:noProof/>
                <w:webHidden/>
              </w:rPr>
              <w:fldChar w:fldCharType="begin"/>
            </w:r>
            <w:r w:rsidR="00C42BBC">
              <w:rPr>
                <w:noProof/>
                <w:webHidden/>
              </w:rPr>
              <w:instrText xml:space="preserve"> PAGEREF _Toc182302324 \h </w:instrText>
            </w:r>
            <w:r w:rsidR="00C42BBC">
              <w:rPr>
                <w:noProof/>
                <w:webHidden/>
              </w:rPr>
            </w:r>
            <w:r w:rsidR="00C42BBC">
              <w:rPr>
                <w:noProof/>
                <w:webHidden/>
              </w:rPr>
              <w:fldChar w:fldCharType="separate"/>
            </w:r>
            <w:r w:rsidR="00C42BBC">
              <w:rPr>
                <w:noProof/>
                <w:webHidden/>
              </w:rPr>
              <w:t>123</w:t>
            </w:r>
            <w:r w:rsidR="00C42BBC">
              <w:rPr>
                <w:noProof/>
                <w:webHidden/>
              </w:rPr>
              <w:fldChar w:fldCharType="end"/>
            </w:r>
          </w:hyperlink>
        </w:p>
        <w:p w14:paraId="29F337AE" w14:textId="7353AB3E" w:rsidR="00C42BBC" w:rsidRDefault="00062E07">
          <w:pPr>
            <w:pStyle w:val="TOC2"/>
            <w:tabs>
              <w:tab w:val="left" w:pos="880"/>
              <w:tab w:val="right" w:leader="dot" w:pos="9564"/>
            </w:tabs>
            <w:rPr>
              <w:rFonts w:asciiTheme="minorHAnsi" w:hAnsiTheme="minorHAnsi"/>
              <w:noProof/>
              <w:color w:val="auto"/>
              <w:kern w:val="2"/>
              <w:sz w:val="24"/>
              <w:szCs w:val="24"/>
              <w14:ligatures w14:val="standardContextual"/>
            </w:rPr>
          </w:pPr>
          <w:hyperlink w:anchor="_Toc182302325" w:history="1">
            <w:r w:rsidR="00C42BBC" w:rsidRPr="004953FD">
              <w:rPr>
                <w:rStyle w:val="Hyperlink"/>
                <w:noProof/>
              </w:rPr>
              <w:t>4.2</w:t>
            </w:r>
            <w:r w:rsidR="00C42BBC">
              <w:rPr>
                <w:rFonts w:asciiTheme="minorHAnsi" w:hAnsiTheme="minorHAnsi"/>
                <w:noProof/>
                <w:color w:val="auto"/>
                <w:kern w:val="2"/>
                <w:sz w:val="24"/>
                <w:szCs w:val="24"/>
                <w14:ligatures w14:val="standardContextual"/>
              </w:rPr>
              <w:tab/>
            </w:r>
            <w:r w:rsidR="00C42BBC" w:rsidRPr="004953FD">
              <w:rPr>
                <w:rStyle w:val="Hyperlink"/>
                <w:noProof/>
              </w:rPr>
              <w:t>Dimensioni i dekarbonizimit</w:t>
            </w:r>
            <w:r w:rsidR="00C42BBC">
              <w:rPr>
                <w:noProof/>
                <w:webHidden/>
              </w:rPr>
              <w:tab/>
            </w:r>
            <w:r w:rsidR="00C42BBC">
              <w:rPr>
                <w:noProof/>
                <w:webHidden/>
              </w:rPr>
              <w:fldChar w:fldCharType="begin"/>
            </w:r>
            <w:r w:rsidR="00C42BBC">
              <w:rPr>
                <w:noProof/>
                <w:webHidden/>
              </w:rPr>
              <w:instrText xml:space="preserve"> PAGEREF _Toc182302325 \h </w:instrText>
            </w:r>
            <w:r w:rsidR="00C42BBC">
              <w:rPr>
                <w:noProof/>
                <w:webHidden/>
              </w:rPr>
            </w:r>
            <w:r w:rsidR="00C42BBC">
              <w:rPr>
                <w:noProof/>
                <w:webHidden/>
              </w:rPr>
              <w:fldChar w:fldCharType="separate"/>
            </w:r>
            <w:r w:rsidR="00C42BBC">
              <w:rPr>
                <w:noProof/>
                <w:webHidden/>
              </w:rPr>
              <w:t>126</w:t>
            </w:r>
            <w:r w:rsidR="00C42BBC">
              <w:rPr>
                <w:noProof/>
                <w:webHidden/>
              </w:rPr>
              <w:fldChar w:fldCharType="end"/>
            </w:r>
          </w:hyperlink>
        </w:p>
        <w:p w14:paraId="72ABD2EB" w14:textId="4721A7A3" w:rsidR="00C42BBC" w:rsidRDefault="00062E07">
          <w:pPr>
            <w:pStyle w:val="TOC3"/>
            <w:rPr>
              <w:rFonts w:asciiTheme="minorHAnsi" w:hAnsiTheme="minorHAnsi"/>
              <w:noProof/>
              <w:color w:val="auto"/>
              <w:kern w:val="2"/>
              <w:sz w:val="24"/>
              <w:szCs w:val="24"/>
              <w14:ligatures w14:val="standardContextual"/>
            </w:rPr>
          </w:pPr>
          <w:hyperlink w:anchor="_Toc182302326" w:history="1">
            <w:r w:rsidR="00C42BBC" w:rsidRPr="004953FD">
              <w:rPr>
                <w:rStyle w:val="Hyperlink"/>
                <w:rFonts w:cs="Times New Roman"/>
                <w:noProof/>
              </w:rPr>
              <w:t>I.</w:t>
            </w:r>
            <w:r w:rsidR="00C42BBC">
              <w:rPr>
                <w:rFonts w:asciiTheme="minorHAnsi" w:hAnsiTheme="minorHAnsi"/>
                <w:noProof/>
                <w:color w:val="auto"/>
                <w:kern w:val="2"/>
                <w:sz w:val="24"/>
                <w:szCs w:val="24"/>
                <w14:ligatures w14:val="standardContextual"/>
              </w:rPr>
              <w:tab/>
            </w:r>
            <w:r w:rsidR="00C42BBC" w:rsidRPr="004953FD">
              <w:rPr>
                <w:rStyle w:val="Hyperlink"/>
                <w:noProof/>
              </w:rPr>
              <w:t>Emetimet dhe largimet e GS-ve</w:t>
            </w:r>
            <w:r w:rsidR="00C42BBC">
              <w:rPr>
                <w:noProof/>
                <w:webHidden/>
              </w:rPr>
              <w:tab/>
            </w:r>
            <w:r w:rsidR="00C42BBC">
              <w:rPr>
                <w:noProof/>
                <w:webHidden/>
              </w:rPr>
              <w:fldChar w:fldCharType="begin"/>
            </w:r>
            <w:r w:rsidR="00C42BBC">
              <w:rPr>
                <w:noProof/>
                <w:webHidden/>
              </w:rPr>
              <w:instrText xml:space="preserve"> PAGEREF _Toc182302326 \h </w:instrText>
            </w:r>
            <w:r w:rsidR="00C42BBC">
              <w:rPr>
                <w:noProof/>
                <w:webHidden/>
              </w:rPr>
            </w:r>
            <w:r w:rsidR="00C42BBC">
              <w:rPr>
                <w:noProof/>
                <w:webHidden/>
              </w:rPr>
              <w:fldChar w:fldCharType="separate"/>
            </w:r>
            <w:r w:rsidR="00C42BBC">
              <w:rPr>
                <w:noProof/>
                <w:webHidden/>
              </w:rPr>
              <w:t>126</w:t>
            </w:r>
            <w:r w:rsidR="00C42BBC">
              <w:rPr>
                <w:noProof/>
                <w:webHidden/>
              </w:rPr>
              <w:fldChar w:fldCharType="end"/>
            </w:r>
          </w:hyperlink>
        </w:p>
        <w:p w14:paraId="44C770DD" w14:textId="4028085D" w:rsidR="00C42BBC" w:rsidRDefault="00062E07">
          <w:pPr>
            <w:pStyle w:val="TOC3"/>
            <w:rPr>
              <w:rFonts w:asciiTheme="minorHAnsi" w:hAnsiTheme="minorHAnsi"/>
              <w:noProof/>
              <w:color w:val="auto"/>
              <w:kern w:val="2"/>
              <w:sz w:val="24"/>
              <w:szCs w:val="24"/>
              <w14:ligatures w14:val="standardContextual"/>
            </w:rPr>
          </w:pPr>
          <w:hyperlink w:anchor="_Toc182302327" w:history="1">
            <w:r w:rsidR="00C42BBC" w:rsidRPr="004953FD">
              <w:rPr>
                <w:rStyle w:val="Hyperlink"/>
                <w:rFonts w:cs="Times New Roman"/>
                <w:noProof/>
              </w:rPr>
              <w:t>II.</w:t>
            </w:r>
            <w:r w:rsidR="00C42BBC">
              <w:rPr>
                <w:rFonts w:asciiTheme="minorHAnsi" w:hAnsiTheme="minorHAnsi"/>
                <w:noProof/>
                <w:color w:val="auto"/>
                <w:kern w:val="2"/>
                <w:sz w:val="24"/>
                <w:szCs w:val="24"/>
                <w14:ligatures w14:val="standardContextual"/>
              </w:rPr>
              <w:tab/>
            </w:r>
            <w:r w:rsidR="00C42BBC" w:rsidRPr="004953FD">
              <w:rPr>
                <w:rStyle w:val="Hyperlink"/>
                <w:noProof/>
              </w:rPr>
              <w:t>Energjia e ripërtëritshme</w:t>
            </w:r>
            <w:r w:rsidR="00C42BBC">
              <w:rPr>
                <w:noProof/>
                <w:webHidden/>
              </w:rPr>
              <w:tab/>
            </w:r>
            <w:r w:rsidR="00C42BBC">
              <w:rPr>
                <w:noProof/>
                <w:webHidden/>
              </w:rPr>
              <w:fldChar w:fldCharType="begin"/>
            </w:r>
            <w:r w:rsidR="00C42BBC">
              <w:rPr>
                <w:noProof/>
                <w:webHidden/>
              </w:rPr>
              <w:instrText xml:space="preserve"> PAGEREF _Toc182302327 \h </w:instrText>
            </w:r>
            <w:r w:rsidR="00C42BBC">
              <w:rPr>
                <w:noProof/>
                <w:webHidden/>
              </w:rPr>
            </w:r>
            <w:r w:rsidR="00C42BBC">
              <w:rPr>
                <w:noProof/>
                <w:webHidden/>
              </w:rPr>
              <w:fldChar w:fldCharType="separate"/>
            </w:r>
            <w:r w:rsidR="00C42BBC">
              <w:rPr>
                <w:noProof/>
                <w:webHidden/>
              </w:rPr>
              <w:t>128</w:t>
            </w:r>
            <w:r w:rsidR="00C42BBC">
              <w:rPr>
                <w:noProof/>
                <w:webHidden/>
              </w:rPr>
              <w:fldChar w:fldCharType="end"/>
            </w:r>
          </w:hyperlink>
        </w:p>
        <w:p w14:paraId="3241B2EA" w14:textId="3535F866" w:rsidR="00C42BBC" w:rsidRDefault="00062E07">
          <w:pPr>
            <w:pStyle w:val="TOC2"/>
            <w:tabs>
              <w:tab w:val="left" w:pos="880"/>
              <w:tab w:val="right" w:leader="dot" w:pos="9564"/>
            </w:tabs>
            <w:rPr>
              <w:rFonts w:asciiTheme="minorHAnsi" w:hAnsiTheme="minorHAnsi"/>
              <w:noProof/>
              <w:color w:val="auto"/>
              <w:kern w:val="2"/>
              <w:sz w:val="24"/>
              <w:szCs w:val="24"/>
              <w14:ligatures w14:val="standardContextual"/>
            </w:rPr>
          </w:pPr>
          <w:hyperlink w:anchor="_Toc182302328" w:history="1">
            <w:r w:rsidR="00C42BBC" w:rsidRPr="004953FD">
              <w:rPr>
                <w:rStyle w:val="Hyperlink"/>
                <w:noProof/>
              </w:rPr>
              <w:t>4.3</w:t>
            </w:r>
            <w:r w:rsidR="00C42BBC">
              <w:rPr>
                <w:rFonts w:asciiTheme="minorHAnsi" w:hAnsiTheme="minorHAnsi"/>
                <w:noProof/>
                <w:color w:val="auto"/>
                <w:kern w:val="2"/>
                <w:sz w:val="24"/>
                <w:szCs w:val="24"/>
                <w14:ligatures w14:val="standardContextual"/>
              </w:rPr>
              <w:tab/>
            </w:r>
            <w:r w:rsidR="00C42BBC" w:rsidRPr="004953FD">
              <w:rPr>
                <w:rStyle w:val="Hyperlink"/>
                <w:noProof/>
              </w:rPr>
              <w:t>Dimensioni i efiçiencës së energjisë</w:t>
            </w:r>
            <w:r w:rsidR="00C42BBC">
              <w:rPr>
                <w:noProof/>
                <w:webHidden/>
              </w:rPr>
              <w:tab/>
            </w:r>
            <w:r w:rsidR="00C42BBC">
              <w:rPr>
                <w:noProof/>
                <w:webHidden/>
              </w:rPr>
              <w:fldChar w:fldCharType="begin"/>
            </w:r>
            <w:r w:rsidR="00C42BBC">
              <w:rPr>
                <w:noProof/>
                <w:webHidden/>
              </w:rPr>
              <w:instrText xml:space="preserve"> PAGEREF _Toc182302328 \h </w:instrText>
            </w:r>
            <w:r w:rsidR="00C42BBC">
              <w:rPr>
                <w:noProof/>
                <w:webHidden/>
              </w:rPr>
            </w:r>
            <w:r w:rsidR="00C42BBC">
              <w:rPr>
                <w:noProof/>
                <w:webHidden/>
              </w:rPr>
              <w:fldChar w:fldCharType="separate"/>
            </w:r>
            <w:r w:rsidR="00C42BBC">
              <w:rPr>
                <w:noProof/>
                <w:webHidden/>
              </w:rPr>
              <w:t>131</w:t>
            </w:r>
            <w:r w:rsidR="00C42BBC">
              <w:rPr>
                <w:noProof/>
                <w:webHidden/>
              </w:rPr>
              <w:fldChar w:fldCharType="end"/>
            </w:r>
          </w:hyperlink>
        </w:p>
        <w:p w14:paraId="1D7992AD" w14:textId="537B5712" w:rsidR="00C42BBC" w:rsidRDefault="00062E07">
          <w:pPr>
            <w:pStyle w:val="TOC3"/>
            <w:rPr>
              <w:rFonts w:asciiTheme="minorHAnsi" w:hAnsiTheme="minorHAnsi"/>
              <w:noProof/>
              <w:color w:val="auto"/>
              <w:kern w:val="2"/>
              <w:sz w:val="24"/>
              <w:szCs w:val="24"/>
              <w14:ligatures w14:val="standardContextual"/>
            </w:rPr>
          </w:pPr>
          <w:hyperlink w:anchor="_Toc182302329" w:history="1">
            <w:r w:rsidR="00C42BBC" w:rsidRPr="004953FD">
              <w:rPr>
                <w:rStyle w:val="Hyperlink"/>
                <w:rFonts w:cs="Times New Roman"/>
                <w:noProof/>
              </w:rPr>
              <w:t>I.</w:t>
            </w:r>
            <w:r w:rsidR="00C42BBC">
              <w:rPr>
                <w:rFonts w:asciiTheme="minorHAnsi" w:hAnsiTheme="minorHAnsi"/>
                <w:noProof/>
                <w:color w:val="auto"/>
                <w:kern w:val="2"/>
                <w:sz w:val="24"/>
                <w:szCs w:val="24"/>
                <w14:ligatures w14:val="standardContextual"/>
              </w:rPr>
              <w:tab/>
            </w:r>
            <w:r w:rsidR="00C42BBC" w:rsidRPr="004953FD">
              <w:rPr>
                <w:rStyle w:val="Hyperlink"/>
                <w:noProof/>
              </w:rPr>
              <w:t>Konsumi aktual primar dhe final i energjisë në ekonomi dhe për sektor</w:t>
            </w:r>
            <w:r w:rsidR="00C42BBC">
              <w:rPr>
                <w:noProof/>
                <w:webHidden/>
              </w:rPr>
              <w:tab/>
            </w:r>
            <w:r w:rsidR="00C42BBC">
              <w:rPr>
                <w:noProof/>
                <w:webHidden/>
              </w:rPr>
              <w:fldChar w:fldCharType="begin"/>
            </w:r>
            <w:r w:rsidR="00C42BBC">
              <w:rPr>
                <w:noProof/>
                <w:webHidden/>
              </w:rPr>
              <w:instrText xml:space="preserve"> PAGEREF _Toc182302329 \h </w:instrText>
            </w:r>
            <w:r w:rsidR="00C42BBC">
              <w:rPr>
                <w:noProof/>
                <w:webHidden/>
              </w:rPr>
            </w:r>
            <w:r w:rsidR="00C42BBC">
              <w:rPr>
                <w:noProof/>
                <w:webHidden/>
              </w:rPr>
              <w:fldChar w:fldCharType="separate"/>
            </w:r>
            <w:r w:rsidR="00C42BBC">
              <w:rPr>
                <w:noProof/>
                <w:webHidden/>
              </w:rPr>
              <w:t>131</w:t>
            </w:r>
            <w:r w:rsidR="00C42BBC">
              <w:rPr>
                <w:noProof/>
                <w:webHidden/>
              </w:rPr>
              <w:fldChar w:fldCharType="end"/>
            </w:r>
          </w:hyperlink>
        </w:p>
        <w:p w14:paraId="5BFCBE41" w14:textId="5AF7B907" w:rsidR="00C42BBC" w:rsidRDefault="00062E07">
          <w:pPr>
            <w:pStyle w:val="TOC3"/>
            <w:rPr>
              <w:rFonts w:asciiTheme="minorHAnsi" w:hAnsiTheme="minorHAnsi"/>
              <w:noProof/>
              <w:color w:val="auto"/>
              <w:kern w:val="2"/>
              <w:sz w:val="24"/>
              <w:szCs w:val="24"/>
              <w14:ligatures w14:val="standardContextual"/>
            </w:rPr>
          </w:pPr>
          <w:hyperlink w:anchor="_Toc182302330" w:history="1">
            <w:r w:rsidR="00C42BBC" w:rsidRPr="004953FD">
              <w:rPr>
                <w:rStyle w:val="Hyperlink"/>
                <w:rFonts w:cs="Times New Roman"/>
                <w:noProof/>
              </w:rPr>
              <w:t>II.</w:t>
            </w:r>
            <w:r w:rsidR="00C42BBC">
              <w:rPr>
                <w:rFonts w:asciiTheme="minorHAnsi" w:hAnsiTheme="minorHAnsi"/>
                <w:noProof/>
                <w:color w:val="auto"/>
                <w:kern w:val="2"/>
                <w:sz w:val="24"/>
                <w:szCs w:val="24"/>
                <w14:ligatures w14:val="standardContextual"/>
              </w:rPr>
              <w:tab/>
            </w:r>
            <w:r w:rsidR="00C42BBC" w:rsidRPr="004953FD">
              <w:rPr>
                <w:rStyle w:val="Hyperlink"/>
                <w:noProof/>
              </w:rPr>
              <w:t>Potenciali aktual për aplikimin e kogjenerimit me efiçiencë të lartë dhe ngrohjes dhe ftohjes qendrore efiçiente</w:t>
            </w:r>
            <w:r w:rsidR="00C42BBC">
              <w:rPr>
                <w:noProof/>
                <w:webHidden/>
              </w:rPr>
              <w:tab/>
            </w:r>
            <w:r w:rsidR="00C42BBC">
              <w:rPr>
                <w:noProof/>
                <w:webHidden/>
              </w:rPr>
              <w:fldChar w:fldCharType="begin"/>
            </w:r>
            <w:r w:rsidR="00C42BBC">
              <w:rPr>
                <w:noProof/>
                <w:webHidden/>
              </w:rPr>
              <w:instrText xml:space="preserve"> PAGEREF _Toc182302330 \h </w:instrText>
            </w:r>
            <w:r w:rsidR="00C42BBC">
              <w:rPr>
                <w:noProof/>
                <w:webHidden/>
              </w:rPr>
            </w:r>
            <w:r w:rsidR="00C42BBC">
              <w:rPr>
                <w:noProof/>
                <w:webHidden/>
              </w:rPr>
              <w:fldChar w:fldCharType="separate"/>
            </w:r>
            <w:r w:rsidR="00C42BBC">
              <w:rPr>
                <w:noProof/>
                <w:webHidden/>
              </w:rPr>
              <w:t>132</w:t>
            </w:r>
            <w:r w:rsidR="00C42BBC">
              <w:rPr>
                <w:noProof/>
                <w:webHidden/>
              </w:rPr>
              <w:fldChar w:fldCharType="end"/>
            </w:r>
          </w:hyperlink>
        </w:p>
        <w:p w14:paraId="0A1BA16D" w14:textId="65BCEDDB" w:rsidR="00C42BBC" w:rsidRDefault="00062E07">
          <w:pPr>
            <w:pStyle w:val="TOC3"/>
            <w:rPr>
              <w:rFonts w:asciiTheme="minorHAnsi" w:hAnsiTheme="minorHAnsi"/>
              <w:noProof/>
              <w:color w:val="auto"/>
              <w:kern w:val="2"/>
              <w:sz w:val="24"/>
              <w:szCs w:val="24"/>
              <w14:ligatures w14:val="standardContextual"/>
            </w:rPr>
          </w:pPr>
          <w:hyperlink w:anchor="_Toc182302331" w:history="1">
            <w:r w:rsidR="00C42BBC" w:rsidRPr="004953FD">
              <w:rPr>
                <w:rStyle w:val="Hyperlink"/>
                <w:rFonts w:cs="Times New Roman"/>
                <w:noProof/>
              </w:rPr>
              <w:t>III.</w:t>
            </w:r>
            <w:r w:rsidR="00C42BBC">
              <w:rPr>
                <w:rFonts w:asciiTheme="minorHAnsi" w:hAnsiTheme="minorHAnsi"/>
                <w:noProof/>
                <w:color w:val="auto"/>
                <w:kern w:val="2"/>
                <w:sz w:val="24"/>
                <w:szCs w:val="24"/>
                <w14:ligatures w14:val="standardContextual"/>
              </w:rPr>
              <w:tab/>
            </w:r>
            <w:r w:rsidR="00C42BBC" w:rsidRPr="004953FD">
              <w:rPr>
                <w:rStyle w:val="Hyperlink"/>
                <w:noProof/>
              </w:rPr>
              <w:t>Projeksionet duke marrë parasysh politikat, masat dhe programet ekzistuese të efiçiencës së energjisë siç përshkruhet në pikën 1.2.(ii)</w:t>
            </w:r>
            <w:r w:rsidR="00C42BBC">
              <w:rPr>
                <w:noProof/>
                <w:webHidden/>
              </w:rPr>
              <w:tab/>
            </w:r>
            <w:r w:rsidR="00C42BBC">
              <w:rPr>
                <w:noProof/>
                <w:webHidden/>
              </w:rPr>
              <w:fldChar w:fldCharType="begin"/>
            </w:r>
            <w:r w:rsidR="00C42BBC">
              <w:rPr>
                <w:noProof/>
                <w:webHidden/>
              </w:rPr>
              <w:instrText xml:space="preserve"> PAGEREF _Toc182302331 \h </w:instrText>
            </w:r>
            <w:r w:rsidR="00C42BBC">
              <w:rPr>
                <w:noProof/>
                <w:webHidden/>
              </w:rPr>
            </w:r>
            <w:r w:rsidR="00C42BBC">
              <w:rPr>
                <w:noProof/>
                <w:webHidden/>
              </w:rPr>
              <w:fldChar w:fldCharType="separate"/>
            </w:r>
            <w:r w:rsidR="00C42BBC">
              <w:rPr>
                <w:noProof/>
                <w:webHidden/>
              </w:rPr>
              <w:t>132</w:t>
            </w:r>
            <w:r w:rsidR="00C42BBC">
              <w:rPr>
                <w:noProof/>
                <w:webHidden/>
              </w:rPr>
              <w:fldChar w:fldCharType="end"/>
            </w:r>
          </w:hyperlink>
        </w:p>
        <w:p w14:paraId="610C95F5" w14:textId="39522BF6" w:rsidR="00C42BBC" w:rsidRDefault="00062E07">
          <w:pPr>
            <w:pStyle w:val="TOC3"/>
            <w:rPr>
              <w:rFonts w:asciiTheme="minorHAnsi" w:hAnsiTheme="minorHAnsi"/>
              <w:noProof/>
              <w:color w:val="auto"/>
              <w:kern w:val="2"/>
              <w:sz w:val="24"/>
              <w:szCs w:val="24"/>
              <w14:ligatures w14:val="standardContextual"/>
            </w:rPr>
          </w:pPr>
          <w:hyperlink w:anchor="_Toc182302332" w:history="1">
            <w:r w:rsidR="00C42BBC" w:rsidRPr="004953FD">
              <w:rPr>
                <w:rStyle w:val="Hyperlink"/>
                <w:rFonts w:cs="Times New Roman"/>
                <w:noProof/>
              </w:rPr>
              <w:t>IV.</w:t>
            </w:r>
            <w:r w:rsidR="00C42BBC">
              <w:rPr>
                <w:rFonts w:asciiTheme="minorHAnsi" w:hAnsiTheme="minorHAnsi"/>
                <w:noProof/>
                <w:color w:val="auto"/>
                <w:kern w:val="2"/>
                <w:sz w:val="24"/>
                <w:szCs w:val="24"/>
                <w14:ligatures w14:val="standardContextual"/>
              </w:rPr>
              <w:tab/>
            </w:r>
            <w:r w:rsidR="00C42BBC" w:rsidRPr="004953FD">
              <w:rPr>
                <w:rStyle w:val="Hyperlink"/>
                <w:noProof/>
              </w:rPr>
              <w:t>Nivelet e kostos optimale të kërkesave minimale të performancës energjetike</w:t>
            </w:r>
            <w:r w:rsidR="00C42BBC">
              <w:rPr>
                <w:noProof/>
                <w:webHidden/>
              </w:rPr>
              <w:tab/>
            </w:r>
            <w:r w:rsidR="00C42BBC">
              <w:rPr>
                <w:noProof/>
                <w:webHidden/>
              </w:rPr>
              <w:fldChar w:fldCharType="begin"/>
            </w:r>
            <w:r w:rsidR="00C42BBC">
              <w:rPr>
                <w:noProof/>
                <w:webHidden/>
              </w:rPr>
              <w:instrText xml:space="preserve"> PAGEREF _Toc182302332 \h </w:instrText>
            </w:r>
            <w:r w:rsidR="00C42BBC">
              <w:rPr>
                <w:noProof/>
                <w:webHidden/>
              </w:rPr>
            </w:r>
            <w:r w:rsidR="00C42BBC">
              <w:rPr>
                <w:noProof/>
                <w:webHidden/>
              </w:rPr>
              <w:fldChar w:fldCharType="separate"/>
            </w:r>
            <w:r w:rsidR="00C42BBC">
              <w:rPr>
                <w:noProof/>
                <w:webHidden/>
              </w:rPr>
              <w:t>134</w:t>
            </w:r>
            <w:r w:rsidR="00C42BBC">
              <w:rPr>
                <w:noProof/>
                <w:webHidden/>
              </w:rPr>
              <w:fldChar w:fldCharType="end"/>
            </w:r>
          </w:hyperlink>
        </w:p>
        <w:p w14:paraId="3AE1BD28" w14:textId="14A5B15A" w:rsidR="00C42BBC" w:rsidRDefault="00062E07">
          <w:pPr>
            <w:pStyle w:val="TOC2"/>
            <w:tabs>
              <w:tab w:val="left" w:pos="880"/>
              <w:tab w:val="right" w:leader="dot" w:pos="9564"/>
            </w:tabs>
            <w:rPr>
              <w:rFonts w:asciiTheme="minorHAnsi" w:hAnsiTheme="minorHAnsi"/>
              <w:noProof/>
              <w:color w:val="auto"/>
              <w:kern w:val="2"/>
              <w:sz w:val="24"/>
              <w:szCs w:val="24"/>
              <w14:ligatures w14:val="standardContextual"/>
            </w:rPr>
          </w:pPr>
          <w:hyperlink w:anchor="_Toc182302333" w:history="1">
            <w:r w:rsidR="00C42BBC" w:rsidRPr="004953FD">
              <w:rPr>
                <w:rStyle w:val="Hyperlink"/>
                <w:noProof/>
              </w:rPr>
              <w:t>4.4</w:t>
            </w:r>
            <w:r w:rsidR="00C42BBC">
              <w:rPr>
                <w:rFonts w:asciiTheme="minorHAnsi" w:hAnsiTheme="minorHAnsi"/>
                <w:noProof/>
                <w:color w:val="auto"/>
                <w:kern w:val="2"/>
                <w:sz w:val="24"/>
                <w:szCs w:val="24"/>
                <w14:ligatures w14:val="standardContextual"/>
              </w:rPr>
              <w:tab/>
            </w:r>
            <w:r w:rsidR="00C42BBC" w:rsidRPr="004953FD">
              <w:rPr>
                <w:rStyle w:val="Hyperlink"/>
                <w:noProof/>
              </w:rPr>
              <w:t>Dimensioni i sigurisë energjetike</w:t>
            </w:r>
            <w:r w:rsidR="00C42BBC">
              <w:rPr>
                <w:noProof/>
                <w:webHidden/>
              </w:rPr>
              <w:tab/>
            </w:r>
            <w:r w:rsidR="00C42BBC">
              <w:rPr>
                <w:noProof/>
                <w:webHidden/>
              </w:rPr>
              <w:fldChar w:fldCharType="begin"/>
            </w:r>
            <w:r w:rsidR="00C42BBC">
              <w:rPr>
                <w:noProof/>
                <w:webHidden/>
              </w:rPr>
              <w:instrText xml:space="preserve"> PAGEREF _Toc182302333 \h </w:instrText>
            </w:r>
            <w:r w:rsidR="00C42BBC">
              <w:rPr>
                <w:noProof/>
                <w:webHidden/>
              </w:rPr>
            </w:r>
            <w:r w:rsidR="00C42BBC">
              <w:rPr>
                <w:noProof/>
                <w:webHidden/>
              </w:rPr>
              <w:fldChar w:fldCharType="separate"/>
            </w:r>
            <w:r w:rsidR="00C42BBC">
              <w:rPr>
                <w:noProof/>
                <w:webHidden/>
              </w:rPr>
              <w:t>135</w:t>
            </w:r>
            <w:r w:rsidR="00C42BBC">
              <w:rPr>
                <w:noProof/>
                <w:webHidden/>
              </w:rPr>
              <w:fldChar w:fldCharType="end"/>
            </w:r>
          </w:hyperlink>
        </w:p>
        <w:p w14:paraId="0122899E" w14:textId="77E3F6C1" w:rsidR="00C42BBC" w:rsidRDefault="00062E07">
          <w:pPr>
            <w:pStyle w:val="TOC3"/>
            <w:rPr>
              <w:rFonts w:asciiTheme="minorHAnsi" w:hAnsiTheme="minorHAnsi"/>
              <w:noProof/>
              <w:color w:val="auto"/>
              <w:kern w:val="2"/>
              <w:sz w:val="24"/>
              <w:szCs w:val="24"/>
              <w14:ligatures w14:val="standardContextual"/>
            </w:rPr>
          </w:pPr>
          <w:hyperlink w:anchor="_Toc182302334" w:history="1">
            <w:r w:rsidR="00C42BBC" w:rsidRPr="004953FD">
              <w:rPr>
                <w:rStyle w:val="Hyperlink"/>
                <w:rFonts w:cs="Times New Roman"/>
                <w:noProof/>
              </w:rPr>
              <w:t>I.</w:t>
            </w:r>
            <w:r w:rsidR="00C42BBC">
              <w:rPr>
                <w:rFonts w:asciiTheme="minorHAnsi" w:hAnsiTheme="minorHAnsi"/>
                <w:noProof/>
                <w:color w:val="auto"/>
                <w:kern w:val="2"/>
                <w:sz w:val="24"/>
                <w:szCs w:val="24"/>
                <w14:ligatures w14:val="standardContextual"/>
              </w:rPr>
              <w:tab/>
            </w:r>
            <w:r w:rsidR="00C42BBC" w:rsidRPr="004953FD">
              <w:rPr>
                <w:rStyle w:val="Hyperlink"/>
                <w:noProof/>
              </w:rPr>
              <w:t>Përzierja aktuale e energjisë, burimet e brendshme të energjisë, varësia nga importi, duke përfshirë rreziqet përkatëse</w:t>
            </w:r>
            <w:r w:rsidR="00C42BBC">
              <w:rPr>
                <w:noProof/>
                <w:webHidden/>
              </w:rPr>
              <w:tab/>
            </w:r>
            <w:r w:rsidR="00C42BBC">
              <w:rPr>
                <w:noProof/>
                <w:webHidden/>
              </w:rPr>
              <w:fldChar w:fldCharType="begin"/>
            </w:r>
            <w:r w:rsidR="00C42BBC">
              <w:rPr>
                <w:noProof/>
                <w:webHidden/>
              </w:rPr>
              <w:instrText xml:space="preserve"> PAGEREF _Toc182302334 \h </w:instrText>
            </w:r>
            <w:r w:rsidR="00C42BBC">
              <w:rPr>
                <w:noProof/>
                <w:webHidden/>
              </w:rPr>
            </w:r>
            <w:r w:rsidR="00C42BBC">
              <w:rPr>
                <w:noProof/>
                <w:webHidden/>
              </w:rPr>
              <w:fldChar w:fldCharType="separate"/>
            </w:r>
            <w:r w:rsidR="00C42BBC">
              <w:rPr>
                <w:noProof/>
                <w:webHidden/>
              </w:rPr>
              <w:t>135</w:t>
            </w:r>
            <w:r w:rsidR="00C42BBC">
              <w:rPr>
                <w:noProof/>
                <w:webHidden/>
              </w:rPr>
              <w:fldChar w:fldCharType="end"/>
            </w:r>
          </w:hyperlink>
        </w:p>
        <w:p w14:paraId="25061CF6" w14:textId="1C80F9CC" w:rsidR="00C42BBC" w:rsidRDefault="00062E07">
          <w:pPr>
            <w:pStyle w:val="TOC3"/>
            <w:rPr>
              <w:rFonts w:asciiTheme="minorHAnsi" w:hAnsiTheme="minorHAnsi"/>
              <w:noProof/>
              <w:color w:val="auto"/>
              <w:kern w:val="2"/>
              <w:sz w:val="24"/>
              <w:szCs w:val="24"/>
              <w14:ligatures w14:val="standardContextual"/>
            </w:rPr>
          </w:pPr>
          <w:hyperlink w:anchor="_Toc182302335" w:history="1">
            <w:r w:rsidR="00C42BBC" w:rsidRPr="004953FD">
              <w:rPr>
                <w:rStyle w:val="Hyperlink"/>
                <w:rFonts w:cs="Times New Roman"/>
                <w:noProof/>
              </w:rPr>
              <w:t>II.</w:t>
            </w:r>
            <w:r w:rsidR="00C42BBC">
              <w:rPr>
                <w:rFonts w:asciiTheme="minorHAnsi" w:hAnsiTheme="minorHAnsi"/>
                <w:noProof/>
                <w:color w:val="auto"/>
                <w:kern w:val="2"/>
                <w:sz w:val="24"/>
                <w:szCs w:val="24"/>
                <w14:ligatures w14:val="standardContextual"/>
              </w:rPr>
              <w:tab/>
            </w:r>
            <w:r w:rsidR="00C42BBC" w:rsidRPr="004953FD">
              <w:rPr>
                <w:rStyle w:val="Hyperlink"/>
                <w:noProof/>
              </w:rPr>
              <w:t>Projeksionet e zhvillimit me politikat dhe masat ekzistuese deri në vitin 2040</w:t>
            </w:r>
            <w:r w:rsidR="00C42BBC">
              <w:rPr>
                <w:noProof/>
                <w:webHidden/>
              </w:rPr>
              <w:tab/>
            </w:r>
            <w:r w:rsidR="00C42BBC">
              <w:rPr>
                <w:noProof/>
                <w:webHidden/>
              </w:rPr>
              <w:fldChar w:fldCharType="begin"/>
            </w:r>
            <w:r w:rsidR="00C42BBC">
              <w:rPr>
                <w:noProof/>
                <w:webHidden/>
              </w:rPr>
              <w:instrText xml:space="preserve"> PAGEREF _Toc182302335 \h </w:instrText>
            </w:r>
            <w:r w:rsidR="00C42BBC">
              <w:rPr>
                <w:noProof/>
                <w:webHidden/>
              </w:rPr>
            </w:r>
            <w:r w:rsidR="00C42BBC">
              <w:rPr>
                <w:noProof/>
                <w:webHidden/>
              </w:rPr>
              <w:fldChar w:fldCharType="separate"/>
            </w:r>
            <w:r w:rsidR="00C42BBC">
              <w:rPr>
                <w:noProof/>
                <w:webHidden/>
              </w:rPr>
              <w:t>136</w:t>
            </w:r>
            <w:r w:rsidR="00C42BBC">
              <w:rPr>
                <w:noProof/>
                <w:webHidden/>
              </w:rPr>
              <w:fldChar w:fldCharType="end"/>
            </w:r>
          </w:hyperlink>
        </w:p>
        <w:p w14:paraId="7691C36F" w14:textId="24FC6555" w:rsidR="00C42BBC" w:rsidRDefault="00062E07">
          <w:pPr>
            <w:pStyle w:val="TOC2"/>
            <w:tabs>
              <w:tab w:val="left" w:pos="880"/>
              <w:tab w:val="right" w:leader="dot" w:pos="9564"/>
            </w:tabs>
            <w:rPr>
              <w:rFonts w:asciiTheme="minorHAnsi" w:hAnsiTheme="minorHAnsi"/>
              <w:noProof/>
              <w:color w:val="auto"/>
              <w:kern w:val="2"/>
              <w:sz w:val="24"/>
              <w:szCs w:val="24"/>
              <w14:ligatures w14:val="standardContextual"/>
            </w:rPr>
          </w:pPr>
          <w:hyperlink w:anchor="_Toc182302336" w:history="1">
            <w:r w:rsidR="00C42BBC" w:rsidRPr="004953FD">
              <w:rPr>
                <w:rStyle w:val="Hyperlink"/>
                <w:noProof/>
              </w:rPr>
              <w:t>4.5</w:t>
            </w:r>
            <w:r w:rsidR="00C42BBC">
              <w:rPr>
                <w:rFonts w:asciiTheme="minorHAnsi" w:hAnsiTheme="minorHAnsi"/>
                <w:noProof/>
                <w:color w:val="auto"/>
                <w:kern w:val="2"/>
                <w:sz w:val="24"/>
                <w:szCs w:val="24"/>
                <w14:ligatures w14:val="standardContextual"/>
              </w:rPr>
              <w:tab/>
            </w:r>
            <w:r w:rsidR="00C42BBC" w:rsidRPr="004953FD">
              <w:rPr>
                <w:rStyle w:val="Hyperlink"/>
                <w:noProof/>
              </w:rPr>
              <w:t>Dimensioni i tregut të brendshëm energjetik</w:t>
            </w:r>
            <w:r w:rsidR="00C42BBC">
              <w:rPr>
                <w:noProof/>
                <w:webHidden/>
              </w:rPr>
              <w:tab/>
            </w:r>
            <w:r w:rsidR="00C42BBC">
              <w:rPr>
                <w:noProof/>
                <w:webHidden/>
              </w:rPr>
              <w:fldChar w:fldCharType="begin"/>
            </w:r>
            <w:r w:rsidR="00C42BBC">
              <w:rPr>
                <w:noProof/>
                <w:webHidden/>
              </w:rPr>
              <w:instrText xml:space="preserve"> PAGEREF _Toc182302336 \h </w:instrText>
            </w:r>
            <w:r w:rsidR="00C42BBC">
              <w:rPr>
                <w:noProof/>
                <w:webHidden/>
              </w:rPr>
            </w:r>
            <w:r w:rsidR="00C42BBC">
              <w:rPr>
                <w:noProof/>
                <w:webHidden/>
              </w:rPr>
              <w:fldChar w:fldCharType="separate"/>
            </w:r>
            <w:r w:rsidR="00C42BBC">
              <w:rPr>
                <w:noProof/>
                <w:webHidden/>
              </w:rPr>
              <w:t>138</w:t>
            </w:r>
            <w:r w:rsidR="00C42BBC">
              <w:rPr>
                <w:noProof/>
                <w:webHidden/>
              </w:rPr>
              <w:fldChar w:fldCharType="end"/>
            </w:r>
          </w:hyperlink>
        </w:p>
        <w:p w14:paraId="51037C43" w14:textId="766844A7" w:rsidR="00C42BBC" w:rsidRDefault="00062E07">
          <w:pPr>
            <w:pStyle w:val="TOC3"/>
            <w:rPr>
              <w:rFonts w:asciiTheme="minorHAnsi" w:hAnsiTheme="minorHAnsi"/>
              <w:noProof/>
              <w:color w:val="auto"/>
              <w:kern w:val="2"/>
              <w:sz w:val="24"/>
              <w:szCs w:val="24"/>
              <w14:ligatures w14:val="standardContextual"/>
            </w:rPr>
          </w:pPr>
          <w:hyperlink w:anchor="_Toc182302337" w:history="1">
            <w:r w:rsidR="00C42BBC" w:rsidRPr="004953FD">
              <w:rPr>
                <w:rStyle w:val="Hyperlink"/>
                <w:rFonts w:cs="Times New Roman"/>
                <w:noProof/>
              </w:rPr>
              <w:t>I.</w:t>
            </w:r>
            <w:r w:rsidR="00C42BBC">
              <w:rPr>
                <w:rFonts w:asciiTheme="minorHAnsi" w:hAnsiTheme="minorHAnsi"/>
                <w:noProof/>
                <w:color w:val="auto"/>
                <w:kern w:val="2"/>
                <w:sz w:val="24"/>
                <w:szCs w:val="24"/>
                <w14:ligatures w14:val="standardContextual"/>
              </w:rPr>
              <w:tab/>
            </w:r>
            <w:r w:rsidR="00C42BBC" w:rsidRPr="004953FD">
              <w:rPr>
                <w:rStyle w:val="Hyperlink"/>
                <w:noProof/>
              </w:rPr>
              <w:t>Interkoneksioni i energjisë elektrike</w:t>
            </w:r>
            <w:r w:rsidR="00C42BBC">
              <w:rPr>
                <w:noProof/>
                <w:webHidden/>
              </w:rPr>
              <w:tab/>
            </w:r>
            <w:r w:rsidR="00C42BBC">
              <w:rPr>
                <w:noProof/>
                <w:webHidden/>
              </w:rPr>
              <w:fldChar w:fldCharType="begin"/>
            </w:r>
            <w:r w:rsidR="00C42BBC">
              <w:rPr>
                <w:noProof/>
                <w:webHidden/>
              </w:rPr>
              <w:instrText xml:space="preserve"> PAGEREF _Toc182302337 \h </w:instrText>
            </w:r>
            <w:r w:rsidR="00C42BBC">
              <w:rPr>
                <w:noProof/>
                <w:webHidden/>
              </w:rPr>
            </w:r>
            <w:r w:rsidR="00C42BBC">
              <w:rPr>
                <w:noProof/>
                <w:webHidden/>
              </w:rPr>
              <w:fldChar w:fldCharType="separate"/>
            </w:r>
            <w:r w:rsidR="00C42BBC">
              <w:rPr>
                <w:noProof/>
                <w:webHidden/>
              </w:rPr>
              <w:t>138</w:t>
            </w:r>
            <w:r w:rsidR="00C42BBC">
              <w:rPr>
                <w:noProof/>
                <w:webHidden/>
              </w:rPr>
              <w:fldChar w:fldCharType="end"/>
            </w:r>
          </w:hyperlink>
        </w:p>
        <w:p w14:paraId="0DC2ED09" w14:textId="4F9979C3" w:rsidR="00C42BBC" w:rsidRDefault="00062E07">
          <w:pPr>
            <w:pStyle w:val="TOC3"/>
            <w:rPr>
              <w:rFonts w:asciiTheme="minorHAnsi" w:hAnsiTheme="minorHAnsi"/>
              <w:noProof/>
              <w:color w:val="auto"/>
              <w:kern w:val="2"/>
              <w:sz w:val="24"/>
              <w:szCs w:val="24"/>
              <w14:ligatures w14:val="standardContextual"/>
            </w:rPr>
          </w:pPr>
          <w:hyperlink w:anchor="_Toc182302338" w:history="1">
            <w:r w:rsidR="00C42BBC" w:rsidRPr="004953FD">
              <w:rPr>
                <w:rStyle w:val="Hyperlink"/>
                <w:rFonts w:cs="Times New Roman"/>
                <w:noProof/>
              </w:rPr>
              <w:t>II.</w:t>
            </w:r>
            <w:r w:rsidR="00C42BBC">
              <w:rPr>
                <w:rFonts w:asciiTheme="minorHAnsi" w:hAnsiTheme="minorHAnsi"/>
                <w:noProof/>
                <w:color w:val="auto"/>
                <w:kern w:val="2"/>
                <w:sz w:val="24"/>
                <w:szCs w:val="24"/>
                <w14:ligatures w14:val="standardContextual"/>
              </w:rPr>
              <w:tab/>
            </w:r>
            <w:r w:rsidR="00C42BBC" w:rsidRPr="004953FD">
              <w:rPr>
                <w:rStyle w:val="Hyperlink"/>
                <w:noProof/>
              </w:rPr>
              <w:t>Infrastruktura e transmisionit të energjisë</w:t>
            </w:r>
            <w:r w:rsidR="00C42BBC">
              <w:rPr>
                <w:noProof/>
                <w:webHidden/>
              </w:rPr>
              <w:tab/>
            </w:r>
            <w:r w:rsidR="00C42BBC">
              <w:rPr>
                <w:noProof/>
                <w:webHidden/>
              </w:rPr>
              <w:fldChar w:fldCharType="begin"/>
            </w:r>
            <w:r w:rsidR="00C42BBC">
              <w:rPr>
                <w:noProof/>
                <w:webHidden/>
              </w:rPr>
              <w:instrText xml:space="preserve"> PAGEREF _Toc182302338 \h </w:instrText>
            </w:r>
            <w:r w:rsidR="00C42BBC">
              <w:rPr>
                <w:noProof/>
                <w:webHidden/>
              </w:rPr>
            </w:r>
            <w:r w:rsidR="00C42BBC">
              <w:rPr>
                <w:noProof/>
                <w:webHidden/>
              </w:rPr>
              <w:fldChar w:fldCharType="separate"/>
            </w:r>
            <w:r w:rsidR="00C42BBC">
              <w:rPr>
                <w:noProof/>
                <w:webHidden/>
              </w:rPr>
              <w:t>140</w:t>
            </w:r>
            <w:r w:rsidR="00C42BBC">
              <w:rPr>
                <w:noProof/>
                <w:webHidden/>
              </w:rPr>
              <w:fldChar w:fldCharType="end"/>
            </w:r>
          </w:hyperlink>
        </w:p>
        <w:p w14:paraId="0A0C2BD1" w14:textId="5E29FA27" w:rsidR="00C42BBC" w:rsidRDefault="00062E07">
          <w:pPr>
            <w:pStyle w:val="TOC3"/>
            <w:rPr>
              <w:rFonts w:asciiTheme="minorHAnsi" w:hAnsiTheme="minorHAnsi"/>
              <w:noProof/>
              <w:color w:val="auto"/>
              <w:kern w:val="2"/>
              <w:sz w:val="24"/>
              <w:szCs w:val="24"/>
              <w14:ligatures w14:val="standardContextual"/>
            </w:rPr>
          </w:pPr>
          <w:hyperlink w:anchor="_Toc182302339" w:history="1">
            <w:r w:rsidR="00C42BBC" w:rsidRPr="004953FD">
              <w:rPr>
                <w:rStyle w:val="Hyperlink"/>
                <w:rFonts w:cs="Times New Roman"/>
                <w:noProof/>
              </w:rPr>
              <w:t>III.</w:t>
            </w:r>
            <w:r w:rsidR="00C42BBC">
              <w:rPr>
                <w:rFonts w:asciiTheme="minorHAnsi" w:hAnsiTheme="minorHAnsi"/>
                <w:noProof/>
                <w:color w:val="auto"/>
                <w:kern w:val="2"/>
                <w:sz w:val="24"/>
                <w:szCs w:val="24"/>
                <w14:ligatures w14:val="standardContextual"/>
              </w:rPr>
              <w:tab/>
            </w:r>
            <w:r w:rsidR="00C42BBC" w:rsidRPr="004953FD">
              <w:rPr>
                <w:rStyle w:val="Hyperlink"/>
                <w:noProof/>
              </w:rPr>
              <w:t>Tregjet e energjisë elektrike dhe gazit, çmimet e energjisë</w:t>
            </w:r>
            <w:r w:rsidR="00C42BBC">
              <w:rPr>
                <w:noProof/>
                <w:webHidden/>
              </w:rPr>
              <w:tab/>
            </w:r>
            <w:r w:rsidR="00C42BBC">
              <w:rPr>
                <w:noProof/>
                <w:webHidden/>
              </w:rPr>
              <w:fldChar w:fldCharType="begin"/>
            </w:r>
            <w:r w:rsidR="00C42BBC">
              <w:rPr>
                <w:noProof/>
                <w:webHidden/>
              </w:rPr>
              <w:instrText xml:space="preserve"> PAGEREF _Toc182302339 \h </w:instrText>
            </w:r>
            <w:r w:rsidR="00C42BBC">
              <w:rPr>
                <w:noProof/>
                <w:webHidden/>
              </w:rPr>
            </w:r>
            <w:r w:rsidR="00C42BBC">
              <w:rPr>
                <w:noProof/>
                <w:webHidden/>
              </w:rPr>
              <w:fldChar w:fldCharType="separate"/>
            </w:r>
            <w:r w:rsidR="00C42BBC">
              <w:rPr>
                <w:noProof/>
                <w:webHidden/>
              </w:rPr>
              <w:t>147</w:t>
            </w:r>
            <w:r w:rsidR="00C42BBC">
              <w:rPr>
                <w:noProof/>
                <w:webHidden/>
              </w:rPr>
              <w:fldChar w:fldCharType="end"/>
            </w:r>
          </w:hyperlink>
        </w:p>
        <w:p w14:paraId="0FF9B796" w14:textId="38E475B0" w:rsidR="00C42BBC" w:rsidRDefault="00062E07">
          <w:pPr>
            <w:pStyle w:val="TOC2"/>
            <w:tabs>
              <w:tab w:val="left" w:pos="880"/>
              <w:tab w:val="right" w:leader="dot" w:pos="9564"/>
            </w:tabs>
            <w:rPr>
              <w:rFonts w:asciiTheme="minorHAnsi" w:hAnsiTheme="minorHAnsi"/>
              <w:noProof/>
              <w:color w:val="auto"/>
              <w:kern w:val="2"/>
              <w:sz w:val="24"/>
              <w:szCs w:val="24"/>
              <w14:ligatures w14:val="standardContextual"/>
            </w:rPr>
          </w:pPr>
          <w:hyperlink w:anchor="_Toc182302340" w:history="1">
            <w:r w:rsidR="00C42BBC" w:rsidRPr="004953FD">
              <w:rPr>
                <w:rStyle w:val="Hyperlink"/>
                <w:noProof/>
              </w:rPr>
              <w:t>4.6</w:t>
            </w:r>
            <w:r w:rsidR="00C42BBC">
              <w:rPr>
                <w:rFonts w:asciiTheme="minorHAnsi" w:hAnsiTheme="minorHAnsi"/>
                <w:noProof/>
                <w:color w:val="auto"/>
                <w:kern w:val="2"/>
                <w:sz w:val="24"/>
                <w:szCs w:val="24"/>
                <w14:ligatures w14:val="standardContextual"/>
              </w:rPr>
              <w:tab/>
            </w:r>
            <w:r w:rsidR="00C42BBC" w:rsidRPr="004953FD">
              <w:rPr>
                <w:rStyle w:val="Hyperlink"/>
                <w:noProof/>
              </w:rPr>
              <w:t>Dimensioni i hulumtimit, inovacionit dhe konkurrueshmërisë</w:t>
            </w:r>
            <w:r w:rsidR="00C42BBC">
              <w:rPr>
                <w:noProof/>
                <w:webHidden/>
              </w:rPr>
              <w:tab/>
            </w:r>
            <w:r w:rsidR="00C42BBC">
              <w:rPr>
                <w:noProof/>
                <w:webHidden/>
              </w:rPr>
              <w:fldChar w:fldCharType="begin"/>
            </w:r>
            <w:r w:rsidR="00C42BBC">
              <w:rPr>
                <w:noProof/>
                <w:webHidden/>
              </w:rPr>
              <w:instrText xml:space="preserve"> PAGEREF _Toc182302340 \h </w:instrText>
            </w:r>
            <w:r w:rsidR="00C42BBC">
              <w:rPr>
                <w:noProof/>
                <w:webHidden/>
              </w:rPr>
            </w:r>
            <w:r w:rsidR="00C42BBC">
              <w:rPr>
                <w:noProof/>
                <w:webHidden/>
              </w:rPr>
              <w:fldChar w:fldCharType="separate"/>
            </w:r>
            <w:r w:rsidR="00C42BBC">
              <w:rPr>
                <w:noProof/>
                <w:webHidden/>
              </w:rPr>
              <w:t>152</w:t>
            </w:r>
            <w:r w:rsidR="00C42BBC">
              <w:rPr>
                <w:noProof/>
                <w:webHidden/>
              </w:rPr>
              <w:fldChar w:fldCharType="end"/>
            </w:r>
          </w:hyperlink>
        </w:p>
        <w:p w14:paraId="7A04B3FB" w14:textId="38085F40" w:rsidR="00C42BBC" w:rsidRDefault="00062E07">
          <w:pPr>
            <w:pStyle w:val="TOC3"/>
            <w:rPr>
              <w:rFonts w:asciiTheme="minorHAnsi" w:hAnsiTheme="minorHAnsi"/>
              <w:noProof/>
              <w:color w:val="auto"/>
              <w:kern w:val="2"/>
              <w:sz w:val="24"/>
              <w:szCs w:val="24"/>
              <w14:ligatures w14:val="standardContextual"/>
            </w:rPr>
          </w:pPr>
          <w:hyperlink w:anchor="_Toc182302341" w:history="1">
            <w:r w:rsidR="00C42BBC" w:rsidRPr="004953FD">
              <w:rPr>
                <w:rStyle w:val="Hyperlink"/>
                <w:rFonts w:cs="Times New Roman"/>
                <w:noProof/>
              </w:rPr>
              <w:t>I.</w:t>
            </w:r>
            <w:r w:rsidR="00C42BBC">
              <w:rPr>
                <w:rFonts w:asciiTheme="minorHAnsi" w:hAnsiTheme="minorHAnsi"/>
                <w:noProof/>
                <w:color w:val="auto"/>
                <w:kern w:val="2"/>
                <w:sz w:val="24"/>
                <w:szCs w:val="24"/>
                <w14:ligatures w14:val="standardContextual"/>
              </w:rPr>
              <w:tab/>
            </w:r>
            <w:r w:rsidR="00C42BBC" w:rsidRPr="004953FD">
              <w:rPr>
                <w:rStyle w:val="Hyperlink"/>
                <w:noProof/>
              </w:rPr>
              <w:t>Situata aktuale e sektorit të teknologjive me karbon të ulët</w:t>
            </w:r>
            <w:r w:rsidR="00C42BBC">
              <w:rPr>
                <w:noProof/>
                <w:webHidden/>
              </w:rPr>
              <w:tab/>
            </w:r>
            <w:r w:rsidR="00C42BBC">
              <w:rPr>
                <w:noProof/>
                <w:webHidden/>
              </w:rPr>
              <w:fldChar w:fldCharType="begin"/>
            </w:r>
            <w:r w:rsidR="00C42BBC">
              <w:rPr>
                <w:noProof/>
                <w:webHidden/>
              </w:rPr>
              <w:instrText xml:space="preserve"> PAGEREF _Toc182302341 \h </w:instrText>
            </w:r>
            <w:r w:rsidR="00C42BBC">
              <w:rPr>
                <w:noProof/>
                <w:webHidden/>
              </w:rPr>
            </w:r>
            <w:r w:rsidR="00C42BBC">
              <w:rPr>
                <w:noProof/>
                <w:webHidden/>
              </w:rPr>
              <w:fldChar w:fldCharType="separate"/>
            </w:r>
            <w:r w:rsidR="00C42BBC">
              <w:rPr>
                <w:noProof/>
                <w:webHidden/>
              </w:rPr>
              <w:t>152</w:t>
            </w:r>
            <w:r w:rsidR="00C42BBC">
              <w:rPr>
                <w:noProof/>
                <w:webHidden/>
              </w:rPr>
              <w:fldChar w:fldCharType="end"/>
            </w:r>
          </w:hyperlink>
        </w:p>
        <w:p w14:paraId="217990C2" w14:textId="7655F866" w:rsidR="00C42BBC" w:rsidRDefault="00062E07">
          <w:pPr>
            <w:pStyle w:val="TOC3"/>
            <w:rPr>
              <w:rFonts w:asciiTheme="minorHAnsi" w:hAnsiTheme="minorHAnsi"/>
              <w:noProof/>
              <w:color w:val="auto"/>
              <w:kern w:val="2"/>
              <w:sz w:val="24"/>
              <w:szCs w:val="24"/>
              <w14:ligatures w14:val="standardContextual"/>
            </w:rPr>
          </w:pPr>
          <w:hyperlink w:anchor="_Toc182302342" w:history="1">
            <w:r w:rsidR="00C42BBC" w:rsidRPr="004953FD">
              <w:rPr>
                <w:rStyle w:val="Hyperlink"/>
                <w:rFonts w:cs="Times New Roman"/>
                <w:noProof/>
              </w:rPr>
              <w:t>II.</w:t>
            </w:r>
            <w:r w:rsidR="00C42BBC">
              <w:rPr>
                <w:rFonts w:asciiTheme="minorHAnsi" w:hAnsiTheme="minorHAnsi"/>
                <w:noProof/>
                <w:color w:val="auto"/>
                <w:kern w:val="2"/>
                <w:sz w:val="24"/>
                <w:szCs w:val="24"/>
                <w14:ligatures w14:val="standardContextual"/>
              </w:rPr>
              <w:tab/>
            </w:r>
            <w:r w:rsidR="00C42BBC" w:rsidRPr="004953FD">
              <w:rPr>
                <w:rStyle w:val="Hyperlink"/>
                <w:noProof/>
              </w:rPr>
              <w:t>Niveli aktual i shpenzimeve publike dhe, kur është e disponueshme, private për hulumtim dhe inovacion për teknologjitë me karbon të ulët, numrin aktual të patentave dhe</w:t>
            </w:r>
            <w:r w:rsidR="00C42BBC">
              <w:rPr>
                <w:noProof/>
                <w:webHidden/>
              </w:rPr>
              <w:tab/>
            </w:r>
            <w:r w:rsidR="00C42BBC">
              <w:rPr>
                <w:noProof/>
                <w:webHidden/>
              </w:rPr>
              <w:fldChar w:fldCharType="begin"/>
            </w:r>
            <w:r w:rsidR="00C42BBC">
              <w:rPr>
                <w:noProof/>
                <w:webHidden/>
              </w:rPr>
              <w:instrText xml:space="preserve"> PAGEREF _Toc182302342 \h </w:instrText>
            </w:r>
            <w:r w:rsidR="00C42BBC">
              <w:rPr>
                <w:noProof/>
                <w:webHidden/>
              </w:rPr>
            </w:r>
            <w:r w:rsidR="00C42BBC">
              <w:rPr>
                <w:noProof/>
                <w:webHidden/>
              </w:rPr>
              <w:fldChar w:fldCharType="separate"/>
            </w:r>
            <w:r w:rsidR="00C42BBC">
              <w:rPr>
                <w:noProof/>
                <w:webHidden/>
              </w:rPr>
              <w:t>153</w:t>
            </w:r>
            <w:r w:rsidR="00C42BBC">
              <w:rPr>
                <w:noProof/>
                <w:webHidden/>
              </w:rPr>
              <w:fldChar w:fldCharType="end"/>
            </w:r>
          </w:hyperlink>
        </w:p>
        <w:p w14:paraId="4FB31D98" w14:textId="37703ABB" w:rsidR="00C42BBC" w:rsidRDefault="00062E07">
          <w:pPr>
            <w:pStyle w:val="TOC3"/>
            <w:rPr>
              <w:rFonts w:asciiTheme="minorHAnsi" w:hAnsiTheme="minorHAnsi"/>
              <w:noProof/>
              <w:color w:val="auto"/>
              <w:kern w:val="2"/>
              <w:sz w:val="24"/>
              <w:szCs w:val="24"/>
              <w14:ligatures w14:val="standardContextual"/>
            </w:rPr>
          </w:pPr>
          <w:hyperlink w:anchor="_Toc182302343" w:history="1">
            <w:r w:rsidR="00C42BBC" w:rsidRPr="004953FD">
              <w:rPr>
                <w:rStyle w:val="Hyperlink"/>
                <w:rFonts w:cs="Times New Roman"/>
                <w:noProof/>
              </w:rPr>
              <w:t>III.</w:t>
            </w:r>
            <w:r w:rsidR="00C42BBC">
              <w:rPr>
                <w:rFonts w:asciiTheme="minorHAnsi" w:hAnsiTheme="minorHAnsi"/>
                <w:noProof/>
                <w:color w:val="auto"/>
                <w:kern w:val="2"/>
                <w:sz w:val="24"/>
                <w:szCs w:val="24"/>
                <w14:ligatures w14:val="standardContextual"/>
              </w:rPr>
              <w:tab/>
            </w:r>
            <w:r w:rsidR="00C42BBC" w:rsidRPr="004953FD">
              <w:rPr>
                <w:rStyle w:val="Hyperlink"/>
                <w:noProof/>
              </w:rPr>
              <w:t>Numri aktual i hulumtuesve</w:t>
            </w:r>
            <w:r w:rsidR="00C42BBC">
              <w:rPr>
                <w:noProof/>
                <w:webHidden/>
              </w:rPr>
              <w:tab/>
            </w:r>
            <w:r w:rsidR="00C42BBC">
              <w:rPr>
                <w:noProof/>
                <w:webHidden/>
              </w:rPr>
              <w:fldChar w:fldCharType="begin"/>
            </w:r>
            <w:r w:rsidR="00C42BBC">
              <w:rPr>
                <w:noProof/>
                <w:webHidden/>
              </w:rPr>
              <w:instrText xml:space="preserve"> PAGEREF _Toc182302343 \h </w:instrText>
            </w:r>
            <w:r w:rsidR="00C42BBC">
              <w:rPr>
                <w:noProof/>
                <w:webHidden/>
              </w:rPr>
            </w:r>
            <w:r w:rsidR="00C42BBC">
              <w:rPr>
                <w:noProof/>
                <w:webHidden/>
              </w:rPr>
              <w:fldChar w:fldCharType="separate"/>
            </w:r>
            <w:r w:rsidR="00C42BBC">
              <w:rPr>
                <w:noProof/>
                <w:webHidden/>
              </w:rPr>
              <w:t>153</w:t>
            </w:r>
            <w:r w:rsidR="00C42BBC">
              <w:rPr>
                <w:noProof/>
                <w:webHidden/>
              </w:rPr>
              <w:fldChar w:fldCharType="end"/>
            </w:r>
          </w:hyperlink>
        </w:p>
        <w:p w14:paraId="25833620" w14:textId="0C66EECD" w:rsidR="00C42BBC" w:rsidRDefault="00062E07">
          <w:pPr>
            <w:pStyle w:val="TOC3"/>
            <w:rPr>
              <w:rFonts w:asciiTheme="minorHAnsi" w:hAnsiTheme="minorHAnsi"/>
              <w:noProof/>
              <w:color w:val="auto"/>
              <w:kern w:val="2"/>
              <w:sz w:val="24"/>
              <w:szCs w:val="24"/>
              <w14:ligatures w14:val="standardContextual"/>
            </w:rPr>
          </w:pPr>
          <w:hyperlink w:anchor="_Toc182302344" w:history="1">
            <w:r w:rsidR="00C42BBC" w:rsidRPr="004953FD">
              <w:rPr>
                <w:rStyle w:val="Hyperlink"/>
                <w:rFonts w:cs="Times New Roman"/>
                <w:noProof/>
              </w:rPr>
              <w:t>IV.</w:t>
            </w:r>
            <w:r w:rsidR="00C42BBC">
              <w:rPr>
                <w:rFonts w:asciiTheme="minorHAnsi" w:hAnsiTheme="minorHAnsi"/>
                <w:noProof/>
                <w:color w:val="auto"/>
                <w:kern w:val="2"/>
                <w:sz w:val="24"/>
                <w:szCs w:val="24"/>
                <w14:ligatures w14:val="standardContextual"/>
              </w:rPr>
              <w:tab/>
            </w:r>
            <w:r w:rsidR="00C42BBC" w:rsidRPr="004953FD">
              <w:rPr>
                <w:rStyle w:val="Hyperlink"/>
                <w:noProof/>
              </w:rPr>
              <w:t>Ndarja e elementeve aktuale të çmimeve që përbëjnë tre komponentët kryesorë të çmimeve (energjia, rrjeti, taksat/tatimet)</w:t>
            </w:r>
            <w:r w:rsidR="00C42BBC">
              <w:rPr>
                <w:noProof/>
                <w:webHidden/>
              </w:rPr>
              <w:tab/>
            </w:r>
            <w:r w:rsidR="00C42BBC">
              <w:rPr>
                <w:noProof/>
                <w:webHidden/>
              </w:rPr>
              <w:fldChar w:fldCharType="begin"/>
            </w:r>
            <w:r w:rsidR="00C42BBC">
              <w:rPr>
                <w:noProof/>
                <w:webHidden/>
              </w:rPr>
              <w:instrText xml:space="preserve"> PAGEREF _Toc182302344 \h </w:instrText>
            </w:r>
            <w:r w:rsidR="00C42BBC">
              <w:rPr>
                <w:noProof/>
                <w:webHidden/>
              </w:rPr>
            </w:r>
            <w:r w:rsidR="00C42BBC">
              <w:rPr>
                <w:noProof/>
                <w:webHidden/>
              </w:rPr>
              <w:fldChar w:fldCharType="separate"/>
            </w:r>
            <w:r w:rsidR="00C42BBC">
              <w:rPr>
                <w:noProof/>
                <w:webHidden/>
              </w:rPr>
              <w:t>154</w:t>
            </w:r>
            <w:r w:rsidR="00C42BBC">
              <w:rPr>
                <w:noProof/>
                <w:webHidden/>
              </w:rPr>
              <w:fldChar w:fldCharType="end"/>
            </w:r>
          </w:hyperlink>
        </w:p>
        <w:p w14:paraId="35C01E4D" w14:textId="4917ABF6" w:rsidR="00C42BBC" w:rsidRDefault="00062E07">
          <w:pPr>
            <w:pStyle w:val="TOC3"/>
            <w:rPr>
              <w:rFonts w:asciiTheme="minorHAnsi" w:hAnsiTheme="minorHAnsi"/>
              <w:noProof/>
              <w:color w:val="auto"/>
              <w:kern w:val="2"/>
              <w:sz w:val="24"/>
              <w:szCs w:val="24"/>
              <w14:ligatures w14:val="standardContextual"/>
            </w:rPr>
          </w:pPr>
          <w:hyperlink w:anchor="_Toc182302345" w:history="1">
            <w:r w:rsidR="00C42BBC" w:rsidRPr="004953FD">
              <w:rPr>
                <w:rStyle w:val="Hyperlink"/>
                <w:rFonts w:cs="Times New Roman"/>
                <w:noProof/>
              </w:rPr>
              <w:t>V.</w:t>
            </w:r>
            <w:r w:rsidR="00C42BBC">
              <w:rPr>
                <w:rFonts w:asciiTheme="minorHAnsi" w:hAnsiTheme="minorHAnsi"/>
                <w:noProof/>
                <w:color w:val="auto"/>
                <w:kern w:val="2"/>
                <w:sz w:val="24"/>
                <w:szCs w:val="24"/>
                <w14:ligatures w14:val="standardContextual"/>
              </w:rPr>
              <w:tab/>
            </w:r>
            <w:r w:rsidR="00C42BBC" w:rsidRPr="004953FD">
              <w:rPr>
                <w:rStyle w:val="Hyperlink"/>
                <w:noProof/>
              </w:rPr>
              <w:t>Përshkrimi i subvencioneve të energjisë, duke përfshirë lëndët djegëse fosile</w:t>
            </w:r>
            <w:r w:rsidR="00C42BBC">
              <w:rPr>
                <w:noProof/>
                <w:webHidden/>
              </w:rPr>
              <w:tab/>
            </w:r>
            <w:r w:rsidR="00C42BBC">
              <w:rPr>
                <w:noProof/>
                <w:webHidden/>
              </w:rPr>
              <w:fldChar w:fldCharType="begin"/>
            </w:r>
            <w:r w:rsidR="00C42BBC">
              <w:rPr>
                <w:noProof/>
                <w:webHidden/>
              </w:rPr>
              <w:instrText xml:space="preserve"> PAGEREF _Toc182302345 \h </w:instrText>
            </w:r>
            <w:r w:rsidR="00C42BBC">
              <w:rPr>
                <w:noProof/>
                <w:webHidden/>
              </w:rPr>
            </w:r>
            <w:r w:rsidR="00C42BBC">
              <w:rPr>
                <w:noProof/>
                <w:webHidden/>
              </w:rPr>
              <w:fldChar w:fldCharType="separate"/>
            </w:r>
            <w:r w:rsidR="00C42BBC">
              <w:rPr>
                <w:noProof/>
                <w:webHidden/>
              </w:rPr>
              <w:t>154</w:t>
            </w:r>
            <w:r w:rsidR="00C42BBC">
              <w:rPr>
                <w:noProof/>
                <w:webHidden/>
              </w:rPr>
              <w:fldChar w:fldCharType="end"/>
            </w:r>
          </w:hyperlink>
        </w:p>
        <w:p w14:paraId="26573E0D" w14:textId="070919F0" w:rsidR="00C42BBC" w:rsidRDefault="00062E07">
          <w:pPr>
            <w:pStyle w:val="TOC1"/>
            <w:tabs>
              <w:tab w:val="left" w:pos="400"/>
            </w:tabs>
            <w:rPr>
              <w:rFonts w:asciiTheme="minorHAnsi" w:hAnsiTheme="minorHAnsi"/>
              <w:noProof/>
              <w:color w:val="auto"/>
              <w:kern w:val="2"/>
              <w:sz w:val="24"/>
              <w:szCs w:val="24"/>
              <w14:ligatures w14:val="standardContextual"/>
            </w:rPr>
          </w:pPr>
          <w:hyperlink w:anchor="_Toc182302346" w:history="1">
            <w:r w:rsidR="00C42BBC" w:rsidRPr="004953FD">
              <w:rPr>
                <w:rStyle w:val="Hyperlink"/>
                <w:noProof/>
              </w:rPr>
              <w:t>5</w:t>
            </w:r>
            <w:r w:rsidR="00C42BBC">
              <w:rPr>
                <w:rFonts w:asciiTheme="minorHAnsi" w:hAnsiTheme="minorHAnsi"/>
                <w:noProof/>
                <w:color w:val="auto"/>
                <w:kern w:val="2"/>
                <w:sz w:val="24"/>
                <w:szCs w:val="24"/>
                <w14:ligatures w14:val="standardContextual"/>
              </w:rPr>
              <w:tab/>
            </w:r>
            <w:r w:rsidR="00C42BBC" w:rsidRPr="004953FD">
              <w:rPr>
                <w:rStyle w:val="Hyperlink"/>
                <w:noProof/>
              </w:rPr>
              <w:t>VLERËSIMI I NDIKIMIT TË POLITIKAVE DHE MASAVE TË PLANIFIKUARA ME POLITIKAT DHE MASAT EKZISTUESE</w:t>
            </w:r>
            <w:r w:rsidR="00C42BBC">
              <w:rPr>
                <w:noProof/>
                <w:webHidden/>
              </w:rPr>
              <w:tab/>
            </w:r>
            <w:r w:rsidR="00C42BBC">
              <w:rPr>
                <w:noProof/>
                <w:webHidden/>
              </w:rPr>
              <w:fldChar w:fldCharType="begin"/>
            </w:r>
            <w:r w:rsidR="00C42BBC">
              <w:rPr>
                <w:noProof/>
                <w:webHidden/>
              </w:rPr>
              <w:instrText xml:space="preserve"> PAGEREF _Toc182302346 \h </w:instrText>
            </w:r>
            <w:r w:rsidR="00C42BBC">
              <w:rPr>
                <w:noProof/>
                <w:webHidden/>
              </w:rPr>
            </w:r>
            <w:r w:rsidR="00C42BBC">
              <w:rPr>
                <w:noProof/>
                <w:webHidden/>
              </w:rPr>
              <w:fldChar w:fldCharType="separate"/>
            </w:r>
            <w:r w:rsidR="00C42BBC">
              <w:rPr>
                <w:noProof/>
                <w:webHidden/>
              </w:rPr>
              <w:t>155</w:t>
            </w:r>
            <w:r w:rsidR="00C42BBC">
              <w:rPr>
                <w:noProof/>
                <w:webHidden/>
              </w:rPr>
              <w:fldChar w:fldCharType="end"/>
            </w:r>
          </w:hyperlink>
        </w:p>
        <w:p w14:paraId="7BF43689" w14:textId="01DD0C80" w:rsidR="00C42BBC" w:rsidRDefault="00062E07">
          <w:pPr>
            <w:pStyle w:val="TOC2"/>
            <w:tabs>
              <w:tab w:val="left" w:pos="880"/>
              <w:tab w:val="right" w:leader="dot" w:pos="9564"/>
            </w:tabs>
            <w:rPr>
              <w:rFonts w:asciiTheme="minorHAnsi" w:hAnsiTheme="minorHAnsi"/>
              <w:noProof/>
              <w:color w:val="auto"/>
              <w:kern w:val="2"/>
              <w:sz w:val="24"/>
              <w:szCs w:val="24"/>
              <w14:ligatures w14:val="standardContextual"/>
            </w:rPr>
          </w:pPr>
          <w:hyperlink w:anchor="_Toc182302347" w:history="1">
            <w:r w:rsidR="00C42BBC" w:rsidRPr="004953FD">
              <w:rPr>
                <w:rStyle w:val="Hyperlink"/>
                <w:noProof/>
              </w:rPr>
              <w:t>5.1</w:t>
            </w:r>
            <w:r w:rsidR="00C42BBC">
              <w:rPr>
                <w:rFonts w:asciiTheme="minorHAnsi" w:hAnsiTheme="minorHAnsi"/>
                <w:noProof/>
                <w:color w:val="auto"/>
                <w:kern w:val="2"/>
                <w:sz w:val="24"/>
                <w:szCs w:val="24"/>
                <w14:ligatures w14:val="standardContextual"/>
              </w:rPr>
              <w:tab/>
            </w:r>
            <w:r w:rsidR="00C42BBC" w:rsidRPr="004953FD">
              <w:rPr>
                <w:rStyle w:val="Hyperlink"/>
                <w:noProof/>
              </w:rPr>
              <w:t>Ndikimet e politikave dhe masave në sistemin energjetik dhe emetimet dhe largimet e GS-ve, duke përfshirë krahasimin e projeksioneve me politikat dhe masat ekzistuese</w:t>
            </w:r>
            <w:r w:rsidR="00C42BBC">
              <w:rPr>
                <w:noProof/>
                <w:webHidden/>
              </w:rPr>
              <w:tab/>
            </w:r>
            <w:r w:rsidR="00C42BBC">
              <w:rPr>
                <w:noProof/>
                <w:webHidden/>
              </w:rPr>
              <w:fldChar w:fldCharType="begin"/>
            </w:r>
            <w:r w:rsidR="00C42BBC">
              <w:rPr>
                <w:noProof/>
                <w:webHidden/>
              </w:rPr>
              <w:instrText xml:space="preserve"> PAGEREF _Toc182302347 \h </w:instrText>
            </w:r>
            <w:r w:rsidR="00C42BBC">
              <w:rPr>
                <w:noProof/>
                <w:webHidden/>
              </w:rPr>
            </w:r>
            <w:r w:rsidR="00C42BBC">
              <w:rPr>
                <w:noProof/>
                <w:webHidden/>
              </w:rPr>
              <w:fldChar w:fldCharType="separate"/>
            </w:r>
            <w:r w:rsidR="00C42BBC">
              <w:rPr>
                <w:noProof/>
                <w:webHidden/>
              </w:rPr>
              <w:t>155</w:t>
            </w:r>
            <w:r w:rsidR="00C42BBC">
              <w:rPr>
                <w:noProof/>
                <w:webHidden/>
              </w:rPr>
              <w:fldChar w:fldCharType="end"/>
            </w:r>
          </w:hyperlink>
        </w:p>
        <w:p w14:paraId="62DD205A" w14:textId="284A7C3F" w:rsidR="00C42BBC" w:rsidRDefault="00062E07">
          <w:pPr>
            <w:pStyle w:val="TOC3"/>
            <w:rPr>
              <w:rFonts w:asciiTheme="minorHAnsi" w:hAnsiTheme="minorHAnsi"/>
              <w:noProof/>
              <w:color w:val="auto"/>
              <w:kern w:val="2"/>
              <w:sz w:val="24"/>
              <w:szCs w:val="24"/>
              <w14:ligatures w14:val="standardContextual"/>
            </w:rPr>
          </w:pPr>
          <w:hyperlink w:anchor="_Toc182302348" w:history="1">
            <w:r w:rsidR="00C42BBC" w:rsidRPr="004953FD">
              <w:rPr>
                <w:rStyle w:val="Hyperlink"/>
                <w:rFonts w:cs="Times New Roman"/>
                <w:noProof/>
              </w:rPr>
              <w:t>I.</w:t>
            </w:r>
            <w:r w:rsidR="00C42BBC">
              <w:rPr>
                <w:rFonts w:asciiTheme="minorHAnsi" w:hAnsiTheme="minorHAnsi"/>
                <w:noProof/>
                <w:color w:val="auto"/>
                <w:kern w:val="2"/>
                <w:sz w:val="24"/>
                <w:szCs w:val="24"/>
                <w14:ligatures w14:val="standardContextual"/>
              </w:rPr>
              <w:tab/>
            </w:r>
            <w:r w:rsidR="00C42BBC" w:rsidRPr="004953FD">
              <w:rPr>
                <w:rStyle w:val="Hyperlink"/>
                <w:noProof/>
              </w:rPr>
              <w:t>Projeksionet e zhvillimit të sistemit energjetik dhe emetimet dhe largimet e GS-ve</w:t>
            </w:r>
            <w:r w:rsidR="00C42BBC">
              <w:rPr>
                <w:noProof/>
                <w:webHidden/>
              </w:rPr>
              <w:tab/>
            </w:r>
            <w:r w:rsidR="00C42BBC">
              <w:rPr>
                <w:noProof/>
                <w:webHidden/>
              </w:rPr>
              <w:fldChar w:fldCharType="begin"/>
            </w:r>
            <w:r w:rsidR="00C42BBC">
              <w:rPr>
                <w:noProof/>
                <w:webHidden/>
              </w:rPr>
              <w:instrText xml:space="preserve"> PAGEREF _Toc182302348 \h </w:instrText>
            </w:r>
            <w:r w:rsidR="00C42BBC">
              <w:rPr>
                <w:noProof/>
                <w:webHidden/>
              </w:rPr>
            </w:r>
            <w:r w:rsidR="00C42BBC">
              <w:rPr>
                <w:noProof/>
                <w:webHidden/>
              </w:rPr>
              <w:fldChar w:fldCharType="separate"/>
            </w:r>
            <w:r w:rsidR="00C42BBC">
              <w:rPr>
                <w:noProof/>
                <w:webHidden/>
              </w:rPr>
              <w:t>155</w:t>
            </w:r>
            <w:r w:rsidR="00C42BBC">
              <w:rPr>
                <w:noProof/>
                <w:webHidden/>
              </w:rPr>
              <w:fldChar w:fldCharType="end"/>
            </w:r>
          </w:hyperlink>
        </w:p>
        <w:p w14:paraId="582EFCD4" w14:textId="2893DE7E" w:rsidR="00C42BBC" w:rsidRDefault="00062E07">
          <w:pPr>
            <w:pStyle w:val="TOC3"/>
            <w:rPr>
              <w:rFonts w:asciiTheme="minorHAnsi" w:hAnsiTheme="minorHAnsi"/>
              <w:noProof/>
              <w:color w:val="auto"/>
              <w:kern w:val="2"/>
              <w:sz w:val="24"/>
              <w:szCs w:val="24"/>
              <w14:ligatures w14:val="standardContextual"/>
            </w:rPr>
          </w:pPr>
          <w:hyperlink w:anchor="_Toc182302349" w:history="1">
            <w:r w:rsidR="00C42BBC" w:rsidRPr="004953FD">
              <w:rPr>
                <w:rStyle w:val="Hyperlink"/>
                <w:b/>
                <w:i/>
                <w:noProof/>
              </w:rPr>
              <w:t>Dimensioni i dekarbonizimit</w:t>
            </w:r>
            <w:r w:rsidR="00C42BBC">
              <w:rPr>
                <w:noProof/>
                <w:webHidden/>
              </w:rPr>
              <w:tab/>
            </w:r>
            <w:r w:rsidR="00C42BBC">
              <w:rPr>
                <w:noProof/>
                <w:webHidden/>
              </w:rPr>
              <w:fldChar w:fldCharType="begin"/>
            </w:r>
            <w:r w:rsidR="00C42BBC">
              <w:rPr>
                <w:noProof/>
                <w:webHidden/>
              </w:rPr>
              <w:instrText xml:space="preserve"> PAGEREF _Toc182302349 \h </w:instrText>
            </w:r>
            <w:r w:rsidR="00C42BBC">
              <w:rPr>
                <w:noProof/>
                <w:webHidden/>
              </w:rPr>
            </w:r>
            <w:r w:rsidR="00C42BBC">
              <w:rPr>
                <w:noProof/>
                <w:webHidden/>
              </w:rPr>
              <w:fldChar w:fldCharType="separate"/>
            </w:r>
            <w:r w:rsidR="00C42BBC">
              <w:rPr>
                <w:noProof/>
                <w:webHidden/>
              </w:rPr>
              <w:t>155</w:t>
            </w:r>
            <w:r w:rsidR="00C42BBC">
              <w:rPr>
                <w:noProof/>
                <w:webHidden/>
              </w:rPr>
              <w:fldChar w:fldCharType="end"/>
            </w:r>
          </w:hyperlink>
        </w:p>
        <w:p w14:paraId="1DA62C95" w14:textId="47F282F9" w:rsidR="00C42BBC" w:rsidRDefault="00062E07">
          <w:pPr>
            <w:pStyle w:val="TOC3"/>
            <w:rPr>
              <w:rFonts w:asciiTheme="minorHAnsi" w:hAnsiTheme="minorHAnsi"/>
              <w:noProof/>
              <w:color w:val="auto"/>
              <w:kern w:val="2"/>
              <w:sz w:val="24"/>
              <w:szCs w:val="24"/>
              <w14:ligatures w14:val="standardContextual"/>
            </w:rPr>
          </w:pPr>
          <w:hyperlink w:anchor="_Toc182302350" w:history="1">
            <w:r w:rsidR="00C42BBC" w:rsidRPr="004953FD">
              <w:rPr>
                <w:rStyle w:val="Hyperlink"/>
                <w:b/>
                <w:noProof/>
              </w:rPr>
              <w:t>Energjia e ripërtëritshme</w:t>
            </w:r>
            <w:r w:rsidR="00C42BBC">
              <w:rPr>
                <w:noProof/>
                <w:webHidden/>
              </w:rPr>
              <w:tab/>
            </w:r>
            <w:r w:rsidR="00C42BBC">
              <w:rPr>
                <w:noProof/>
                <w:webHidden/>
              </w:rPr>
              <w:fldChar w:fldCharType="begin"/>
            </w:r>
            <w:r w:rsidR="00C42BBC">
              <w:rPr>
                <w:noProof/>
                <w:webHidden/>
              </w:rPr>
              <w:instrText xml:space="preserve"> PAGEREF _Toc182302350 \h </w:instrText>
            </w:r>
            <w:r w:rsidR="00C42BBC">
              <w:rPr>
                <w:noProof/>
                <w:webHidden/>
              </w:rPr>
            </w:r>
            <w:r w:rsidR="00C42BBC">
              <w:rPr>
                <w:noProof/>
                <w:webHidden/>
              </w:rPr>
              <w:fldChar w:fldCharType="separate"/>
            </w:r>
            <w:r w:rsidR="00C42BBC">
              <w:rPr>
                <w:noProof/>
                <w:webHidden/>
              </w:rPr>
              <w:t>158</w:t>
            </w:r>
            <w:r w:rsidR="00C42BBC">
              <w:rPr>
                <w:noProof/>
                <w:webHidden/>
              </w:rPr>
              <w:fldChar w:fldCharType="end"/>
            </w:r>
          </w:hyperlink>
        </w:p>
        <w:p w14:paraId="0B090242" w14:textId="264377B7" w:rsidR="00C42BBC" w:rsidRDefault="00062E07">
          <w:pPr>
            <w:pStyle w:val="TOC3"/>
            <w:rPr>
              <w:rFonts w:asciiTheme="minorHAnsi" w:hAnsiTheme="minorHAnsi"/>
              <w:noProof/>
              <w:color w:val="auto"/>
              <w:kern w:val="2"/>
              <w:sz w:val="24"/>
              <w:szCs w:val="24"/>
              <w14:ligatures w14:val="standardContextual"/>
            </w:rPr>
          </w:pPr>
          <w:hyperlink w:anchor="_Toc182302351" w:history="1">
            <w:r w:rsidR="00C42BBC" w:rsidRPr="004953FD">
              <w:rPr>
                <w:rStyle w:val="Hyperlink"/>
                <w:b/>
                <w:i/>
                <w:noProof/>
              </w:rPr>
              <w:t>Dimensioni i efiçiencës së energjisë</w:t>
            </w:r>
            <w:r w:rsidR="00C42BBC">
              <w:rPr>
                <w:noProof/>
                <w:webHidden/>
              </w:rPr>
              <w:tab/>
            </w:r>
            <w:r w:rsidR="00C42BBC">
              <w:rPr>
                <w:noProof/>
                <w:webHidden/>
              </w:rPr>
              <w:fldChar w:fldCharType="begin"/>
            </w:r>
            <w:r w:rsidR="00C42BBC">
              <w:rPr>
                <w:noProof/>
                <w:webHidden/>
              </w:rPr>
              <w:instrText xml:space="preserve"> PAGEREF _Toc182302351 \h </w:instrText>
            </w:r>
            <w:r w:rsidR="00C42BBC">
              <w:rPr>
                <w:noProof/>
                <w:webHidden/>
              </w:rPr>
            </w:r>
            <w:r w:rsidR="00C42BBC">
              <w:rPr>
                <w:noProof/>
                <w:webHidden/>
              </w:rPr>
              <w:fldChar w:fldCharType="separate"/>
            </w:r>
            <w:r w:rsidR="00C42BBC">
              <w:rPr>
                <w:noProof/>
                <w:webHidden/>
              </w:rPr>
              <w:t>160</w:t>
            </w:r>
            <w:r w:rsidR="00C42BBC">
              <w:rPr>
                <w:noProof/>
                <w:webHidden/>
              </w:rPr>
              <w:fldChar w:fldCharType="end"/>
            </w:r>
          </w:hyperlink>
        </w:p>
        <w:p w14:paraId="73A8654E" w14:textId="211C970E" w:rsidR="00C42BBC" w:rsidRDefault="00062E07">
          <w:pPr>
            <w:pStyle w:val="TOC3"/>
            <w:rPr>
              <w:rFonts w:asciiTheme="minorHAnsi" w:hAnsiTheme="minorHAnsi"/>
              <w:noProof/>
              <w:color w:val="auto"/>
              <w:kern w:val="2"/>
              <w:sz w:val="24"/>
              <w:szCs w:val="24"/>
              <w14:ligatures w14:val="standardContextual"/>
            </w:rPr>
          </w:pPr>
          <w:hyperlink w:anchor="_Toc182302352" w:history="1">
            <w:r w:rsidR="00C42BBC" w:rsidRPr="004953FD">
              <w:rPr>
                <w:rStyle w:val="Hyperlink"/>
                <w:b/>
                <w:i/>
                <w:noProof/>
              </w:rPr>
              <w:t>Dimensioni i sigurisë energjetike</w:t>
            </w:r>
            <w:r w:rsidR="00C42BBC">
              <w:rPr>
                <w:noProof/>
                <w:webHidden/>
              </w:rPr>
              <w:tab/>
            </w:r>
            <w:r w:rsidR="00C42BBC">
              <w:rPr>
                <w:noProof/>
                <w:webHidden/>
              </w:rPr>
              <w:fldChar w:fldCharType="begin"/>
            </w:r>
            <w:r w:rsidR="00C42BBC">
              <w:rPr>
                <w:noProof/>
                <w:webHidden/>
              </w:rPr>
              <w:instrText xml:space="preserve"> PAGEREF _Toc182302352 \h </w:instrText>
            </w:r>
            <w:r w:rsidR="00C42BBC">
              <w:rPr>
                <w:noProof/>
                <w:webHidden/>
              </w:rPr>
            </w:r>
            <w:r w:rsidR="00C42BBC">
              <w:rPr>
                <w:noProof/>
                <w:webHidden/>
              </w:rPr>
              <w:fldChar w:fldCharType="separate"/>
            </w:r>
            <w:r w:rsidR="00C42BBC">
              <w:rPr>
                <w:noProof/>
                <w:webHidden/>
              </w:rPr>
              <w:t>164</w:t>
            </w:r>
            <w:r w:rsidR="00C42BBC">
              <w:rPr>
                <w:noProof/>
                <w:webHidden/>
              </w:rPr>
              <w:fldChar w:fldCharType="end"/>
            </w:r>
          </w:hyperlink>
        </w:p>
        <w:p w14:paraId="1E435E8B" w14:textId="085409F7" w:rsidR="00C42BBC" w:rsidRDefault="00062E07">
          <w:pPr>
            <w:pStyle w:val="TOC3"/>
            <w:rPr>
              <w:rFonts w:asciiTheme="minorHAnsi" w:hAnsiTheme="minorHAnsi"/>
              <w:noProof/>
              <w:color w:val="auto"/>
              <w:kern w:val="2"/>
              <w:sz w:val="24"/>
              <w:szCs w:val="24"/>
              <w14:ligatures w14:val="standardContextual"/>
            </w:rPr>
          </w:pPr>
          <w:hyperlink w:anchor="_Toc182302353" w:history="1">
            <w:r w:rsidR="00C42BBC" w:rsidRPr="004953FD">
              <w:rPr>
                <w:rStyle w:val="Hyperlink"/>
                <w:b/>
                <w:i/>
                <w:noProof/>
              </w:rPr>
              <w:t>Dimensioni i tregut të brendshëm energjetik</w:t>
            </w:r>
            <w:r w:rsidR="00C42BBC">
              <w:rPr>
                <w:noProof/>
                <w:webHidden/>
              </w:rPr>
              <w:tab/>
            </w:r>
            <w:r w:rsidR="00C42BBC">
              <w:rPr>
                <w:noProof/>
                <w:webHidden/>
              </w:rPr>
              <w:fldChar w:fldCharType="begin"/>
            </w:r>
            <w:r w:rsidR="00C42BBC">
              <w:rPr>
                <w:noProof/>
                <w:webHidden/>
              </w:rPr>
              <w:instrText xml:space="preserve"> PAGEREF _Toc182302353 \h </w:instrText>
            </w:r>
            <w:r w:rsidR="00C42BBC">
              <w:rPr>
                <w:noProof/>
                <w:webHidden/>
              </w:rPr>
            </w:r>
            <w:r w:rsidR="00C42BBC">
              <w:rPr>
                <w:noProof/>
                <w:webHidden/>
              </w:rPr>
              <w:fldChar w:fldCharType="separate"/>
            </w:r>
            <w:r w:rsidR="00C42BBC">
              <w:rPr>
                <w:noProof/>
                <w:webHidden/>
              </w:rPr>
              <w:t>167</w:t>
            </w:r>
            <w:r w:rsidR="00C42BBC">
              <w:rPr>
                <w:noProof/>
                <w:webHidden/>
              </w:rPr>
              <w:fldChar w:fldCharType="end"/>
            </w:r>
          </w:hyperlink>
        </w:p>
        <w:p w14:paraId="198EC20E" w14:textId="3D7F1786" w:rsidR="00C42BBC" w:rsidRDefault="00062E07">
          <w:pPr>
            <w:pStyle w:val="TOC3"/>
            <w:rPr>
              <w:rFonts w:asciiTheme="minorHAnsi" w:hAnsiTheme="minorHAnsi"/>
              <w:noProof/>
              <w:color w:val="auto"/>
              <w:kern w:val="2"/>
              <w:sz w:val="24"/>
              <w:szCs w:val="24"/>
              <w14:ligatures w14:val="standardContextual"/>
            </w:rPr>
          </w:pPr>
          <w:hyperlink w:anchor="_Toc182302354" w:history="1">
            <w:r w:rsidR="00C42BBC" w:rsidRPr="004953FD">
              <w:rPr>
                <w:rStyle w:val="Hyperlink"/>
                <w:rFonts w:cs="Times New Roman"/>
                <w:noProof/>
              </w:rPr>
              <w:t>II.</w:t>
            </w:r>
            <w:r w:rsidR="00C42BBC">
              <w:rPr>
                <w:rFonts w:asciiTheme="minorHAnsi" w:hAnsiTheme="minorHAnsi"/>
                <w:noProof/>
                <w:color w:val="auto"/>
                <w:kern w:val="2"/>
                <w:sz w:val="24"/>
                <w:szCs w:val="24"/>
                <w14:ligatures w14:val="standardContextual"/>
              </w:rPr>
              <w:tab/>
            </w:r>
            <w:r w:rsidR="00C42BBC" w:rsidRPr="004953FD">
              <w:rPr>
                <w:rStyle w:val="Hyperlink"/>
                <w:noProof/>
              </w:rPr>
              <w:t>Vlerësimi i ndërveprimeve të politikave për përmasat e sistemit energjetik dhe reduktimin e rrezikut të investimeve të bllokuara</w:t>
            </w:r>
            <w:r w:rsidR="00C42BBC">
              <w:rPr>
                <w:noProof/>
                <w:webHidden/>
              </w:rPr>
              <w:tab/>
            </w:r>
            <w:r w:rsidR="00C42BBC">
              <w:rPr>
                <w:noProof/>
                <w:webHidden/>
              </w:rPr>
              <w:fldChar w:fldCharType="begin"/>
            </w:r>
            <w:r w:rsidR="00C42BBC">
              <w:rPr>
                <w:noProof/>
                <w:webHidden/>
              </w:rPr>
              <w:instrText xml:space="preserve"> PAGEREF _Toc182302354 \h </w:instrText>
            </w:r>
            <w:r w:rsidR="00C42BBC">
              <w:rPr>
                <w:noProof/>
                <w:webHidden/>
              </w:rPr>
            </w:r>
            <w:r w:rsidR="00C42BBC">
              <w:rPr>
                <w:noProof/>
                <w:webHidden/>
              </w:rPr>
              <w:fldChar w:fldCharType="separate"/>
            </w:r>
            <w:r w:rsidR="00C42BBC">
              <w:rPr>
                <w:noProof/>
                <w:webHidden/>
              </w:rPr>
              <w:t>167</w:t>
            </w:r>
            <w:r w:rsidR="00C42BBC">
              <w:rPr>
                <w:noProof/>
                <w:webHidden/>
              </w:rPr>
              <w:fldChar w:fldCharType="end"/>
            </w:r>
          </w:hyperlink>
        </w:p>
        <w:p w14:paraId="14B75879" w14:textId="16CA866A" w:rsidR="00C42BBC" w:rsidRDefault="00062E07">
          <w:pPr>
            <w:pStyle w:val="TOC3"/>
            <w:rPr>
              <w:rFonts w:asciiTheme="minorHAnsi" w:hAnsiTheme="minorHAnsi"/>
              <w:noProof/>
              <w:color w:val="auto"/>
              <w:kern w:val="2"/>
              <w:sz w:val="24"/>
              <w:szCs w:val="24"/>
              <w14:ligatures w14:val="standardContextual"/>
            </w:rPr>
          </w:pPr>
          <w:hyperlink w:anchor="_Toc182302355" w:history="1">
            <w:r w:rsidR="00C42BBC" w:rsidRPr="004953FD">
              <w:rPr>
                <w:rStyle w:val="Hyperlink"/>
                <w:rFonts w:cs="Times New Roman"/>
                <w:noProof/>
              </w:rPr>
              <w:t>III.</w:t>
            </w:r>
            <w:r w:rsidR="00C42BBC">
              <w:rPr>
                <w:rFonts w:asciiTheme="minorHAnsi" w:hAnsiTheme="minorHAnsi"/>
                <w:noProof/>
                <w:color w:val="auto"/>
                <w:kern w:val="2"/>
                <w:sz w:val="24"/>
                <w:szCs w:val="24"/>
                <w14:ligatures w14:val="standardContextual"/>
              </w:rPr>
              <w:tab/>
            </w:r>
            <w:r w:rsidR="00C42BBC" w:rsidRPr="004953FD">
              <w:rPr>
                <w:rStyle w:val="Hyperlink"/>
                <w:noProof/>
              </w:rPr>
              <w:t>Vlerësimi i ndërveprimeve ndërmjet politikave dhe masave ekzistuese të Komunitetit të Energjisë dhe politikës klimatike dhe energjetike</w:t>
            </w:r>
            <w:r w:rsidR="00C42BBC">
              <w:rPr>
                <w:noProof/>
                <w:webHidden/>
              </w:rPr>
              <w:tab/>
            </w:r>
            <w:r w:rsidR="00C42BBC">
              <w:rPr>
                <w:noProof/>
                <w:webHidden/>
              </w:rPr>
              <w:fldChar w:fldCharType="begin"/>
            </w:r>
            <w:r w:rsidR="00C42BBC">
              <w:rPr>
                <w:noProof/>
                <w:webHidden/>
              </w:rPr>
              <w:instrText xml:space="preserve"> PAGEREF _Toc182302355 \h </w:instrText>
            </w:r>
            <w:r w:rsidR="00C42BBC">
              <w:rPr>
                <w:noProof/>
                <w:webHidden/>
              </w:rPr>
            </w:r>
            <w:r w:rsidR="00C42BBC">
              <w:rPr>
                <w:noProof/>
                <w:webHidden/>
              </w:rPr>
              <w:fldChar w:fldCharType="separate"/>
            </w:r>
            <w:r w:rsidR="00C42BBC">
              <w:rPr>
                <w:noProof/>
                <w:webHidden/>
              </w:rPr>
              <w:t>169</w:t>
            </w:r>
            <w:r w:rsidR="00C42BBC">
              <w:rPr>
                <w:noProof/>
                <w:webHidden/>
              </w:rPr>
              <w:fldChar w:fldCharType="end"/>
            </w:r>
          </w:hyperlink>
        </w:p>
        <w:p w14:paraId="58C9D513" w14:textId="15AC2864" w:rsidR="00C42BBC" w:rsidRDefault="00062E07">
          <w:pPr>
            <w:pStyle w:val="TOC2"/>
            <w:tabs>
              <w:tab w:val="left" w:pos="880"/>
              <w:tab w:val="right" w:leader="dot" w:pos="9564"/>
            </w:tabs>
            <w:rPr>
              <w:rFonts w:asciiTheme="minorHAnsi" w:hAnsiTheme="minorHAnsi"/>
              <w:noProof/>
              <w:color w:val="auto"/>
              <w:kern w:val="2"/>
              <w:sz w:val="24"/>
              <w:szCs w:val="24"/>
              <w14:ligatures w14:val="standardContextual"/>
            </w:rPr>
          </w:pPr>
          <w:hyperlink w:anchor="_Toc182302356" w:history="1">
            <w:r w:rsidR="00C42BBC" w:rsidRPr="004953FD">
              <w:rPr>
                <w:rStyle w:val="Hyperlink"/>
                <w:noProof/>
              </w:rPr>
              <w:t>5.2</w:t>
            </w:r>
            <w:r w:rsidR="00C42BBC">
              <w:rPr>
                <w:rFonts w:asciiTheme="minorHAnsi" w:hAnsiTheme="minorHAnsi"/>
                <w:noProof/>
                <w:color w:val="auto"/>
                <w:kern w:val="2"/>
                <w:sz w:val="24"/>
                <w:szCs w:val="24"/>
                <w14:ligatures w14:val="standardContextual"/>
              </w:rPr>
              <w:tab/>
            </w:r>
            <w:r w:rsidR="00C42BBC" w:rsidRPr="004953FD">
              <w:rPr>
                <w:rStyle w:val="Hyperlink"/>
                <w:noProof/>
              </w:rPr>
              <w:t>Analiza gjithëpërfshirëse e ndikimit të politikave dhe masave të planifikuara</w:t>
            </w:r>
            <w:r w:rsidR="00C42BBC">
              <w:rPr>
                <w:noProof/>
                <w:webHidden/>
              </w:rPr>
              <w:tab/>
            </w:r>
            <w:r w:rsidR="00C42BBC">
              <w:rPr>
                <w:noProof/>
                <w:webHidden/>
              </w:rPr>
              <w:fldChar w:fldCharType="begin"/>
            </w:r>
            <w:r w:rsidR="00C42BBC">
              <w:rPr>
                <w:noProof/>
                <w:webHidden/>
              </w:rPr>
              <w:instrText xml:space="preserve"> PAGEREF _Toc182302356 \h </w:instrText>
            </w:r>
            <w:r w:rsidR="00C42BBC">
              <w:rPr>
                <w:noProof/>
                <w:webHidden/>
              </w:rPr>
            </w:r>
            <w:r w:rsidR="00C42BBC">
              <w:rPr>
                <w:noProof/>
                <w:webHidden/>
              </w:rPr>
              <w:fldChar w:fldCharType="separate"/>
            </w:r>
            <w:r w:rsidR="00C42BBC">
              <w:rPr>
                <w:noProof/>
                <w:webHidden/>
              </w:rPr>
              <w:t>169</w:t>
            </w:r>
            <w:r w:rsidR="00C42BBC">
              <w:rPr>
                <w:noProof/>
                <w:webHidden/>
              </w:rPr>
              <w:fldChar w:fldCharType="end"/>
            </w:r>
          </w:hyperlink>
        </w:p>
        <w:p w14:paraId="52001FCE" w14:textId="0D6966BE" w:rsidR="00C42BBC" w:rsidRDefault="00062E07">
          <w:pPr>
            <w:pStyle w:val="TOC3"/>
            <w:rPr>
              <w:rFonts w:asciiTheme="minorHAnsi" w:hAnsiTheme="minorHAnsi"/>
              <w:noProof/>
              <w:color w:val="auto"/>
              <w:kern w:val="2"/>
              <w:sz w:val="24"/>
              <w:szCs w:val="24"/>
              <w14:ligatures w14:val="standardContextual"/>
            </w:rPr>
          </w:pPr>
          <w:hyperlink w:anchor="_Toc182302357" w:history="1">
            <w:r w:rsidR="00C42BBC" w:rsidRPr="004953FD">
              <w:rPr>
                <w:rStyle w:val="Hyperlink"/>
                <w:b/>
                <w:i/>
                <w:noProof/>
              </w:rPr>
              <w:t>Të ardhurat e disponueshme të ekonomisë familjare</w:t>
            </w:r>
            <w:r w:rsidR="00C42BBC">
              <w:rPr>
                <w:noProof/>
                <w:webHidden/>
              </w:rPr>
              <w:tab/>
            </w:r>
            <w:r w:rsidR="00C42BBC">
              <w:rPr>
                <w:noProof/>
                <w:webHidden/>
              </w:rPr>
              <w:fldChar w:fldCharType="begin"/>
            </w:r>
            <w:r w:rsidR="00C42BBC">
              <w:rPr>
                <w:noProof/>
                <w:webHidden/>
              </w:rPr>
              <w:instrText xml:space="preserve"> PAGEREF _Toc182302357 \h </w:instrText>
            </w:r>
            <w:r w:rsidR="00C42BBC">
              <w:rPr>
                <w:noProof/>
                <w:webHidden/>
              </w:rPr>
            </w:r>
            <w:r w:rsidR="00C42BBC">
              <w:rPr>
                <w:noProof/>
                <w:webHidden/>
              </w:rPr>
              <w:fldChar w:fldCharType="separate"/>
            </w:r>
            <w:r w:rsidR="00C42BBC">
              <w:rPr>
                <w:noProof/>
                <w:webHidden/>
              </w:rPr>
              <w:t>170</w:t>
            </w:r>
            <w:r w:rsidR="00C42BBC">
              <w:rPr>
                <w:noProof/>
                <w:webHidden/>
              </w:rPr>
              <w:fldChar w:fldCharType="end"/>
            </w:r>
          </w:hyperlink>
        </w:p>
        <w:p w14:paraId="69D0FCDF" w14:textId="14DA45E0" w:rsidR="00C42BBC" w:rsidRDefault="00062E07">
          <w:pPr>
            <w:pStyle w:val="TOC3"/>
            <w:rPr>
              <w:rFonts w:asciiTheme="minorHAnsi" w:hAnsiTheme="minorHAnsi"/>
              <w:noProof/>
              <w:color w:val="auto"/>
              <w:kern w:val="2"/>
              <w:sz w:val="24"/>
              <w:szCs w:val="24"/>
              <w14:ligatures w14:val="standardContextual"/>
            </w:rPr>
          </w:pPr>
          <w:hyperlink w:anchor="_Toc182302358" w:history="1">
            <w:r w:rsidR="00C42BBC" w:rsidRPr="004953FD">
              <w:rPr>
                <w:rStyle w:val="Hyperlink"/>
                <w:b/>
                <w:i/>
                <w:noProof/>
              </w:rPr>
              <w:t>Buxhetet publike</w:t>
            </w:r>
            <w:r w:rsidR="00C42BBC">
              <w:rPr>
                <w:noProof/>
                <w:webHidden/>
              </w:rPr>
              <w:tab/>
            </w:r>
            <w:r w:rsidR="00C42BBC">
              <w:rPr>
                <w:noProof/>
                <w:webHidden/>
              </w:rPr>
              <w:fldChar w:fldCharType="begin"/>
            </w:r>
            <w:r w:rsidR="00C42BBC">
              <w:rPr>
                <w:noProof/>
                <w:webHidden/>
              </w:rPr>
              <w:instrText xml:space="preserve"> PAGEREF _Toc182302358 \h </w:instrText>
            </w:r>
            <w:r w:rsidR="00C42BBC">
              <w:rPr>
                <w:noProof/>
                <w:webHidden/>
              </w:rPr>
            </w:r>
            <w:r w:rsidR="00C42BBC">
              <w:rPr>
                <w:noProof/>
                <w:webHidden/>
              </w:rPr>
              <w:fldChar w:fldCharType="separate"/>
            </w:r>
            <w:r w:rsidR="00C42BBC">
              <w:rPr>
                <w:noProof/>
                <w:webHidden/>
              </w:rPr>
              <w:t>171</w:t>
            </w:r>
            <w:r w:rsidR="00C42BBC">
              <w:rPr>
                <w:noProof/>
                <w:webHidden/>
              </w:rPr>
              <w:fldChar w:fldCharType="end"/>
            </w:r>
          </w:hyperlink>
        </w:p>
        <w:p w14:paraId="1181EB74" w14:textId="47FA067C" w:rsidR="00C42BBC" w:rsidRDefault="00062E07">
          <w:pPr>
            <w:pStyle w:val="TOC3"/>
            <w:rPr>
              <w:rFonts w:asciiTheme="minorHAnsi" w:hAnsiTheme="minorHAnsi"/>
              <w:noProof/>
              <w:color w:val="auto"/>
              <w:kern w:val="2"/>
              <w:sz w:val="24"/>
              <w:szCs w:val="24"/>
              <w14:ligatures w14:val="standardContextual"/>
            </w:rPr>
          </w:pPr>
          <w:hyperlink w:anchor="_Toc182302359" w:history="1">
            <w:r w:rsidR="00C42BBC" w:rsidRPr="004953FD">
              <w:rPr>
                <w:rStyle w:val="Hyperlink"/>
                <w:b/>
                <w:i/>
                <w:noProof/>
              </w:rPr>
              <w:t>Efektet e punësimit</w:t>
            </w:r>
            <w:r w:rsidR="00C42BBC">
              <w:rPr>
                <w:noProof/>
                <w:webHidden/>
              </w:rPr>
              <w:tab/>
            </w:r>
            <w:r w:rsidR="00C42BBC">
              <w:rPr>
                <w:noProof/>
                <w:webHidden/>
              </w:rPr>
              <w:fldChar w:fldCharType="begin"/>
            </w:r>
            <w:r w:rsidR="00C42BBC">
              <w:rPr>
                <w:noProof/>
                <w:webHidden/>
              </w:rPr>
              <w:instrText xml:space="preserve"> PAGEREF _Toc182302359 \h </w:instrText>
            </w:r>
            <w:r w:rsidR="00C42BBC">
              <w:rPr>
                <w:noProof/>
                <w:webHidden/>
              </w:rPr>
            </w:r>
            <w:r w:rsidR="00C42BBC">
              <w:rPr>
                <w:noProof/>
                <w:webHidden/>
              </w:rPr>
              <w:fldChar w:fldCharType="separate"/>
            </w:r>
            <w:r w:rsidR="00C42BBC">
              <w:rPr>
                <w:noProof/>
                <w:webHidden/>
              </w:rPr>
              <w:t>172</w:t>
            </w:r>
            <w:r w:rsidR="00C42BBC">
              <w:rPr>
                <w:noProof/>
                <w:webHidden/>
              </w:rPr>
              <w:fldChar w:fldCharType="end"/>
            </w:r>
          </w:hyperlink>
        </w:p>
        <w:p w14:paraId="40327EF5" w14:textId="192C6256" w:rsidR="00C42BBC" w:rsidRDefault="00062E07">
          <w:pPr>
            <w:pStyle w:val="TOC3"/>
            <w:rPr>
              <w:rFonts w:asciiTheme="minorHAnsi" w:hAnsiTheme="minorHAnsi"/>
              <w:noProof/>
              <w:color w:val="auto"/>
              <w:kern w:val="2"/>
              <w:sz w:val="24"/>
              <w:szCs w:val="24"/>
              <w14:ligatures w14:val="standardContextual"/>
            </w:rPr>
          </w:pPr>
          <w:hyperlink w:anchor="_Toc182302360" w:history="1">
            <w:r w:rsidR="00C42BBC" w:rsidRPr="004953FD">
              <w:rPr>
                <w:rStyle w:val="Hyperlink"/>
                <w:b/>
                <w:i/>
                <w:noProof/>
              </w:rPr>
              <w:t>Efektet shëndetësore (ndotja lokale e ajrit)</w:t>
            </w:r>
            <w:r w:rsidR="00C42BBC">
              <w:rPr>
                <w:noProof/>
                <w:webHidden/>
              </w:rPr>
              <w:tab/>
            </w:r>
            <w:r w:rsidR="00C42BBC">
              <w:rPr>
                <w:noProof/>
                <w:webHidden/>
              </w:rPr>
              <w:fldChar w:fldCharType="begin"/>
            </w:r>
            <w:r w:rsidR="00C42BBC">
              <w:rPr>
                <w:noProof/>
                <w:webHidden/>
              </w:rPr>
              <w:instrText xml:space="preserve"> PAGEREF _Toc182302360 \h </w:instrText>
            </w:r>
            <w:r w:rsidR="00C42BBC">
              <w:rPr>
                <w:noProof/>
                <w:webHidden/>
              </w:rPr>
            </w:r>
            <w:r w:rsidR="00C42BBC">
              <w:rPr>
                <w:noProof/>
                <w:webHidden/>
              </w:rPr>
              <w:fldChar w:fldCharType="separate"/>
            </w:r>
            <w:r w:rsidR="00C42BBC">
              <w:rPr>
                <w:noProof/>
                <w:webHidden/>
              </w:rPr>
              <w:t>174</w:t>
            </w:r>
            <w:r w:rsidR="00C42BBC">
              <w:rPr>
                <w:noProof/>
                <w:webHidden/>
              </w:rPr>
              <w:fldChar w:fldCharType="end"/>
            </w:r>
          </w:hyperlink>
        </w:p>
        <w:p w14:paraId="6C3D5139" w14:textId="2FEF4965" w:rsidR="00C42BBC" w:rsidRDefault="00062E07">
          <w:pPr>
            <w:pStyle w:val="TOC2"/>
            <w:tabs>
              <w:tab w:val="left" w:pos="880"/>
              <w:tab w:val="right" w:leader="dot" w:pos="9564"/>
            </w:tabs>
            <w:rPr>
              <w:rFonts w:asciiTheme="minorHAnsi" w:hAnsiTheme="minorHAnsi"/>
              <w:noProof/>
              <w:color w:val="auto"/>
              <w:kern w:val="2"/>
              <w:sz w:val="24"/>
              <w:szCs w:val="24"/>
              <w14:ligatures w14:val="standardContextual"/>
            </w:rPr>
          </w:pPr>
          <w:hyperlink w:anchor="_Toc182302361" w:history="1">
            <w:r w:rsidR="00C42BBC" w:rsidRPr="004953FD">
              <w:rPr>
                <w:rStyle w:val="Hyperlink"/>
                <w:noProof/>
              </w:rPr>
              <w:t>5.3</w:t>
            </w:r>
            <w:r w:rsidR="00C42BBC">
              <w:rPr>
                <w:rFonts w:asciiTheme="minorHAnsi" w:hAnsiTheme="minorHAnsi"/>
                <w:noProof/>
                <w:color w:val="auto"/>
                <w:kern w:val="2"/>
                <w:sz w:val="24"/>
                <w:szCs w:val="24"/>
                <w14:ligatures w14:val="standardContextual"/>
              </w:rPr>
              <w:tab/>
            </w:r>
            <w:r w:rsidR="00C42BBC" w:rsidRPr="004953FD">
              <w:rPr>
                <w:rStyle w:val="Hyperlink"/>
                <w:noProof/>
              </w:rPr>
              <w:t>Pasqyra e përgjithshme e nevojave për investime</w:t>
            </w:r>
            <w:r w:rsidR="00C42BBC">
              <w:rPr>
                <w:noProof/>
                <w:webHidden/>
              </w:rPr>
              <w:tab/>
            </w:r>
            <w:r w:rsidR="00C42BBC">
              <w:rPr>
                <w:noProof/>
                <w:webHidden/>
              </w:rPr>
              <w:fldChar w:fldCharType="begin"/>
            </w:r>
            <w:r w:rsidR="00C42BBC">
              <w:rPr>
                <w:noProof/>
                <w:webHidden/>
              </w:rPr>
              <w:instrText xml:space="preserve"> PAGEREF _Toc182302361 \h </w:instrText>
            </w:r>
            <w:r w:rsidR="00C42BBC">
              <w:rPr>
                <w:noProof/>
                <w:webHidden/>
              </w:rPr>
            </w:r>
            <w:r w:rsidR="00C42BBC">
              <w:rPr>
                <w:noProof/>
                <w:webHidden/>
              </w:rPr>
              <w:fldChar w:fldCharType="separate"/>
            </w:r>
            <w:r w:rsidR="00C42BBC">
              <w:rPr>
                <w:noProof/>
                <w:webHidden/>
              </w:rPr>
              <w:t>175</w:t>
            </w:r>
            <w:r w:rsidR="00C42BBC">
              <w:rPr>
                <w:noProof/>
                <w:webHidden/>
              </w:rPr>
              <w:fldChar w:fldCharType="end"/>
            </w:r>
          </w:hyperlink>
        </w:p>
        <w:p w14:paraId="0761D7D8" w14:textId="131AF7D6" w:rsidR="00C42BBC" w:rsidRDefault="00062E07">
          <w:pPr>
            <w:pStyle w:val="TOC3"/>
            <w:rPr>
              <w:rFonts w:asciiTheme="minorHAnsi" w:hAnsiTheme="minorHAnsi"/>
              <w:noProof/>
              <w:color w:val="auto"/>
              <w:kern w:val="2"/>
              <w:sz w:val="24"/>
              <w:szCs w:val="24"/>
              <w14:ligatures w14:val="standardContextual"/>
            </w:rPr>
          </w:pPr>
          <w:hyperlink w:anchor="_Toc182302362" w:history="1">
            <w:r w:rsidR="00C42BBC" w:rsidRPr="004953FD">
              <w:rPr>
                <w:rStyle w:val="Hyperlink"/>
                <w:rFonts w:cs="Times New Roman"/>
                <w:noProof/>
              </w:rPr>
              <w:t>I.</w:t>
            </w:r>
            <w:r w:rsidR="00C42BBC">
              <w:rPr>
                <w:rFonts w:asciiTheme="minorHAnsi" w:hAnsiTheme="minorHAnsi"/>
                <w:noProof/>
                <w:color w:val="auto"/>
                <w:kern w:val="2"/>
                <w:sz w:val="24"/>
                <w:szCs w:val="24"/>
                <w14:ligatures w14:val="standardContextual"/>
              </w:rPr>
              <w:tab/>
            </w:r>
            <w:r w:rsidR="00C42BBC" w:rsidRPr="004953FD">
              <w:rPr>
                <w:rStyle w:val="Hyperlink"/>
                <w:noProof/>
              </w:rPr>
              <w:t>Flukset ekzistuese të investimeve dhe supozimet e ardhshme të investimeve në lidhje me politikat dhe masat e planifikuara</w:t>
            </w:r>
            <w:r w:rsidR="00C42BBC">
              <w:rPr>
                <w:noProof/>
                <w:webHidden/>
              </w:rPr>
              <w:tab/>
            </w:r>
            <w:r w:rsidR="00C42BBC">
              <w:rPr>
                <w:noProof/>
                <w:webHidden/>
              </w:rPr>
              <w:fldChar w:fldCharType="begin"/>
            </w:r>
            <w:r w:rsidR="00C42BBC">
              <w:rPr>
                <w:noProof/>
                <w:webHidden/>
              </w:rPr>
              <w:instrText xml:space="preserve"> PAGEREF _Toc182302362 \h </w:instrText>
            </w:r>
            <w:r w:rsidR="00C42BBC">
              <w:rPr>
                <w:noProof/>
                <w:webHidden/>
              </w:rPr>
            </w:r>
            <w:r w:rsidR="00C42BBC">
              <w:rPr>
                <w:noProof/>
                <w:webHidden/>
              </w:rPr>
              <w:fldChar w:fldCharType="separate"/>
            </w:r>
            <w:r w:rsidR="00C42BBC">
              <w:rPr>
                <w:noProof/>
                <w:webHidden/>
              </w:rPr>
              <w:t>175</w:t>
            </w:r>
            <w:r w:rsidR="00C42BBC">
              <w:rPr>
                <w:noProof/>
                <w:webHidden/>
              </w:rPr>
              <w:fldChar w:fldCharType="end"/>
            </w:r>
          </w:hyperlink>
        </w:p>
        <w:p w14:paraId="4FA22EBE" w14:textId="422757BF" w:rsidR="00C42BBC" w:rsidRDefault="00062E07">
          <w:pPr>
            <w:pStyle w:val="TOC3"/>
            <w:rPr>
              <w:rFonts w:asciiTheme="minorHAnsi" w:hAnsiTheme="minorHAnsi"/>
              <w:noProof/>
              <w:color w:val="auto"/>
              <w:kern w:val="2"/>
              <w:sz w:val="24"/>
              <w:szCs w:val="24"/>
              <w14:ligatures w14:val="standardContextual"/>
            </w:rPr>
          </w:pPr>
          <w:hyperlink w:anchor="_Toc182302363" w:history="1">
            <w:r w:rsidR="00C42BBC" w:rsidRPr="004953FD">
              <w:rPr>
                <w:rStyle w:val="Hyperlink"/>
                <w:rFonts w:cs="Times New Roman"/>
                <w:noProof/>
              </w:rPr>
              <w:t>II.</w:t>
            </w:r>
            <w:r w:rsidR="00C42BBC">
              <w:rPr>
                <w:rFonts w:asciiTheme="minorHAnsi" w:hAnsiTheme="minorHAnsi"/>
                <w:noProof/>
                <w:color w:val="auto"/>
                <w:kern w:val="2"/>
                <w:sz w:val="24"/>
                <w:szCs w:val="24"/>
                <w14:ligatures w14:val="standardContextual"/>
              </w:rPr>
              <w:tab/>
            </w:r>
            <w:r w:rsidR="00C42BBC" w:rsidRPr="004953FD">
              <w:rPr>
                <w:rStyle w:val="Hyperlink"/>
                <w:noProof/>
              </w:rPr>
              <w:t>Faktorët ose pengesat e rrezikut të sektorit ose të tregut në kontekstin kombëtar ose rajonal</w:t>
            </w:r>
            <w:r w:rsidR="00C42BBC">
              <w:rPr>
                <w:noProof/>
                <w:webHidden/>
              </w:rPr>
              <w:tab/>
            </w:r>
            <w:r w:rsidR="00C42BBC">
              <w:rPr>
                <w:noProof/>
                <w:webHidden/>
              </w:rPr>
              <w:fldChar w:fldCharType="begin"/>
            </w:r>
            <w:r w:rsidR="00C42BBC">
              <w:rPr>
                <w:noProof/>
                <w:webHidden/>
              </w:rPr>
              <w:instrText xml:space="preserve"> PAGEREF _Toc182302363 \h </w:instrText>
            </w:r>
            <w:r w:rsidR="00C42BBC">
              <w:rPr>
                <w:noProof/>
                <w:webHidden/>
              </w:rPr>
            </w:r>
            <w:r w:rsidR="00C42BBC">
              <w:rPr>
                <w:noProof/>
                <w:webHidden/>
              </w:rPr>
              <w:fldChar w:fldCharType="separate"/>
            </w:r>
            <w:r w:rsidR="00C42BBC">
              <w:rPr>
                <w:noProof/>
                <w:webHidden/>
              </w:rPr>
              <w:t>178</w:t>
            </w:r>
            <w:r w:rsidR="00C42BBC">
              <w:rPr>
                <w:noProof/>
                <w:webHidden/>
              </w:rPr>
              <w:fldChar w:fldCharType="end"/>
            </w:r>
          </w:hyperlink>
        </w:p>
        <w:p w14:paraId="1BE80E7C" w14:textId="0C3FADD2" w:rsidR="00C42BBC" w:rsidRDefault="00062E07">
          <w:pPr>
            <w:pStyle w:val="TOC3"/>
            <w:rPr>
              <w:rFonts w:asciiTheme="minorHAnsi" w:hAnsiTheme="minorHAnsi"/>
              <w:noProof/>
              <w:color w:val="auto"/>
              <w:kern w:val="2"/>
              <w:sz w:val="24"/>
              <w:szCs w:val="24"/>
              <w14:ligatures w14:val="standardContextual"/>
            </w:rPr>
          </w:pPr>
          <w:hyperlink w:anchor="_Toc182302364" w:history="1">
            <w:r w:rsidR="00C42BBC" w:rsidRPr="004953FD">
              <w:rPr>
                <w:rStyle w:val="Hyperlink"/>
                <w:rFonts w:cs="Times New Roman"/>
                <w:noProof/>
              </w:rPr>
              <w:t>III.</w:t>
            </w:r>
            <w:r w:rsidR="00C42BBC">
              <w:rPr>
                <w:rFonts w:asciiTheme="minorHAnsi" w:hAnsiTheme="minorHAnsi"/>
                <w:noProof/>
                <w:color w:val="auto"/>
                <w:kern w:val="2"/>
                <w:sz w:val="24"/>
                <w:szCs w:val="24"/>
                <w14:ligatures w14:val="standardContextual"/>
              </w:rPr>
              <w:tab/>
            </w:r>
            <w:r w:rsidR="00C42BBC" w:rsidRPr="004953FD">
              <w:rPr>
                <w:rStyle w:val="Hyperlink"/>
                <w:noProof/>
              </w:rPr>
              <w:t>Analiza e mbështetjes shtesë të financave publike ose burimeve për të plotësuar boshllëqet e identifikuara.</w:t>
            </w:r>
            <w:r w:rsidR="00C42BBC">
              <w:rPr>
                <w:noProof/>
                <w:webHidden/>
              </w:rPr>
              <w:tab/>
            </w:r>
            <w:r w:rsidR="00C42BBC">
              <w:rPr>
                <w:noProof/>
                <w:webHidden/>
              </w:rPr>
              <w:fldChar w:fldCharType="begin"/>
            </w:r>
            <w:r w:rsidR="00C42BBC">
              <w:rPr>
                <w:noProof/>
                <w:webHidden/>
              </w:rPr>
              <w:instrText xml:space="preserve"> PAGEREF _Toc182302364 \h </w:instrText>
            </w:r>
            <w:r w:rsidR="00C42BBC">
              <w:rPr>
                <w:noProof/>
                <w:webHidden/>
              </w:rPr>
            </w:r>
            <w:r w:rsidR="00C42BBC">
              <w:rPr>
                <w:noProof/>
                <w:webHidden/>
              </w:rPr>
              <w:fldChar w:fldCharType="separate"/>
            </w:r>
            <w:r w:rsidR="00C42BBC">
              <w:rPr>
                <w:noProof/>
                <w:webHidden/>
              </w:rPr>
              <w:t>179</w:t>
            </w:r>
            <w:r w:rsidR="00C42BBC">
              <w:rPr>
                <w:noProof/>
                <w:webHidden/>
              </w:rPr>
              <w:fldChar w:fldCharType="end"/>
            </w:r>
          </w:hyperlink>
        </w:p>
        <w:p w14:paraId="30806E42" w14:textId="6460CCBF" w:rsidR="00C42BBC" w:rsidRDefault="00062E07">
          <w:pPr>
            <w:pStyle w:val="TOC2"/>
            <w:tabs>
              <w:tab w:val="left" w:pos="880"/>
              <w:tab w:val="right" w:leader="dot" w:pos="9564"/>
            </w:tabs>
            <w:rPr>
              <w:rFonts w:asciiTheme="minorHAnsi" w:hAnsiTheme="minorHAnsi"/>
              <w:noProof/>
              <w:color w:val="auto"/>
              <w:kern w:val="2"/>
              <w:sz w:val="24"/>
              <w:szCs w:val="24"/>
              <w14:ligatures w14:val="standardContextual"/>
            </w:rPr>
          </w:pPr>
          <w:hyperlink w:anchor="_Toc182302365" w:history="1">
            <w:r w:rsidR="00C42BBC" w:rsidRPr="004953FD">
              <w:rPr>
                <w:rStyle w:val="Hyperlink"/>
                <w:noProof/>
              </w:rPr>
              <w:t>5.4</w:t>
            </w:r>
            <w:r w:rsidR="00C42BBC">
              <w:rPr>
                <w:rFonts w:asciiTheme="minorHAnsi" w:hAnsiTheme="minorHAnsi"/>
                <w:noProof/>
                <w:color w:val="auto"/>
                <w:kern w:val="2"/>
                <w:sz w:val="24"/>
                <w:szCs w:val="24"/>
                <w14:ligatures w14:val="standardContextual"/>
              </w:rPr>
              <w:tab/>
            </w:r>
            <w:r w:rsidR="00C42BBC" w:rsidRPr="004953FD">
              <w:rPr>
                <w:rStyle w:val="Hyperlink"/>
                <w:noProof/>
              </w:rPr>
              <w:t>Ndikimet e politikave dhe masave të planifikuara në palët e tjera kontraktuese dhe/ose shtetet anëtare të Bashkimit Evropian</w:t>
            </w:r>
            <w:r w:rsidR="00C42BBC">
              <w:rPr>
                <w:noProof/>
                <w:webHidden/>
              </w:rPr>
              <w:tab/>
            </w:r>
            <w:r w:rsidR="00C42BBC">
              <w:rPr>
                <w:noProof/>
                <w:webHidden/>
              </w:rPr>
              <w:fldChar w:fldCharType="begin"/>
            </w:r>
            <w:r w:rsidR="00C42BBC">
              <w:rPr>
                <w:noProof/>
                <w:webHidden/>
              </w:rPr>
              <w:instrText xml:space="preserve"> PAGEREF _Toc182302365 \h </w:instrText>
            </w:r>
            <w:r w:rsidR="00C42BBC">
              <w:rPr>
                <w:noProof/>
                <w:webHidden/>
              </w:rPr>
            </w:r>
            <w:r w:rsidR="00C42BBC">
              <w:rPr>
                <w:noProof/>
                <w:webHidden/>
              </w:rPr>
              <w:fldChar w:fldCharType="separate"/>
            </w:r>
            <w:r w:rsidR="00C42BBC">
              <w:rPr>
                <w:noProof/>
                <w:webHidden/>
              </w:rPr>
              <w:t>180</w:t>
            </w:r>
            <w:r w:rsidR="00C42BBC">
              <w:rPr>
                <w:noProof/>
                <w:webHidden/>
              </w:rPr>
              <w:fldChar w:fldCharType="end"/>
            </w:r>
          </w:hyperlink>
        </w:p>
        <w:p w14:paraId="4A12B131" w14:textId="61AC36CB" w:rsidR="00C42BBC" w:rsidRDefault="00062E07">
          <w:pPr>
            <w:pStyle w:val="TOC3"/>
            <w:rPr>
              <w:rFonts w:asciiTheme="minorHAnsi" w:hAnsiTheme="minorHAnsi"/>
              <w:noProof/>
              <w:color w:val="auto"/>
              <w:kern w:val="2"/>
              <w:sz w:val="24"/>
              <w:szCs w:val="24"/>
              <w14:ligatures w14:val="standardContextual"/>
            </w:rPr>
          </w:pPr>
          <w:hyperlink w:anchor="_Toc182302366" w:history="1">
            <w:r w:rsidR="00C42BBC" w:rsidRPr="004953FD">
              <w:rPr>
                <w:rStyle w:val="Hyperlink"/>
                <w:rFonts w:cs="Times New Roman"/>
                <w:noProof/>
              </w:rPr>
              <w:t>I.</w:t>
            </w:r>
            <w:r w:rsidR="00C42BBC">
              <w:rPr>
                <w:rFonts w:asciiTheme="minorHAnsi" w:hAnsiTheme="minorHAnsi"/>
                <w:noProof/>
                <w:color w:val="auto"/>
                <w:kern w:val="2"/>
                <w:sz w:val="24"/>
                <w:szCs w:val="24"/>
                <w14:ligatures w14:val="standardContextual"/>
              </w:rPr>
              <w:tab/>
            </w:r>
            <w:r w:rsidR="00C42BBC" w:rsidRPr="004953FD">
              <w:rPr>
                <w:rStyle w:val="Hyperlink"/>
                <w:noProof/>
              </w:rPr>
              <w:t>Ndikimet në sistemin energjetik në vendet fqinje dhe palët tjera kontraktuese dhe/ose shtetet anëtare të Bashkimit Evropian në rajon</w:t>
            </w:r>
            <w:r w:rsidR="00C42BBC">
              <w:rPr>
                <w:noProof/>
                <w:webHidden/>
              </w:rPr>
              <w:tab/>
            </w:r>
            <w:r w:rsidR="00C42BBC">
              <w:rPr>
                <w:noProof/>
                <w:webHidden/>
              </w:rPr>
              <w:fldChar w:fldCharType="begin"/>
            </w:r>
            <w:r w:rsidR="00C42BBC">
              <w:rPr>
                <w:noProof/>
                <w:webHidden/>
              </w:rPr>
              <w:instrText xml:space="preserve"> PAGEREF _Toc182302366 \h </w:instrText>
            </w:r>
            <w:r w:rsidR="00C42BBC">
              <w:rPr>
                <w:noProof/>
                <w:webHidden/>
              </w:rPr>
            </w:r>
            <w:r w:rsidR="00C42BBC">
              <w:rPr>
                <w:noProof/>
                <w:webHidden/>
              </w:rPr>
              <w:fldChar w:fldCharType="separate"/>
            </w:r>
            <w:r w:rsidR="00C42BBC">
              <w:rPr>
                <w:noProof/>
                <w:webHidden/>
              </w:rPr>
              <w:t>180</w:t>
            </w:r>
            <w:r w:rsidR="00C42BBC">
              <w:rPr>
                <w:noProof/>
                <w:webHidden/>
              </w:rPr>
              <w:fldChar w:fldCharType="end"/>
            </w:r>
          </w:hyperlink>
        </w:p>
        <w:p w14:paraId="4A248F20" w14:textId="192428EE" w:rsidR="00C42BBC" w:rsidRDefault="00062E07">
          <w:pPr>
            <w:pStyle w:val="TOC3"/>
            <w:rPr>
              <w:rFonts w:asciiTheme="minorHAnsi" w:hAnsiTheme="minorHAnsi"/>
              <w:noProof/>
              <w:color w:val="auto"/>
              <w:kern w:val="2"/>
              <w:sz w:val="24"/>
              <w:szCs w:val="24"/>
              <w14:ligatures w14:val="standardContextual"/>
            </w:rPr>
          </w:pPr>
          <w:hyperlink w:anchor="_Toc182302367" w:history="1">
            <w:r w:rsidR="00C42BBC" w:rsidRPr="004953FD">
              <w:rPr>
                <w:rStyle w:val="Hyperlink"/>
                <w:rFonts w:cs="Times New Roman"/>
                <w:noProof/>
              </w:rPr>
              <w:t>II.</w:t>
            </w:r>
            <w:r w:rsidR="00C42BBC">
              <w:rPr>
                <w:rFonts w:asciiTheme="minorHAnsi" w:hAnsiTheme="minorHAnsi"/>
                <w:noProof/>
                <w:color w:val="auto"/>
                <w:kern w:val="2"/>
                <w:sz w:val="24"/>
                <w:szCs w:val="24"/>
                <w14:ligatures w14:val="standardContextual"/>
              </w:rPr>
              <w:tab/>
            </w:r>
            <w:r w:rsidR="00C42BBC" w:rsidRPr="004953FD">
              <w:rPr>
                <w:rStyle w:val="Hyperlink"/>
                <w:noProof/>
              </w:rPr>
              <w:t>Ndikimet në çmimet e energjisë, shërbimet komunale dhe integrimin e tregut energjetik</w:t>
            </w:r>
            <w:r w:rsidR="00C42BBC">
              <w:rPr>
                <w:noProof/>
                <w:webHidden/>
              </w:rPr>
              <w:tab/>
            </w:r>
            <w:r w:rsidR="00C42BBC">
              <w:rPr>
                <w:noProof/>
                <w:webHidden/>
              </w:rPr>
              <w:fldChar w:fldCharType="begin"/>
            </w:r>
            <w:r w:rsidR="00C42BBC">
              <w:rPr>
                <w:noProof/>
                <w:webHidden/>
              </w:rPr>
              <w:instrText xml:space="preserve"> PAGEREF _Toc182302367 \h </w:instrText>
            </w:r>
            <w:r w:rsidR="00C42BBC">
              <w:rPr>
                <w:noProof/>
                <w:webHidden/>
              </w:rPr>
            </w:r>
            <w:r w:rsidR="00C42BBC">
              <w:rPr>
                <w:noProof/>
                <w:webHidden/>
              </w:rPr>
              <w:fldChar w:fldCharType="separate"/>
            </w:r>
            <w:r w:rsidR="00C42BBC">
              <w:rPr>
                <w:noProof/>
                <w:webHidden/>
              </w:rPr>
              <w:t>180</w:t>
            </w:r>
            <w:r w:rsidR="00C42BBC">
              <w:rPr>
                <w:noProof/>
                <w:webHidden/>
              </w:rPr>
              <w:fldChar w:fldCharType="end"/>
            </w:r>
          </w:hyperlink>
        </w:p>
        <w:p w14:paraId="77938ECC" w14:textId="5C8BB39B" w:rsidR="00C42BBC" w:rsidRDefault="00062E07">
          <w:pPr>
            <w:pStyle w:val="TOC3"/>
            <w:rPr>
              <w:rFonts w:asciiTheme="minorHAnsi" w:hAnsiTheme="minorHAnsi"/>
              <w:noProof/>
              <w:color w:val="auto"/>
              <w:kern w:val="2"/>
              <w:sz w:val="24"/>
              <w:szCs w:val="24"/>
              <w14:ligatures w14:val="standardContextual"/>
            </w:rPr>
          </w:pPr>
          <w:hyperlink w:anchor="_Toc182302368" w:history="1">
            <w:r w:rsidR="00C42BBC" w:rsidRPr="004953FD">
              <w:rPr>
                <w:rStyle w:val="Hyperlink"/>
                <w:rFonts w:cs="Times New Roman"/>
                <w:noProof/>
              </w:rPr>
              <w:t>III.</w:t>
            </w:r>
            <w:r w:rsidR="00C42BBC">
              <w:rPr>
                <w:rFonts w:asciiTheme="minorHAnsi" w:hAnsiTheme="minorHAnsi"/>
                <w:noProof/>
                <w:color w:val="auto"/>
                <w:kern w:val="2"/>
                <w:sz w:val="24"/>
                <w:szCs w:val="24"/>
                <w14:ligatures w14:val="standardContextual"/>
              </w:rPr>
              <w:tab/>
            </w:r>
            <w:r w:rsidR="00C42BBC" w:rsidRPr="004953FD">
              <w:rPr>
                <w:rStyle w:val="Hyperlink"/>
                <w:noProof/>
              </w:rPr>
              <w:t>Ndikimet në bashkëpunimin rajonal</w:t>
            </w:r>
            <w:r w:rsidR="00C42BBC">
              <w:rPr>
                <w:noProof/>
                <w:webHidden/>
              </w:rPr>
              <w:tab/>
            </w:r>
            <w:r w:rsidR="00C42BBC">
              <w:rPr>
                <w:noProof/>
                <w:webHidden/>
              </w:rPr>
              <w:fldChar w:fldCharType="begin"/>
            </w:r>
            <w:r w:rsidR="00C42BBC">
              <w:rPr>
                <w:noProof/>
                <w:webHidden/>
              </w:rPr>
              <w:instrText xml:space="preserve"> PAGEREF _Toc182302368 \h </w:instrText>
            </w:r>
            <w:r w:rsidR="00C42BBC">
              <w:rPr>
                <w:noProof/>
                <w:webHidden/>
              </w:rPr>
            </w:r>
            <w:r w:rsidR="00C42BBC">
              <w:rPr>
                <w:noProof/>
                <w:webHidden/>
              </w:rPr>
              <w:fldChar w:fldCharType="separate"/>
            </w:r>
            <w:r w:rsidR="00C42BBC">
              <w:rPr>
                <w:noProof/>
                <w:webHidden/>
              </w:rPr>
              <w:t>181</w:t>
            </w:r>
            <w:r w:rsidR="00C42BBC">
              <w:rPr>
                <w:noProof/>
                <w:webHidden/>
              </w:rPr>
              <w:fldChar w:fldCharType="end"/>
            </w:r>
          </w:hyperlink>
        </w:p>
        <w:p w14:paraId="76575483" w14:textId="72DA0F95" w:rsidR="00130A52" w:rsidRPr="00976D33" w:rsidRDefault="00130A52">
          <w:r w:rsidRPr="00976D33">
            <w:rPr>
              <w:b/>
            </w:rPr>
            <w:fldChar w:fldCharType="end"/>
          </w:r>
        </w:p>
      </w:sdtContent>
    </w:sdt>
    <w:p w14:paraId="0F522D37" w14:textId="77777777" w:rsidR="00130A52" w:rsidRPr="00976D33" w:rsidRDefault="00130A52" w:rsidP="00130A52">
      <w:pPr>
        <w:pStyle w:val="Heading1"/>
        <w:numPr>
          <w:ilvl w:val="0"/>
          <w:numId w:val="0"/>
        </w:numPr>
        <w:ind w:left="432"/>
      </w:pPr>
      <w:r>
        <w:br w:type="page"/>
      </w:r>
    </w:p>
    <w:p w14:paraId="5E9D41C3" w14:textId="77777777" w:rsidR="00130A52" w:rsidRPr="00976D33" w:rsidRDefault="00130A52" w:rsidP="0094764D">
      <w:pPr>
        <w:pStyle w:val="Heading1"/>
        <w:numPr>
          <w:ilvl w:val="0"/>
          <w:numId w:val="0"/>
        </w:numPr>
        <w:rPr>
          <w:sz w:val="32"/>
          <w:szCs w:val="18"/>
        </w:rPr>
      </w:pPr>
      <w:bookmarkStart w:id="1" w:name="_Toc182302241"/>
      <w:r>
        <w:rPr>
          <w:sz w:val="32"/>
        </w:rPr>
        <w:lastRenderedPageBreak/>
        <w:t>Lista e figurave</w:t>
      </w:r>
      <w:bookmarkEnd w:id="1"/>
    </w:p>
    <w:p w14:paraId="0E921555" w14:textId="6E51DF88" w:rsidR="0037748E" w:rsidRDefault="00130A52">
      <w:pPr>
        <w:pStyle w:val="TableofFigures"/>
        <w:tabs>
          <w:tab w:val="right" w:leader="dot" w:pos="9564"/>
        </w:tabs>
        <w:rPr>
          <w:rFonts w:asciiTheme="minorHAnsi" w:hAnsiTheme="minorHAnsi"/>
          <w:noProof/>
          <w:color w:val="auto"/>
          <w:kern w:val="2"/>
          <w:sz w:val="24"/>
          <w:szCs w:val="24"/>
          <w:lang w:val="en-US"/>
          <w14:ligatures w14:val="standardContextual"/>
        </w:rPr>
      </w:pPr>
      <w:r w:rsidRPr="00976D33">
        <w:fldChar w:fldCharType="begin"/>
      </w:r>
      <w:r w:rsidRPr="00976D33">
        <w:instrText xml:space="preserve"> TOC \h \z \c "Figure" </w:instrText>
      </w:r>
      <w:r w:rsidRPr="00976D33">
        <w:fldChar w:fldCharType="separate"/>
      </w:r>
      <w:hyperlink w:anchor="_Toc181867204" w:history="1">
        <w:r w:rsidR="0037748E" w:rsidRPr="00707013">
          <w:rPr>
            <w:rStyle w:val="Hyperlink"/>
            <w:noProof/>
          </w:rPr>
          <w:t>Figura 1. Pasqyra e përgjithshme e performancës së implementimit nga palët kontraktuese</w:t>
        </w:r>
        <w:r w:rsidR="0037748E">
          <w:rPr>
            <w:noProof/>
            <w:webHidden/>
          </w:rPr>
          <w:tab/>
        </w:r>
        <w:r w:rsidR="0037748E">
          <w:rPr>
            <w:noProof/>
            <w:webHidden/>
          </w:rPr>
          <w:fldChar w:fldCharType="begin"/>
        </w:r>
        <w:r w:rsidR="0037748E">
          <w:rPr>
            <w:noProof/>
            <w:webHidden/>
          </w:rPr>
          <w:instrText xml:space="preserve"> PAGEREF _Toc181867204 \h </w:instrText>
        </w:r>
        <w:r w:rsidR="0037748E">
          <w:rPr>
            <w:noProof/>
            <w:webHidden/>
          </w:rPr>
        </w:r>
        <w:r w:rsidR="0037748E">
          <w:rPr>
            <w:noProof/>
            <w:webHidden/>
          </w:rPr>
          <w:fldChar w:fldCharType="separate"/>
        </w:r>
        <w:r w:rsidR="003B7FFA">
          <w:rPr>
            <w:noProof/>
            <w:webHidden/>
          </w:rPr>
          <w:t>18</w:t>
        </w:r>
        <w:r w:rsidR="0037748E">
          <w:rPr>
            <w:noProof/>
            <w:webHidden/>
          </w:rPr>
          <w:fldChar w:fldCharType="end"/>
        </w:r>
      </w:hyperlink>
    </w:p>
    <w:p w14:paraId="1549267D" w14:textId="5B4DA9BA"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05" w:history="1">
        <w:r w:rsidR="0037748E" w:rsidRPr="00707013">
          <w:rPr>
            <w:rStyle w:val="Hyperlink"/>
            <w:noProof/>
          </w:rPr>
          <w:t>Figura 2. BPV për kokë banori në Kosovë (USD/kokë banori)</w:t>
        </w:r>
        <w:r w:rsidR="0037748E">
          <w:rPr>
            <w:noProof/>
            <w:webHidden/>
          </w:rPr>
          <w:tab/>
        </w:r>
        <w:r w:rsidR="0037748E">
          <w:rPr>
            <w:noProof/>
            <w:webHidden/>
          </w:rPr>
          <w:fldChar w:fldCharType="begin"/>
        </w:r>
        <w:r w:rsidR="0037748E">
          <w:rPr>
            <w:noProof/>
            <w:webHidden/>
          </w:rPr>
          <w:instrText xml:space="preserve"> PAGEREF _Toc181867205 \h </w:instrText>
        </w:r>
        <w:r w:rsidR="0037748E">
          <w:rPr>
            <w:noProof/>
            <w:webHidden/>
          </w:rPr>
        </w:r>
        <w:r w:rsidR="0037748E">
          <w:rPr>
            <w:noProof/>
            <w:webHidden/>
          </w:rPr>
          <w:fldChar w:fldCharType="separate"/>
        </w:r>
        <w:r w:rsidR="003B7FFA">
          <w:rPr>
            <w:noProof/>
            <w:webHidden/>
          </w:rPr>
          <w:t>19</w:t>
        </w:r>
        <w:r w:rsidR="0037748E">
          <w:rPr>
            <w:noProof/>
            <w:webHidden/>
          </w:rPr>
          <w:fldChar w:fldCharType="end"/>
        </w:r>
      </w:hyperlink>
    </w:p>
    <w:p w14:paraId="32563D43" w14:textId="2153115D"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06" w:history="1">
        <w:r w:rsidR="0037748E" w:rsidRPr="00707013">
          <w:rPr>
            <w:rStyle w:val="Hyperlink"/>
            <w:noProof/>
          </w:rPr>
          <w:t>Figura 3. BPV për kokë banori në shtetet e BP6 dhe ato të BE-së nga Ballkani, 2021 (USD/për kokë banori)</w:t>
        </w:r>
        <w:r w:rsidR="0037748E">
          <w:rPr>
            <w:noProof/>
            <w:webHidden/>
          </w:rPr>
          <w:tab/>
        </w:r>
        <w:r w:rsidR="0037748E">
          <w:rPr>
            <w:noProof/>
            <w:webHidden/>
          </w:rPr>
          <w:fldChar w:fldCharType="begin"/>
        </w:r>
        <w:r w:rsidR="0037748E">
          <w:rPr>
            <w:noProof/>
            <w:webHidden/>
          </w:rPr>
          <w:instrText xml:space="preserve"> PAGEREF _Toc181867206 \h </w:instrText>
        </w:r>
        <w:r w:rsidR="0037748E">
          <w:rPr>
            <w:noProof/>
            <w:webHidden/>
          </w:rPr>
        </w:r>
        <w:r w:rsidR="0037748E">
          <w:rPr>
            <w:noProof/>
            <w:webHidden/>
          </w:rPr>
          <w:fldChar w:fldCharType="separate"/>
        </w:r>
        <w:r w:rsidR="003B7FFA">
          <w:rPr>
            <w:noProof/>
            <w:webHidden/>
          </w:rPr>
          <w:t>19</w:t>
        </w:r>
        <w:r w:rsidR="0037748E">
          <w:rPr>
            <w:noProof/>
            <w:webHidden/>
          </w:rPr>
          <w:fldChar w:fldCharType="end"/>
        </w:r>
      </w:hyperlink>
    </w:p>
    <w:p w14:paraId="3179017E" w14:textId="146DCF82"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07" w:history="1">
        <w:r w:rsidR="0037748E" w:rsidRPr="00707013">
          <w:rPr>
            <w:rStyle w:val="Hyperlink"/>
            <w:noProof/>
          </w:rPr>
          <w:t>Figura 4 Shkalla e papunësisë në Kosovë, 2012 – 2023, %</w:t>
        </w:r>
        <w:r w:rsidR="0037748E">
          <w:rPr>
            <w:noProof/>
            <w:webHidden/>
          </w:rPr>
          <w:tab/>
        </w:r>
        <w:r w:rsidR="0037748E">
          <w:rPr>
            <w:noProof/>
            <w:webHidden/>
          </w:rPr>
          <w:fldChar w:fldCharType="begin"/>
        </w:r>
        <w:r w:rsidR="0037748E">
          <w:rPr>
            <w:noProof/>
            <w:webHidden/>
          </w:rPr>
          <w:instrText xml:space="preserve"> PAGEREF _Toc181867207 \h </w:instrText>
        </w:r>
        <w:r w:rsidR="0037748E">
          <w:rPr>
            <w:noProof/>
            <w:webHidden/>
          </w:rPr>
        </w:r>
        <w:r w:rsidR="0037748E">
          <w:rPr>
            <w:noProof/>
            <w:webHidden/>
          </w:rPr>
          <w:fldChar w:fldCharType="separate"/>
        </w:r>
        <w:r w:rsidR="003B7FFA">
          <w:rPr>
            <w:noProof/>
            <w:webHidden/>
          </w:rPr>
          <w:t>19</w:t>
        </w:r>
        <w:r w:rsidR="0037748E">
          <w:rPr>
            <w:noProof/>
            <w:webHidden/>
          </w:rPr>
          <w:fldChar w:fldCharType="end"/>
        </w:r>
      </w:hyperlink>
    </w:p>
    <w:p w14:paraId="0A3B0390" w14:textId="49132F6F"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08" w:history="1">
        <w:r w:rsidR="0037748E" w:rsidRPr="00707013">
          <w:rPr>
            <w:rStyle w:val="Hyperlink"/>
            <w:noProof/>
          </w:rPr>
          <w:t>Figura 5 Shkalla e papunësisë në shtetet e BP6 dhe ato të BE-së nga Ballkani, 2023 %</w:t>
        </w:r>
        <w:r w:rsidR="0037748E">
          <w:rPr>
            <w:noProof/>
            <w:webHidden/>
          </w:rPr>
          <w:tab/>
        </w:r>
        <w:r w:rsidR="0037748E">
          <w:rPr>
            <w:noProof/>
            <w:webHidden/>
          </w:rPr>
          <w:fldChar w:fldCharType="begin"/>
        </w:r>
        <w:r w:rsidR="0037748E">
          <w:rPr>
            <w:noProof/>
            <w:webHidden/>
          </w:rPr>
          <w:instrText xml:space="preserve"> PAGEREF _Toc181867208 \h </w:instrText>
        </w:r>
        <w:r w:rsidR="0037748E">
          <w:rPr>
            <w:noProof/>
            <w:webHidden/>
          </w:rPr>
        </w:r>
        <w:r w:rsidR="0037748E">
          <w:rPr>
            <w:noProof/>
            <w:webHidden/>
          </w:rPr>
          <w:fldChar w:fldCharType="separate"/>
        </w:r>
        <w:r w:rsidR="003B7FFA">
          <w:rPr>
            <w:noProof/>
            <w:webHidden/>
          </w:rPr>
          <w:t>19</w:t>
        </w:r>
        <w:r w:rsidR="0037748E">
          <w:rPr>
            <w:noProof/>
            <w:webHidden/>
          </w:rPr>
          <w:fldChar w:fldCharType="end"/>
        </w:r>
      </w:hyperlink>
    </w:p>
    <w:p w14:paraId="1504550D" w14:textId="7097E88E"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09" w:history="1">
        <w:r w:rsidR="0037748E" w:rsidRPr="00707013">
          <w:rPr>
            <w:rStyle w:val="Hyperlink"/>
            <w:noProof/>
          </w:rPr>
          <w:t>Figura 6. Investimet e huaja direkte në Kosovë, 2009 – 2023, milion. EUR</w:t>
        </w:r>
        <w:r w:rsidR="0037748E">
          <w:rPr>
            <w:noProof/>
            <w:webHidden/>
          </w:rPr>
          <w:tab/>
        </w:r>
        <w:r w:rsidR="0037748E">
          <w:rPr>
            <w:noProof/>
            <w:webHidden/>
          </w:rPr>
          <w:fldChar w:fldCharType="begin"/>
        </w:r>
        <w:r w:rsidR="0037748E">
          <w:rPr>
            <w:noProof/>
            <w:webHidden/>
          </w:rPr>
          <w:instrText xml:space="preserve"> PAGEREF _Toc181867209 \h </w:instrText>
        </w:r>
        <w:r w:rsidR="0037748E">
          <w:rPr>
            <w:noProof/>
            <w:webHidden/>
          </w:rPr>
        </w:r>
        <w:r w:rsidR="0037748E">
          <w:rPr>
            <w:noProof/>
            <w:webHidden/>
          </w:rPr>
          <w:fldChar w:fldCharType="separate"/>
        </w:r>
        <w:r w:rsidR="003B7FFA">
          <w:rPr>
            <w:noProof/>
            <w:webHidden/>
          </w:rPr>
          <w:t>20</w:t>
        </w:r>
        <w:r w:rsidR="0037748E">
          <w:rPr>
            <w:noProof/>
            <w:webHidden/>
          </w:rPr>
          <w:fldChar w:fldCharType="end"/>
        </w:r>
      </w:hyperlink>
    </w:p>
    <w:p w14:paraId="623F8DDE" w14:textId="31EFC0C4"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10" w:history="1">
        <w:r w:rsidR="0037748E" w:rsidRPr="00707013">
          <w:rPr>
            <w:rStyle w:val="Hyperlink"/>
            <w:noProof/>
          </w:rPr>
          <w:t>Figura 7. Rrugëtimi kombëtar lidhur me zhvillimin e qëndrueshëm</w:t>
        </w:r>
        <w:r w:rsidR="0037748E">
          <w:rPr>
            <w:noProof/>
            <w:webHidden/>
          </w:rPr>
          <w:tab/>
        </w:r>
        <w:r w:rsidR="0037748E">
          <w:rPr>
            <w:noProof/>
            <w:webHidden/>
          </w:rPr>
          <w:fldChar w:fldCharType="begin"/>
        </w:r>
        <w:r w:rsidR="0037748E">
          <w:rPr>
            <w:noProof/>
            <w:webHidden/>
          </w:rPr>
          <w:instrText xml:space="preserve"> PAGEREF _Toc181867210 \h </w:instrText>
        </w:r>
        <w:r w:rsidR="0037748E">
          <w:rPr>
            <w:noProof/>
            <w:webHidden/>
          </w:rPr>
        </w:r>
        <w:r w:rsidR="0037748E">
          <w:rPr>
            <w:noProof/>
            <w:webHidden/>
          </w:rPr>
          <w:fldChar w:fldCharType="separate"/>
        </w:r>
        <w:r w:rsidR="003B7FFA">
          <w:rPr>
            <w:noProof/>
            <w:webHidden/>
          </w:rPr>
          <w:t>22</w:t>
        </w:r>
        <w:r w:rsidR="0037748E">
          <w:rPr>
            <w:noProof/>
            <w:webHidden/>
          </w:rPr>
          <w:fldChar w:fldCharType="end"/>
        </w:r>
      </w:hyperlink>
    </w:p>
    <w:p w14:paraId="3B3255B1" w14:textId="32D35870"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11" w:history="1">
        <w:r w:rsidR="0037748E" w:rsidRPr="00707013">
          <w:rPr>
            <w:rStyle w:val="Hyperlink"/>
            <w:noProof/>
          </w:rPr>
          <w:t>Figura 8. Diagrami organizativ</w:t>
        </w:r>
        <w:r w:rsidR="0037748E">
          <w:rPr>
            <w:noProof/>
            <w:webHidden/>
          </w:rPr>
          <w:tab/>
        </w:r>
        <w:r w:rsidR="0037748E">
          <w:rPr>
            <w:noProof/>
            <w:webHidden/>
          </w:rPr>
          <w:fldChar w:fldCharType="begin"/>
        </w:r>
        <w:r w:rsidR="0037748E">
          <w:rPr>
            <w:noProof/>
            <w:webHidden/>
          </w:rPr>
          <w:instrText xml:space="preserve"> PAGEREF _Toc181867211 \h </w:instrText>
        </w:r>
        <w:r w:rsidR="0037748E">
          <w:rPr>
            <w:noProof/>
            <w:webHidden/>
          </w:rPr>
        </w:r>
        <w:r w:rsidR="0037748E">
          <w:rPr>
            <w:noProof/>
            <w:webHidden/>
          </w:rPr>
          <w:fldChar w:fldCharType="separate"/>
        </w:r>
        <w:r w:rsidR="003B7FFA">
          <w:rPr>
            <w:noProof/>
            <w:webHidden/>
          </w:rPr>
          <w:t>30</w:t>
        </w:r>
        <w:r w:rsidR="0037748E">
          <w:rPr>
            <w:noProof/>
            <w:webHidden/>
          </w:rPr>
          <w:fldChar w:fldCharType="end"/>
        </w:r>
      </w:hyperlink>
    </w:p>
    <w:p w14:paraId="150E2B30" w14:textId="717D2E5C"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12" w:history="1">
        <w:r w:rsidR="0037748E" w:rsidRPr="00707013">
          <w:rPr>
            <w:rStyle w:val="Hyperlink"/>
            <w:noProof/>
          </w:rPr>
          <w:t>Figura 9. Caqet dhe trajektorja treguese për reduktimin e emetimeve të GS-së</w:t>
        </w:r>
        <w:r w:rsidR="0037748E">
          <w:rPr>
            <w:noProof/>
            <w:webHidden/>
          </w:rPr>
          <w:tab/>
        </w:r>
        <w:r w:rsidR="0037748E">
          <w:rPr>
            <w:noProof/>
            <w:webHidden/>
          </w:rPr>
          <w:fldChar w:fldCharType="begin"/>
        </w:r>
        <w:r w:rsidR="0037748E">
          <w:rPr>
            <w:noProof/>
            <w:webHidden/>
          </w:rPr>
          <w:instrText xml:space="preserve"> PAGEREF _Toc181867212 \h </w:instrText>
        </w:r>
        <w:r w:rsidR="0037748E">
          <w:rPr>
            <w:noProof/>
            <w:webHidden/>
          </w:rPr>
        </w:r>
        <w:r w:rsidR="0037748E">
          <w:rPr>
            <w:noProof/>
            <w:webHidden/>
          </w:rPr>
          <w:fldChar w:fldCharType="separate"/>
        </w:r>
        <w:r w:rsidR="003B7FFA">
          <w:rPr>
            <w:noProof/>
            <w:webHidden/>
          </w:rPr>
          <w:t>35</w:t>
        </w:r>
        <w:r w:rsidR="0037748E">
          <w:rPr>
            <w:noProof/>
            <w:webHidden/>
          </w:rPr>
          <w:fldChar w:fldCharType="end"/>
        </w:r>
      </w:hyperlink>
    </w:p>
    <w:p w14:paraId="5B9B99A4" w14:textId="45E3AFA6"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13" w:history="1">
        <w:r w:rsidR="0037748E" w:rsidRPr="00707013">
          <w:rPr>
            <w:rStyle w:val="Hyperlink"/>
            <w:noProof/>
          </w:rPr>
          <w:t>Figura 10. Pjesëmarrja e BRE-ve në bruto konsumin final të energjisë në periudhën 2021-2040 (skenari WAM)</w:t>
        </w:r>
        <w:r w:rsidR="0037748E">
          <w:rPr>
            <w:noProof/>
            <w:webHidden/>
          </w:rPr>
          <w:tab/>
        </w:r>
        <w:r w:rsidR="0037748E">
          <w:rPr>
            <w:noProof/>
            <w:webHidden/>
          </w:rPr>
          <w:fldChar w:fldCharType="begin"/>
        </w:r>
        <w:r w:rsidR="0037748E">
          <w:rPr>
            <w:noProof/>
            <w:webHidden/>
          </w:rPr>
          <w:instrText xml:space="preserve"> PAGEREF _Toc181867213 \h </w:instrText>
        </w:r>
        <w:r w:rsidR="0037748E">
          <w:rPr>
            <w:noProof/>
            <w:webHidden/>
          </w:rPr>
        </w:r>
        <w:r w:rsidR="0037748E">
          <w:rPr>
            <w:noProof/>
            <w:webHidden/>
          </w:rPr>
          <w:fldChar w:fldCharType="separate"/>
        </w:r>
        <w:r w:rsidR="003B7FFA">
          <w:rPr>
            <w:noProof/>
            <w:webHidden/>
          </w:rPr>
          <w:t>37</w:t>
        </w:r>
        <w:r w:rsidR="0037748E">
          <w:rPr>
            <w:noProof/>
            <w:webHidden/>
          </w:rPr>
          <w:fldChar w:fldCharType="end"/>
        </w:r>
      </w:hyperlink>
    </w:p>
    <w:p w14:paraId="7B62142C" w14:textId="19494267"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14" w:history="1">
        <w:r w:rsidR="0037748E" w:rsidRPr="00707013">
          <w:rPr>
            <w:rStyle w:val="Hyperlink"/>
            <w:noProof/>
          </w:rPr>
          <w:t>Figura 11. Trajektoret e vlerësuar për pjesën sektoriale të energjisë së ripërtëritshme në konsumin final të energjisë nga viti 2021 deri në vitin 2040 në sektorin e energjisë elektrike, ngrohjes dhe ftohjes dhe transportit (skenari WAM)</w:t>
        </w:r>
        <w:r w:rsidR="0037748E">
          <w:rPr>
            <w:noProof/>
            <w:webHidden/>
          </w:rPr>
          <w:tab/>
        </w:r>
        <w:r w:rsidR="0037748E">
          <w:rPr>
            <w:noProof/>
            <w:webHidden/>
          </w:rPr>
          <w:fldChar w:fldCharType="begin"/>
        </w:r>
        <w:r w:rsidR="0037748E">
          <w:rPr>
            <w:noProof/>
            <w:webHidden/>
          </w:rPr>
          <w:instrText xml:space="preserve"> PAGEREF _Toc181867214 \h </w:instrText>
        </w:r>
        <w:r w:rsidR="0037748E">
          <w:rPr>
            <w:noProof/>
            <w:webHidden/>
          </w:rPr>
        </w:r>
        <w:r w:rsidR="0037748E">
          <w:rPr>
            <w:noProof/>
            <w:webHidden/>
          </w:rPr>
          <w:fldChar w:fldCharType="separate"/>
        </w:r>
        <w:r w:rsidR="003B7FFA">
          <w:rPr>
            <w:noProof/>
            <w:webHidden/>
          </w:rPr>
          <w:t>38</w:t>
        </w:r>
        <w:r w:rsidR="0037748E">
          <w:rPr>
            <w:noProof/>
            <w:webHidden/>
          </w:rPr>
          <w:fldChar w:fldCharType="end"/>
        </w:r>
      </w:hyperlink>
    </w:p>
    <w:p w14:paraId="7CACD5E4" w14:textId="50CEE20F"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15" w:history="1">
        <w:r w:rsidR="0037748E" w:rsidRPr="00707013">
          <w:rPr>
            <w:rStyle w:val="Hyperlink"/>
            <w:noProof/>
          </w:rPr>
          <w:t>Figura 12. Trajektorja e vlerësuar sipas teknologjisë së BRE-ve në bruto konsumin final të energjisë, sektori i energjisë elektrike</w:t>
        </w:r>
        <w:r w:rsidR="0037748E">
          <w:rPr>
            <w:noProof/>
            <w:webHidden/>
          </w:rPr>
          <w:tab/>
        </w:r>
        <w:r w:rsidR="0037748E">
          <w:rPr>
            <w:noProof/>
            <w:webHidden/>
          </w:rPr>
          <w:fldChar w:fldCharType="begin"/>
        </w:r>
        <w:r w:rsidR="0037748E">
          <w:rPr>
            <w:noProof/>
            <w:webHidden/>
          </w:rPr>
          <w:instrText xml:space="preserve"> PAGEREF _Toc181867215 \h </w:instrText>
        </w:r>
        <w:r w:rsidR="0037748E">
          <w:rPr>
            <w:noProof/>
            <w:webHidden/>
          </w:rPr>
        </w:r>
        <w:r w:rsidR="0037748E">
          <w:rPr>
            <w:noProof/>
            <w:webHidden/>
          </w:rPr>
          <w:fldChar w:fldCharType="separate"/>
        </w:r>
        <w:r w:rsidR="003B7FFA">
          <w:rPr>
            <w:noProof/>
            <w:webHidden/>
          </w:rPr>
          <w:t>38</w:t>
        </w:r>
        <w:r w:rsidR="0037748E">
          <w:rPr>
            <w:noProof/>
            <w:webHidden/>
          </w:rPr>
          <w:fldChar w:fldCharType="end"/>
        </w:r>
      </w:hyperlink>
    </w:p>
    <w:p w14:paraId="0D967A0D" w14:textId="7C9BB825"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16" w:history="1">
        <w:r w:rsidR="0037748E" w:rsidRPr="00707013">
          <w:rPr>
            <w:rStyle w:val="Hyperlink"/>
            <w:noProof/>
          </w:rPr>
          <w:t>Figura 13. Trajektorja e kapacitetit të instaluar nga BRE-të për prodhimin e energjisë elektrike, sipas teknologjisë</w:t>
        </w:r>
        <w:r w:rsidR="0037748E">
          <w:rPr>
            <w:noProof/>
            <w:webHidden/>
          </w:rPr>
          <w:tab/>
        </w:r>
        <w:r w:rsidR="0037748E">
          <w:rPr>
            <w:noProof/>
            <w:webHidden/>
          </w:rPr>
          <w:fldChar w:fldCharType="begin"/>
        </w:r>
        <w:r w:rsidR="0037748E">
          <w:rPr>
            <w:noProof/>
            <w:webHidden/>
          </w:rPr>
          <w:instrText xml:space="preserve"> PAGEREF _Toc181867216 \h </w:instrText>
        </w:r>
        <w:r w:rsidR="0037748E">
          <w:rPr>
            <w:noProof/>
            <w:webHidden/>
          </w:rPr>
        </w:r>
        <w:r w:rsidR="0037748E">
          <w:rPr>
            <w:noProof/>
            <w:webHidden/>
          </w:rPr>
          <w:fldChar w:fldCharType="separate"/>
        </w:r>
        <w:r w:rsidR="003B7FFA">
          <w:rPr>
            <w:noProof/>
            <w:webHidden/>
          </w:rPr>
          <w:t>39</w:t>
        </w:r>
        <w:r w:rsidR="0037748E">
          <w:rPr>
            <w:noProof/>
            <w:webHidden/>
          </w:rPr>
          <w:fldChar w:fldCharType="end"/>
        </w:r>
      </w:hyperlink>
    </w:p>
    <w:p w14:paraId="60D4FFB1" w14:textId="4401C0E5"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17" w:history="1">
        <w:r w:rsidR="0037748E" w:rsidRPr="00707013">
          <w:rPr>
            <w:rStyle w:val="Hyperlink"/>
            <w:noProof/>
          </w:rPr>
          <w:t>Figura 14. Trajektorja e vlerësuar sipas teknologjisë së BRE-ve në bruto konsumin final të energjisë, sektori i ngrohjes dhe ftohjes</w:t>
        </w:r>
        <w:r w:rsidR="0037748E">
          <w:rPr>
            <w:noProof/>
            <w:webHidden/>
          </w:rPr>
          <w:tab/>
        </w:r>
        <w:r w:rsidR="0037748E">
          <w:rPr>
            <w:noProof/>
            <w:webHidden/>
          </w:rPr>
          <w:fldChar w:fldCharType="begin"/>
        </w:r>
        <w:r w:rsidR="0037748E">
          <w:rPr>
            <w:noProof/>
            <w:webHidden/>
          </w:rPr>
          <w:instrText xml:space="preserve"> PAGEREF _Toc181867217 \h </w:instrText>
        </w:r>
        <w:r w:rsidR="0037748E">
          <w:rPr>
            <w:noProof/>
            <w:webHidden/>
          </w:rPr>
        </w:r>
        <w:r w:rsidR="0037748E">
          <w:rPr>
            <w:noProof/>
            <w:webHidden/>
          </w:rPr>
          <w:fldChar w:fldCharType="separate"/>
        </w:r>
        <w:r w:rsidR="003B7FFA">
          <w:rPr>
            <w:noProof/>
            <w:webHidden/>
          </w:rPr>
          <w:t>39</w:t>
        </w:r>
        <w:r w:rsidR="0037748E">
          <w:rPr>
            <w:noProof/>
            <w:webHidden/>
          </w:rPr>
          <w:fldChar w:fldCharType="end"/>
        </w:r>
      </w:hyperlink>
    </w:p>
    <w:p w14:paraId="66620144" w14:textId="6DE5CA3A"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18" w:history="1">
        <w:r w:rsidR="0037748E" w:rsidRPr="00707013">
          <w:rPr>
            <w:rStyle w:val="Hyperlink"/>
            <w:noProof/>
          </w:rPr>
          <w:t>Figura 15. Trajektorja e vlerësuar sipas teknologjisë së BRE-ve në bruto konsumin final të energjisë, sektori i energjisë</w:t>
        </w:r>
        <w:r w:rsidR="0037748E">
          <w:rPr>
            <w:noProof/>
            <w:webHidden/>
          </w:rPr>
          <w:tab/>
        </w:r>
        <w:r w:rsidR="0037748E">
          <w:rPr>
            <w:noProof/>
            <w:webHidden/>
          </w:rPr>
          <w:fldChar w:fldCharType="begin"/>
        </w:r>
        <w:r w:rsidR="0037748E">
          <w:rPr>
            <w:noProof/>
            <w:webHidden/>
          </w:rPr>
          <w:instrText xml:space="preserve"> PAGEREF _Toc181867218 \h </w:instrText>
        </w:r>
        <w:r w:rsidR="0037748E">
          <w:rPr>
            <w:noProof/>
            <w:webHidden/>
          </w:rPr>
        </w:r>
        <w:r w:rsidR="0037748E">
          <w:rPr>
            <w:noProof/>
            <w:webHidden/>
          </w:rPr>
          <w:fldChar w:fldCharType="separate"/>
        </w:r>
        <w:r w:rsidR="003B7FFA">
          <w:rPr>
            <w:noProof/>
            <w:webHidden/>
          </w:rPr>
          <w:t>40</w:t>
        </w:r>
        <w:r w:rsidR="0037748E">
          <w:rPr>
            <w:noProof/>
            <w:webHidden/>
          </w:rPr>
          <w:fldChar w:fldCharType="end"/>
        </w:r>
      </w:hyperlink>
    </w:p>
    <w:p w14:paraId="58D770FB" w14:textId="4F6A7A93"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19" w:history="1">
        <w:r w:rsidR="0037748E" w:rsidRPr="00707013">
          <w:rPr>
            <w:rStyle w:val="Hyperlink"/>
            <w:noProof/>
          </w:rPr>
          <w:t>Figura 16. Trajektorja e vlerësuar lidhur me kërkesën për biomasë, e ndarë midis nxehtësisë dhe energjisë elektrike</w:t>
        </w:r>
        <w:r w:rsidR="0037748E">
          <w:rPr>
            <w:noProof/>
            <w:webHidden/>
          </w:rPr>
          <w:tab/>
        </w:r>
        <w:r w:rsidR="0037748E">
          <w:rPr>
            <w:noProof/>
            <w:webHidden/>
          </w:rPr>
          <w:fldChar w:fldCharType="begin"/>
        </w:r>
        <w:r w:rsidR="0037748E">
          <w:rPr>
            <w:noProof/>
            <w:webHidden/>
          </w:rPr>
          <w:instrText xml:space="preserve"> PAGEREF _Toc181867219 \h </w:instrText>
        </w:r>
        <w:r w:rsidR="0037748E">
          <w:rPr>
            <w:noProof/>
            <w:webHidden/>
          </w:rPr>
        </w:r>
        <w:r w:rsidR="0037748E">
          <w:rPr>
            <w:noProof/>
            <w:webHidden/>
          </w:rPr>
          <w:fldChar w:fldCharType="separate"/>
        </w:r>
        <w:r w:rsidR="003B7FFA">
          <w:rPr>
            <w:noProof/>
            <w:webHidden/>
          </w:rPr>
          <w:t>40</w:t>
        </w:r>
        <w:r w:rsidR="0037748E">
          <w:rPr>
            <w:noProof/>
            <w:webHidden/>
          </w:rPr>
          <w:fldChar w:fldCharType="end"/>
        </w:r>
      </w:hyperlink>
    </w:p>
    <w:p w14:paraId="5C1640DF" w14:textId="1FCE0EF7"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20" w:history="1">
        <w:r w:rsidR="0037748E" w:rsidRPr="00707013">
          <w:rPr>
            <w:rStyle w:val="Hyperlink"/>
            <w:noProof/>
          </w:rPr>
          <w:t>Figura 17. Rritja e përdorimit të sistemit të ngrohjes qendrore</w:t>
        </w:r>
        <w:r w:rsidR="0037748E">
          <w:rPr>
            <w:noProof/>
            <w:webHidden/>
          </w:rPr>
          <w:tab/>
        </w:r>
        <w:r w:rsidR="0037748E">
          <w:rPr>
            <w:noProof/>
            <w:webHidden/>
          </w:rPr>
          <w:fldChar w:fldCharType="begin"/>
        </w:r>
        <w:r w:rsidR="0037748E">
          <w:rPr>
            <w:noProof/>
            <w:webHidden/>
          </w:rPr>
          <w:instrText xml:space="preserve"> PAGEREF _Toc181867220 \h </w:instrText>
        </w:r>
        <w:r w:rsidR="0037748E">
          <w:rPr>
            <w:noProof/>
            <w:webHidden/>
          </w:rPr>
        </w:r>
        <w:r w:rsidR="0037748E">
          <w:rPr>
            <w:noProof/>
            <w:webHidden/>
          </w:rPr>
          <w:fldChar w:fldCharType="separate"/>
        </w:r>
        <w:r w:rsidR="003B7FFA">
          <w:rPr>
            <w:noProof/>
            <w:webHidden/>
          </w:rPr>
          <w:t>41</w:t>
        </w:r>
        <w:r w:rsidR="0037748E">
          <w:rPr>
            <w:noProof/>
            <w:webHidden/>
          </w:rPr>
          <w:fldChar w:fldCharType="end"/>
        </w:r>
      </w:hyperlink>
    </w:p>
    <w:p w14:paraId="5CC3963C" w14:textId="6CD1295B"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21" w:history="1">
        <w:r w:rsidR="0037748E" w:rsidRPr="00707013">
          <w:rPr>
            <w:rStyle w:val="Hyperlink"/>
            <w:noProof/>
          </w:rPr>
          <w:t>Figura 18. Kursimet e energjisë primare, në raport me skenarin WEM dhe caqet e EnC-së për vitin 2030</w:t>
        </w:r>
        <w:r w:rsidR="0037748E">
          <w:rPr>
            <w:noProof/>
            <w:webHidden/>
          </w:rPr>
          <w:tab/>
        </w:r>
        <w:r w:rsidR="0037748E">
          <w:rPr>
            <w:noProof/>
            <w:webHidden/>
          </w:rPr>
          <w:fldChar w:fldCharType="begin"/>
        </w:r>
        <w:r w:rsidR="0037748E">
          <w:rPr>
            <w:noProof/>
            <w:webHidden/>
          </w:rPr>
          <w:instrText xml:space="preserve"> PAGEREF _Toc181867221 \h </w:instrText>
        </w:r>
        <w:r w:rsidR="0037748E">
          <w:rPr>
            <w:noProof/>
            <w:webHidden/>
          </w:rPr>
        </w:r>
        <w:r w:rsidR="0037748E">
          <w:rPr>
            <w:noProof/>
            <w:webHidden/>
          </w:rPr>
          <w:fldChar w:fldCharType="separate"/>
        </w:r>
        <w:r w:rsidR="003B7FFA">
          <w:rPr>
            <w:noProof/>
            <w:webHidden/>
          </w:rPr>
          <w:t>42</w:t>
        </w:r>
        <w:r w:rsidR="0037748E">
          <w:rPr>
            <w:noProof/>
            <w:webHidden/>
          </w:rPr>
          <w:fldChar w:fldCharType="end"/>
        </w:r>
      </w:hyperlink>
    </w:p>
    <w:p w14:paraId="566752DD" w14:textId="5A6024EA"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22" w:history="1">
        <w:r w:rsidR="0037748E" w:rsidRPr="00707013">
          <w:rPr>
            <w:rStyle w:val="Hyperlink"/>
            <w:noProof/>
          </w:rPr>
          <w:t>Figura 19. Konsumi primar i energjisë dhe projeksionet e EnC-së për vitin 2030</w:t>
        </w:r>
        <w:r w:rsidR="0037748E">
          <w:rPr>
            <w:noProof/>
            <w:webHidden/>
          </w:rPr>
          <w:tab/>
        </w:r>
        <w:r w:rsidR="0037748E">
          <w:rPr>
            <w:noProof/>
            <w:webHidden/>
          </w:rPr>
          <w:fldChar w:fldCharType="begin"/>
        </w:r>
        <w:r w:rsidR="0037748E">
          <w:rPr>
            <w:noProof/>
            <w:webHidden/>
          </w:rPr>
          <w:instrText xml:space="preserve"> PAGEREF _Toc181867222 \h </w:instrText>
        </w:r>
        <w:r w:rsidR="0037748E">
          <w:rPr>
            <w:noProof/>
            <w:webHidden/>
          </w:rPr>
        </w:r>
        <w:r w:rsidR="0037748E">
          <w:rPr>
            <w:noProof/>
            <w:webHidden/>
          </w:rPr>
          <w:fldChar w:fldCharType="separate"/>
        </w:r>
        <w:r w:rsidR="003B7FFA">
          <w:rPr>
            <w:noProof/>
            <w:webHidden/>
          </w:rPr>
          <w:t>42</w:t>
        </w:r>
        <w:r w:rsidR="0037748E">
          <w:rPr>
            <w:noProof/>
            <w:webHidden/>
          </w:rPr>
          <w:fldChar w:fldCharType="end"/>
        </w:r>
      </w:hyperlink>
    </w:p>
    <w:p w14:paraId="54E2C4AC" w14:textId="68A30B7D"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23" w:history="1">
        <w:r w:rsidR="0037748E" w:rsidRPr="00707013">
          <w:rPr>
            <w:rStyle w:val="Hyperlink"/>
            <w:noProof/>
          </w:rPr>
          <w:t>Figura 20. Kursimet finale të energjisë, në raport me skenarin WEM dhe caqet e EnC-së për vitin 2030</w:t>
        </w:r>
        <w:r w:rsidR="0037748E">
          <w:rPr>
            <w:noProof/>
            <w:webHidden/>
          </w:rPr>
          <w:tab/>
        </w:r>
        <w:r w:rsidR="0037748E">
          <w:rPr>
            <w:noProof/>
            <w:webHidden/>
          </w:rPr>
          <w:fldChar w:fldCharType="begin"/>
        </w:r>
        <w:r w:rsidR="0037748E">
          <w:rPr>
            <w:noProof/>
            <w:webHidden/>
          </w:rPr>
          <w:instrText xml:space="preserve"> PAGEREF _Toc181867223 \h </w:instrText>
        </w:r>
        <w:r w:rsidR="0037748E">
          <w:rPr>
            <w:noProof/>
            <w:webHidden/>
          </w:rPr>
        </w:r>
        <w:r w:rsidR="0037748E">
          <w:rPr>
            <w:noProof/>
            <w:webHidden/>
          </w:rPr>
          <w:fldChar w:fldCharType="separate"/>
        </w:r>
        <w:r w:rsidR="003B7FFA">
          <w:rPr>
            <w:noProof/>
            <w:webHidden/>
          </w:rPr>
          <w:t>42</w:t>
        </w:r>
        <w:r w:rsidR="0037748E">
          <w:rPr>
            <w:noProof/>
            <w:webHidden/>
          </w:rPr>
          <w:fldChar w:fldCharType="end"/>
        </w:r>
      </w:hyperlink>
    </w:p>
    <w:p w14:paraId="1A9FD2E7" w14:textId="63657AAF"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24" w:history="1">
        <w:r w:rsidR="0037748E" w:rsidRPr="00707013">
          <w:rPr>
            <w:rStyle w:val="Hyperlink"/>
            <w:noProof/>
          </w:rPr>
          <w:t>Figura 21. Konsumi final i energjisë dhe projeksionet e EnC-së për vitin 2030</w:t>
        </w:r>
        <w:r w:rsidR="0037748E">
          <w:rPr>
            <w:noProof/>
            <w:webHidden/>
          </w:rPr>
          <w:tab/>
        </w:r>
        <w:r w:rsidR="0037748E">
          <w:rPr>
            <w:noProof/>
            <w:webHidden/>
          </w:rPr>
          <w:fldChar w:fldCharType="begin"/>
        </w:r>
        <w:r w:rsidR="0037748E">
          <w:rPr>
            <w:noProof/>
            <w:webHidden/>
          </w:rPr>
          <w:instrText xml:space="preserve"> PAGEREF _Toc181867224 \h </w:instrText>
        </w:r>
        <w:r w:rsidR="0037748E">
          <w:rPr>
            <w:noProof/>
            <w:webHidden/>
          </w:rPr>
        </w:r>
        <w:r w:rsidR="0037748E">
          <w:rPr>
            <w:noProof/>
            <w:webHidden/>
          </w:rPr>
          <w:fldChar w:fldCharType="separate"/>
        </w:r>
        <w:r w:rsidR="003B7FFA">
          <w:rPr>
            <w:noProof/>
            <w:webHidden/>
          </w:rPr>
          <w:t>42</w:t>
        </w:r>
        <w:r w:rsidR="0037748E">
          <w:rPr>
            <w:noProof/>
            <w:webHidden/>
          </w:rPr>
          <w:fldChar w:fldCharType="end"/>
        </w:r>
      </w:hyperlink>
    </w:p>
    <w:p w14:paraId="006AA849" w14:textId="45B64D71"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25" w:history="1">
        <w:r w:rsidR="0037748E" w:rsidRPr="00707013">
          <w:rPr>
            <w:rStyle w:val="Hyperlink"/>
            <w:noProof/>
          </w:rPr>
          <w:t>Figura 22. Kursimet kumulative të energjisë në vit për periudhën 2024-2031</w:t>
        </w:r>
        <w:r w:rsidR="0037748E">
          <w:rPr>
            <w:noProof/>
            <w:webHidden/>
          </w:rPr>
          <w:tab/>
        </w:r>
        <w:r w:rsidR="0037748E">
          <w:rPr>
            <w:noProof/>
            <w:webHidden/>
          </w:rPr>
          <w:fldChar w:fldCharType="begin"/>
        </w:r>
        <w:r w:rsidR="0037748E">
          <w:rPr>
            <w:noProof/>
            <w:webHidden/>
          </w:rPr>
          <w:instrText xml:space="preserve"> PAGEREF _Toc181867225 \h </w:instrText>
        </w:r>
        <w:r w:rsidR="0037748E">
          <w:rPr>
            <w:noProof/>
            <w:webHidden/>
          </w:rPr>
        </w:r>
        <w:r w:rsidR="0037748E">
          <w:rPr>
            <w:noProof/>
            <w:webHidden/>
          </w:rPr>
          <w:fldChar w:fldCharType="separate"/>
        </w:r>
        <w:r w:rsidR="003B7FFA">
          <w:rPr>
            <w:noProof/>
            <w:webHidden/>
          </w:rPr>
          <w:t>43</w:t>
        </w:r>
        <w:r w:rsidR="0037748E">
          <w:rPr>
            <w:noProof/>
            <w:webHidden/>
          </w:rPr>
          <w:fldChar w:fldCharType="end"/>
        </w:r>
      </w:hyperlink>
    </w:p>
    <w:p w14:paraId="16C6AD1F" w14:textId="24E30E11"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26" w:history="1">
        <w:r w:rsidR="0037748E" w:rsidRPr="00707013">
          <w:rPr>
            <w:rStyle w:val="Hyperlink"/>
            <w:noProof/>
          </w:rPr>
          <w:t>Figura 23. Harta e potencialit të energjisë së ripërtëritshme të Kosovës: grupet e të dhënave të erës dhe diellit</w:t>
        </w:r>
        <w:r w:rsidR="0037748E">
          <w:rPr>
            <w:noProof/>
            <w:webHidden/>
          </w:rPr>
          <w:tab/>
        </w:r>
        <w:r w:rsidR="0037748E">
          <w:rPr>
            <w:noProof/>
            <w:webHidden/>
          </w:rPr>
          <w:fldChar w:fldCharType="begin"/>
        </w:r>
        <w:r w:rsidR="0037748E">
          <w:rPr>
            <w:noProof/>
            <w:webHidden/>
          </w:rPr>
          <w:instrText xml:space="preserve"> PAGEREF _Toc181867226 \h </w:instrText>
        </w:r>
        <w:r w:rsidR="0037748E">
          <w:rPr>
            <w:noProof/>
            <w:webHidden/>
          </w:rPr>
        </w:r>
        <w:r w:rsidR="0037748E">
          <w:rPr>
            <w:noProof/>
            <w:webHidden/>
          </w:rPr>
          <w:fldChar w:fldCharType="separate"/>
        </w:r>
        <w:r w:rsidR="003B7FFA">
          <w:rPr>
            <w:noProof/>
            <w:webHidden/>
          </w:rPr>
          <w:t>68</w:t>
        </w:r>
        <w:r w:rsidR="0037748E">
          <w:rPr>
            <w:noProof/>
            <w:webHidden/>
          </w:rPr>
          <w:fldChar w:fldCharType="end"/>
        </w:r>
      </w:hyperlink>
    </w:p>
    <w:p w14:paraId="5EEC455E" w14:textId="3D0D34AF"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27" w:history="1">
        <w:r w:rsidR="0037748E" w:rsidRPr="00707013">
          <w:rPr>
            <w:rStyle w:val="Hyperlink"/>
            <w:noProof/>
          </w:rPr>
          <w:t>Figura 24. BPV real dhe rritja reale e BPV-së 2012-2030</w:t>
        </w:r>
        <w:r w:rsidR="0037748E">
          <w:rPr>
            <w:noProof/>
            <w:webHidden/>
          </w:rPr>
          <w:tab/>
        </w:r>
        <w:r w:rsidR="0037748E">
          <w:rPr>
            <w:noProof/>
            <w:webHidden/>
          </w:rPr>
          <w:fldChar w:fldCharType="begin"/>
        </w:r>
        <w:r w:rsidR="0037748E">
          <w:rPr>
            <w:noProof/>
            <w:webHidden/>
          </w:rPr>
          <w:instrText xml:space="preserve"> PAGEREF _Toc181867227 \h </w:instrText>
        </w:r>
        <w:r w:rsidR="0037748E">
          <w:rPr>
            <w:noProof/>
            <w:webHidden/>
          </w:rPr>
        </w:r>
        <w:r w:rsidR="0037748E">
          <w:rPr>
            <w:noProof/>
            <w:webHidden/>
          </w:rPr>
          <w:fldChar w:fldCharType="separate"/>
        </w:r>
        <w:r w:rsidR="003B7FFA">
          <w:rPr>
            <w:noProof/>
            <w:webHidden/>
          </w:rPr>
          <w:t>110</w:t>
        </w:r>
        <w:r w:rsidR="0037748E">
          <w:rPr>
            <w:noProof/>
            <w:webHidden/>
          </w:rPr>
          <w:fldChar w:fldCharType="end"/>
        </w:r>
      </w:hyperlink>
    </w:p>
    <w:p w14:paraId="292E1AF4" w14:textId="4094A729"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28" w:history="1">
        <w:r w:rsidR="0037748E" w:rsidRPr="00707013">
          <w:rPr>
            <w:rStyle w:val="Hyperlink"/>
            <w:noProof/>
          </w:rPr>
          <w:t>Figura 25. Popullsia 2017-2030</w:t>
        </w:r>
        <w:r w:rsidR="0037748E">
          <w:rPr>
            <w:noProof/>
            <w:webHidden/>
          </w:rPr>
          <w:tab/>
        </w:r>
        <w:r w:rsidR="0037748E">
          <w:rPr>
            <w:noProof/>
            <w:webHidden/>
          </w:rPr>
          <w:fldChar w:fldCharType="begin"/>
        </w:r>
        <w:r w:rsidR="0037748E">
          <w:rPr>
            <w:noProof/>
            <w:webHidden/>
          </w:rPr>
          <w:instrText xml:space="preserve"> PAGEREF _Toc181867228 \h </w:instrText>
        </w:r>
        <w:r w:rsidR="0037748E">
          <w:rPr>
            <w:noProof/>
            <w:webHidden/>
          </w:rPr>
        </w:r>
        <w:r w:rsidR="0037748E">
          <w:rPr>
            <w:noProof/>
            <w:webHidden/>
          </w:rPr>
          <w:fldChar w:fldCharType="separate"/>
        </w:r>
        <w:r w:rsidR="003B7FFA">
          <w:rPr>
            <w:noProof/>
            <w:webHidden/>
          </w:rPr>
          <w:t>111</w:t>
        </w:r>
        <w:r w:rsidR="0037748E">
          <w:rPr>
            <w:noProof/>
            <w:webHidden/>
          </w:rPr>
          <w:fldChar w:fldCharType="end"/>
        </w:r>
      </w:hyperlink>
    </w:p>
    <w:p w14:paraId="68CCBEBB" w14:textId="51A84D3E"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29" w:history="1">
        <w:r w:rsidR="0037748E" w:rsidRPr="00707013">
          <w:rPr>
            <w:rStyle w:val="Hyperlink"/>
            <w:noProof/>
          </w:rPr>
          <w:t>Figura 26. Numri i ekonomive familjare dhe banorëve për ekonomi familjare 2017-2030</w:t>
        </w:r>
        <w:r w:rsidR="0037748E">
          <w:rPr>
            <w:noProof/>
            <w:webHidden/>
          </w:rPr>
          <w:tab/>
        </w:r>
        <w:r w:rsidR="0037748E">
          <w:rPr>
            <w:noProof/>
            <w:webHidden/>
          </w:rPr>
          <w:fldChar w:fldCharType="begin"/>
        </w:r>
        <w:r w:rsidR="0037748E">
          <w:rPr>
            <w:noProof/>
            <w:webHidden/>
          </w:rPr>
          <w:instrText xml:space="preserve"> PAGEREF _Toc181867229 \h </w:instrText>
        </w:r>
        <w:r w:rsidR="0037748E">
          <w:rPr>
            <w:noProof/>
            <w:webHidden/>
          </w:rPr>
        </w:r>
        <w:r w:rsidR="0037748E">
          <w:rPr>
            <w:noProof/>
            <w:webHidden/>
          </w:rPr>
          <w:fldChar w:fldCharType="separate"/>
        </w:r>
        <w:r w:rsidR="003B7FFA">
          <w:rPr>
            <w:noProof/>
            <w:webHidden/>
          </w:rPr>
          <w:t>111</w:t>
        </w:r>
        <w:r w:rsidR="0037748E">
          <w:rPr>
            <w:noProof/>
            <w:webHidden/>
          </w:rPr>
          <w:fldChar w:fldCharType="end"/>
        </w:r>
      </w:hyperlink>
    </w:p>
    <w:p w14:paraId="11BDFFB3" w14:textId="0C250E57"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30" w:history="1">
        <w:r w:rsidR="0037748E" w:rsidRPr="00707013">
          <w:rPr>
            <w:rStyle w:val="Hyperlink"/>
            <w:noProof/>
          </w:rPr>
          <w:t>Figura 27. Pjesëmarrja e lëndëve djegëse në sektorin rezidencial</w:t>
        </w:r>
        <w:r w:rsidR="0037748E">
          <w:rPr>
            <w:noProof/>
            <w:webHidden/>
          </w:rPr>
          <w:tab/>
        </w:r>
        <w:r w:rsidR="0037748E">
          <w:rPr>
            <w:noProof/>
            <w:webHidden/>
          </w:rPr>
          <w:fldChar w:fldCharType="begin"/>
        </w:r>
        <w:r w:rsidR="0037748E">
          <w:rPr>
            <w:noProof/>
            <w:webHidden/>
          </w:rPr>
          <w:instrText xml:space="preserve"> PAGEREF _Toc181867230 \h </w:instrText>
        </w:r>
        <w:r w:rsidR="0037748E">
          <w:rPr>
            <w:noProof/>
            <w:webHidden/>
          </w:rPr>
        </w:r>
        <w:r w:rsidR="0037748E">
          <w:rPr>
            <w:noProof/>
            <w:webHidden/>
          </w:rPr>
          <w:fldChar w:fldCharType="separate"/>
        </w:r>
        <w:r w:rsidR="003B7FFA">
          <w:rPr>
            <w:noProof/>
            <w:webHidden/>
          </w:rPr>
          <w:t>112</w:t>
        </w:r>
        <w:r w:rsidR="0037748E">
          <w:rPr>
            <w:noProof/>
            <w:webHidden/>
          </w:rPr>
          <w:fldChar w:fldCharType="end"/>
        </w:r>
      </w:hyperlink>
    </w:p>
    <w:p w14:paraId="410741DB" w14:textId="1D1C1056"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31" w:history="1">
        <w:r w:rsidR="0037748E" w:rsidRPr="00707013">
          <w:rPr>
            <w:rStyle w:val="Hyperlink"/>
            <w:noProof/>
          </w:rPr>
          <w:t>Figura 28. Pjesëmarrja e lëndëve djegëse në sektorin rezidencial</w:t>
        </w:r>
        <w:r w:rsidR="0037748E">
          <w:rPr>
            <w:noProof/>
            <w:webHidden/>
          </w:rPr>
          <w:tab/>
        </w:r>
        <w:r w:rsidR="0037748E">
          <w:rPr>
            <w:noProof/>
            <w:webHidden/>
          </w:rPr>
          <w:fldChar w:fldCharType="begin"/>
        </w:r>
        <w:r w:rsidR="0037748E">
          <w:rPr>
            <w:noProof/>
            <w:webHidden/>
          </w:rPr>
          <w:instrText xml:space="preserve"> PAGEREF _Toc181867231 \h </w:instrText>
        </w:r>
        <w:r w:rsidR="0037748E">
          <w:rPr>
            <w:noProof/>
            <w:webHidden/>
          </w:rPr>
        </w:r>
        <w:r w:rsidR="0037748E">
          <w:rPr>
            <w:noProof/>
            <w:webHidden/>
          </w:rPr>
          <w:fldChar w:fldCharType="separate"/>
        </w:r>
        <w:r w:rsidR="003B7FFA">
          <w:rPr>
            <w:noProof/>
            <w:webHidden/>
          </w:rPr>
          <w:t>114</w:t>
        </w:r>
        <w:r w:rsidR="0037748E">
          <w:rPr>
            <w:noProof/>
            <w:webHidden/>
          </w:rPr>
          <w:fldChar w:fldCharType="end"/>
        </w:r>
      </w:hyperlink>
    </w:p>
    <w:p w14:paraId="4E764181" w14:textId="44C998E9"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32" w:history="1">
        <w:r w:rsidR="0037748E" w:rsidRPr="00707013">
          <w:rPr>
            <w:rStyle w:val="Hyperlink"/>
            <w:noProof/>
          </w:rPr>
          <w:t>Figura 29. % e VSHB-së për sektor (2021)</w:t>
        </w:r>
        <w:r w:rsidR="0037748E">
          <w:rPr>
            <w:noProof/>
            <w:webHidden/>
          </w:rPr>
          <w:tab/>
        </w:r>
        <w:r w:rsidR="0037748E">
          <w:rPr>
            <w:noProof/>
            <w:webHidden/>
          </w:rPr>
          <w:fldChar w:fldCharType="begin"/>
        </w:r>
        <w:r w:rsidR="0037748E">
          <w:rPr>
            <w:noProof/>
            <w:webHidden/>
          </w:rPr>
          <w:instrText xml:space="preserve"> PAGEREF _Toc181867232 \h </w:instrText>
        </w:r>
        <w:r w:rsidR="0037748E">
          <w:rPr>
            <w:noProof/>
            <w:webHidden/>
          </w:rPr>
        </w:r>
        <w:r w:rsidR="0037748E">
          <w:rPr>
            <w:noProof/>
            <w:webHidden/>
          </w:rPr>
          <w:fldChar w:fldCharType="separate"/>
        </w:r>
        <w:r w:rsidR="003B7FFA">
          <w:rPr>
            <w:noProof/>
            <w:webHidden/>
          </w:rPr>
          <w:t>114</w:t>
        </w:r>
        <w:r w:rsidR="0037748E">
          <w:rPr>
            <w:noProof/>
            <w:webHidden/>
          </w:rPr>
          <w:fldChar w:fldCharType="end"/>
        </w:r>
      </w:hyperlink>
    </w:p>
    <w:p w14:paraId="29BBCEA0" w14:textId="50740557"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33" w:history="1">
        <w:r w:rsidR="0037748E" w:rsidRPr="00707013">
          <w:rPr>
            <w:rStyle w:val="Hyperlink"/>
            <w:noProof/>
          </w:rPr>
          <w:t>Figura 30. VSHB industriale e parashikuar (2021-2040)</w:t>
        </w:r>
        <w:r w:rsidR="0037748E">
          <w:rPr>
            <w:noProof/>
            <w:webHidden/>
          </w:rPr>
          <w:tab/>
        </w:r>
        <w:r w:rsidR="0037748E">
          <w:rPr>
            <w:noProof/>
            <w:webHidden/>
          </w:rPr>
          <w:fldChar w:fldCharType="begin"/>
        </w:r>
        <w:r w:rsidR="0037748E">
          <w:rPr>
            <w:noProof/>
            <w:webHidden/>
          </w:rPr>
          <w:instrText xml:space="preserve"> PAGEREF _Toc181867233 \h </w:instrText>
        </w:r>
        <w:r w:rsidR="0037748E">
          <w:rPr>
            <w:noProof/>
            <w:webHidden/>
          </w:rPr>
        </w:r>
        <w:r w:rsidR="0037748E">
          <w:rPr>
            <w:noProof/>
            <w:webHidden/>
          </w:rPr>
          <w:fldChar w:fldCharType="separate"/>
        </w:r>
        <w:r w:rsidR="003B7FFA">
          <w:rPr>
            <w:noProof/>
            <w:webHidden/>
          </w:rPr>
          <w:t>114</w:t>
        </w:r>
        <w:r w:rsidR="0037748E">
          <w:rPr>
            <w:noProof/>
            <w:webHidden/>
          </w:rPr>
          <w:fldChar w:fldCharType="end"/>
        </w:r>
      </w:hyperlink>
    </w:p>
    <w:p w14:paraId="24F2A505" w14:textId="5BA0ECD3"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34" w:history="1">
        <w:r w:rsidR="0037748E" w:rsidRPr="00707013">
          <w:rPr>
            <w:rStyle w:val="Hyperlink"/>
            <w:noProof/>
          </w:rPr>
          <w:t>Figura 31. Km. e udhëtimit për udhëtarë sipas mënyrës së transportit (mlrd. pkm)</w:t>
        </w:r>
        <w:r w:rsidR="0037748E">
          <w:rPr>
            <w:noProof/>
            <w:webHidden/>
          </w:rPr>
          <w:tab/>
        </w:r>
        <w:r w:rsidR="0037748E">
          <w:rPr>
            <w:noProof/>
            <w:webHidden/>
          </w:rPr>
          <w:fldChar w:fldCharType="begin"/>
        </w:r>
        <w:r w:rsidR="0037748E">
          <w:rPr>
            <w:noProof/>
            <w:webHidden/>
          </w:rPr>
          <w:instrText xml:space="preserve"> PAGEREF _Toc181867234 \h </w:instrText>
        </w:r>
        <w:r w:rsidR="0037748E">
          <w:rPr>
            <w:noProof/>
            <w:webHidden/>
          </w:rPr>
        </w:r>
        <w:r w:rsidR="0037748E">
          <w:rPr>
            <w:noProof/>
            <w:webHidden/>
          </w:rPr>
          <w:fldChar w:fldCharType="separate"/>
        </w:r>
        <w:r w:rsidR="003B7FFA">
          <w:rPr>
            <w:noProof/>
            <w:webHidden/>
          </w:rPr>
          <w:t>116</w:t>
        </w:r>
        <w:r w:rsidR="0037748E">
          <w:rPr>
            <w:noProof/>
            <w:webHidden/>
          </w:rPr>
          <w:fldChar w:fldCharType="end"/>
        </w:r>
      </w:hyperlink>
    </w:p>
    <w:p w14:paraId="0BB182F1" w14:textId="66D22146"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35" w:history="1">
        <w:r w:rsidR="0037748E" w:rsidRPr="00707013">
          <w:rPr>
            <w:rStyle w:val="Hyperlink"/>
            <w:noProof/>
          </w:rPr>
          <w:t>Figura 32. Transporti i mallrave në tonë-kilometra sipas mënyrës (2021)</w:t>
        </w:r>
        <w:r w:rsidR="0037748E">
          <w:rPr>
            <w:noProof/>
            <w:webHidden/>
          </w:rPr>
          <w:tab/>
        </w:r>
        <w:r w:rsidR="0037748E">
          <w:rPr>
            <w:noProof/>
            <w:webHidden/>
          </w:rPr>
          <w:fldChar w:fldCharType="begin"/>
        </w:r>
        <w:r w:rsidR="0037748E">
          <w:rPr>
            <w:noProof/>
            <w:webHidden/>
          </w:rPr>
          <w:instrText xml:space="preserve"> PAGEREF _Toc181867235 \h </w:instrText>
        </w:r>
        <w:r w:rsidR="0037748E">
          <w:rPr>
            <w:noProof/>
            <w:webHidden/>
          </w:rPr>
        </w:r>
        <w:r w:rsidR="0037748E">
          <w:rPr>
            <w:noProof/>
            <w:webHidden/>
          </w:rPr>
          <w:fldChar w:fldCharType="separate"/>
        </w:r>
        <w:r w:rsidR="003B7FFA">
          <w:rPr>
            <w:noProof/>
            <w:webHidden/>
          </w:rPr>
          <w:t>116</w:t>
        </w:r>
        <w:r w:rsidR="0037748E">
          <w:rPr>
            <w:noProof/>
            <w:webHidden/>
          </w:rPr>
          <w:fldChar w:fldCharType="end"/>
        </w:r>
      </w:hyperlink>
    </w:p>
    <w:p w14:paraId="33F90E06" w14:textId="66B4E2A6"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36" w:history="1">
        <w:r w:rsidR="0037748E" w:rsidRPr="00707013">
          <w:rPr>
            <w:rStyle w:val="Hyperlink"/>
            <w:noProof/>
          </w:rPr>
          <w:t>Figura 33. Kapacitetet e instaluara të prodhimit të energjisë elektrike (projeksioni)</w:t>
        </w:r>
        <w:r w:rsidR="0037748E">
          <w:rPr>
            <w:noProof/>
            <w:webHidden/>
          </w:rPr>
          <w:tab/>
        </w:r>
        <w:r w:rsidR="0037748E">
          <w:rPr>
            <w:noProof/>
            <w:webHidden/>
          </w:rPr>
          <w:fldChar w:fldCharType="begin"/>
        </w:r>
        <w:r w:rsidR="0037748E">
          <w:rPr>
            <w:noProof/>
            <w:webHidden/>
          </w:rPr>
          <w:instrText xml:space="preserve"> PAGEREF _Toc181867236 \h </w:instrText>
        </w:r>
        <w:r w:rsidR="0037748E">
          <w:rPr>
            <w:noProof/>
            <w:webHidden/>
          </w:rPr>
        </w:r>
        <w:r w:rsidR="0037748E">
          <w:rPr>
            <w:noProof/>
            <w:webHidden/>
          </w:rPr>
          <w:fldChar w:fldCharType="separate"/>
        </w:r>
        <w:r w:rsidR="003B7FFA">
          <w:rPr>
            <w:noProof/>
            <w:webHidden/>
          </w:rPr>
          <w:t>117</w:t>
        </w:r>
        <w:r w:rsidR="0037748E">
          <w:rPr>
            <w:noProof/>
            <w:webHidden/>
          </w:rPr>
          <w:fldChar w:fldCharType="end"/>
        </w:r>
      </w:hyperlink>
    </w:p>
    <w:p w14:paraId="749BD80A" w14:textId="61C338C3"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37" w:history="1">
        <w:r w:rsidR="0037748E" w:rsidRPr="00707013">
          <w:rPr>
            <w:rStyle w:val="Hyperlink"/>
            <w:noProof/>
          </w:rPr>
          <w:t>Figura 34. Harta e modelit të integruar evropian të energjisë dhe ngrohjes</w:t>
        </w:r>
        <w:r w:rsidR="0037748E">
          <w:rPr>
            <w:noProof/>
            <w:webHidden/>
          </w:rPr>
          <w:tab/>
        </w:r>
        <w:r w:rsidR="0037748E">
          <w:rPr>
            <w:noProof/>
            <w:webHidden/>
          </w:rPr>
          <w:fldChar w:fldCharType="begin"/>
        </w:r>
        <w:r w:rsidR="0037748E">
          <w:rPr>
            <w:noProof/>
            <w:webHidden/>
          </w:rPr>
          <w:instrText xml:space="preserve"> PAGEREF _Toc181867237 \h </w:instrText>
        </w:r>
        <w:r w:rsidR="0037748E">
          <w:rPr>
            <w:noProof/>
            <w:webHidden/>
          </w:rPr>
        </w:r>
        <w:r w:rsidR="0037748E">
          <w:rPr>
            <w:noProof/>
            <w:webHidden/>
          </w:rPr>
          <w:fldChar w:fldCharType="separate"/>
        </w:r>
        <w:r w:rsidR="003B7FFA">
          <w:rPr>
            <w:noProof/>
            <w:webHidden/>
          </w:rPr>
          <w:t>118</w:t>
        </w:r>
        <w:r w:rsidR="0037748E">
          <w:rPr>
            <w:noProof/>
            <w:webHidden/>
          </w:rPr>
          <w:fldChar w:fldCharType="end"/>
        </w:r>
      </w:hyperlink>
    </w:p>
    <w:p w14:paraId="19BBEC00" w14:textId="65720795"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38" w:history="1">
        <w:r w:rsidR="0037748E" w:rsidRPr="00707013">
          <w:rPr>
            <w:rStyle w:val="Hyperlink"/>
            <w:noProof/>
          </w:rPr>
          <w:t>Figura 35. Çmimet historike dhe të supozuara të importit të karburantit dhe çmimet e tregut rajonal (pas vitit 2023: projeksionet)</w:t>
        </w:r>
        <w:r w:rsidR="0037748E">
          <w:rPr>
            <w:noProof/>
            <w:webHidden/>
          </w:rPr>
          <w:tab/>
        </w:r>
        <w:r w:rsidR="0037748E">
          <w:rPr>
            <w:noProof/>
            <w:webHidden/>
          </w:rPr>
          <w:fldChar w:fldCharType="begin"/>
        </w:r>
        <w:r w:rsidR="0037748E">
          <w:rPr>
            <w:noProof/>
            <w:webHidden/>
          </w:rPr>
          <w:instrText xml:space="preserve"> PAGEREF _Toc181867238 \h </w:instrText>
        </w:r>
        <w:r w:rsidR="0037748E">
          <w:rPr>
            <w:noProof/>
            <w:webHidden/>
          </w:rPr>
        </w:r>
        <w:r w:rsidR="0037748E">
          <w:rPr>
            <w:noProof/>
            <w:webHidden/>
          </w:rPr>
          <w:fldChar w:fldCharType="separate"/>
        </w:r>
        <w:r w:rsidR="003B7FFA">
          <w:rPr>
            <w:noProof/>
            <w:webHidden/>
          </w:rPr>
          <w:t>121</w:t>
        </w:r>
        <w:r w:rsidR="0037748E">
          <w:rPr>
            <w:noProof/>
            <w:webHidden/>
          </w:rPr>
          <w:fldChar w:fldCharType="end"/>
        </w:r>
      </w:hyperlink>
    </w:p>
    <w:p w14:paraId="595972EC" w14:textId="440E1211"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39" w:history="1">
        <w:r w:rsidR="0037748E" w:rsidRPr="00707013">
          <w:rPr>
            <w:rStyle w:val="Hyperlink"/>
            <w:noProof/>
          </w:rPr>
          <w:t>Figura 36. Çmimet historike dhe projeksionet për EU-ETS (2016-EUR/tCO2)</w:t>
        </w:r>
        <w:r w:rsidR="0037748E">
          <w:rPr>
            <w:noProof/>
            <w:webHidden/>
          </w:rPr>
          <w:tab/>
        </w:r>
        <w:r w:rsidR="0037748E">
          <w:rPr>
            <w:noProof/>
            <w:webHidden/>
          </w:rPr>
          <w:fldChar w:fldCharType="begin"/>
        </w:r>
        <w:r w:rsidR="0037748E">
          <w:rPr>
            <w:noProof/>
            <w:webHidden/>
          </w:rPr>
          <w:instrText xml:space="preserve"> PAGEREF _Toc181867239 \h </w:instrText>
        </w:r>
        <w:r w:rsidR="0037748E">
          <w:rPr>
            <w:noProof/>
            <w:webHidden/>
          </w:rPr>
        </w:r>
        <w:r w:rsidR="0037748E">
          <w:rPr>
            <w:noProof/>
            <w:webHidden/>
          </w:rPr>
          <w:fldChar w:fldCharType="separate"/>
        </w:r>
        <w:r w:rsidR="003B7FFA">
          <w:rPr>
            <w:noProof/>
            <w:webHidden/>
          </w:rPr>
          <w:t>121</w:t>
        </w:r>
        <w:r w:rsidR="0037748E">
          <w:rPr>
            <w:noProof/>
            <w:webHidden/>
          </w:rPr>
          <w:fldChar w:fldCharType="end"/>
        </w:r>
      </w:hyperlink>
    </w:p>
    <w:p w14:paraId="579AA70B" w14:textId="7B86BF72"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40" w:history="1">
        <w:r w:rsidR="0037748E" w:rsidRPr="00707013">
          <w:rPr>
            <w:rStyle w:val="Hyperlink"/>
            <w:noProof/>
          </w:rPr>
          <w:t>Figura 37. Struktura e Sistemit Kombëtar të Inventarizimit të GS-ve të Kosovës</w:t>
        </w:r>
        <w:r w:rsidR="0037748E">
          <w:rPr>
            <w:noProof/>
            <w:webHidden/>
          </w:rPr>
          <w:tab/>
        </w:r>
        <w:r w:rsidR="0037748E">
          <w:rPr>
            <w:noProof/>
            <w:webHidden/>
          </w:rPr>
          <w:fldChar w:fldCharType="begin"/>
        </w:r>
        <w:r w:rsidR="0037748E">
          <w:rPr>
            <w:noProof/>
            <w:webHidden/>
          </w:rPr>
          <w:instrText xml:space="preserve"> PAGEREF _Toc181867240 \h </w:instrText>
        </w:r>
        <w:r w:rsidR="0037748E">
          <w:rPr>
            <w:noProof/>
            <w:webHidden/>
          </w:rPr>
        </w:r>
        <w:r w:rsidR="0037748E">
          <w:rPr>
            <w:noProof/>
            <w:webHidden/>
          </w:rPr>
          <w:fldChar w:fldCharType="separate"/>
        </w:r>
        <w:r w:rsidR="003B7FFA">
          <w:rPr>
            <w:noProof/>
            <w:webHidden/>
          </w:rPr>
          <w:t>124</w:t>
        </w:r>
        <w:r w:rsidR="0037748E">
          <w:rPr>
            <w:noProof/>
            <w:webHidden/>
          </w:rPr>
          <w:fldChar w:fldCharType="end"/>
        </w:r>
      </w:hyperlink>
    </w:p>
    <w:p w14:paraId="63072CA2" w14:textId="64FF1725"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41" w:history="1">
        <w:r w:rsidR="0037748E" w:rsidRPr="00707013">
          <w:rPr>
            <w:rStyle w:val="Hyperlink"/>
            <w:noProof/>
          </w:rPr>
          <w:t>Figura 38. Trendi i emetimeve totale të GS-ve në Kosovë, 2008-2020 (Mt CO</w:t>
        </w:r>
        <w:r w:rsidR="0037748E" w:rsidRPr="00707013">
          <w:rPr>
            <w:rStyle w:val="Hyperlink"/>
            <w:noProof/>
            <w:vertAlign w:val="subscript"/>
          </w:rPr>
          <w:t>2</w:t>
        </w:r>
        <w:r w:rsidR="0037748E" w:rsidRPr="00707013">
          <w:rPr>
            <w:rStyle w:val="Hyperlink"/>
            <w:noProof/>
          </w:rPr>
          <w:t>-eq)</w:t>
        </w:r>
        <w:r w:rsidR="0037748E">
          <w:rPr>
            <w:noProof/>
            <w:webHidden/>
          </w:rPr>
          <w:tab/>
        </w:r>
        <w:r w:rsidR="0037748E">
          <w:rPr>
            <w:noProof/>
            <w:webHidden/>
          </w:rPr>
          <w:fldChar w:fldCharType="begin"/>
        </w:r>
        <w:r w:rsidR="0037748E">
          <w:rPr>
            <w:noProof/>
            <w:webHidden/>
          </w:rPr>
          <w:instrText xml:space="preserve"> PAGEREF _Toc181867241 \h </w:instrText>
        </w:r>
        <w:r w:rsidR="0037748E">
          <w:rPr>
            <w:noProof/>
            <w:webHidden/>
          </w:rPr>
        </w:r>
        <w:r w:rsidR="0037748E">
          <w:rPr>
            <w:noProof/>
            <w:webHidden/>
          </w:rPr>
          <w:fldChar w:fldCharType="separate"/>
        </w:r>
        <w:r w:rsidR="003B7FFA">
          <w:rPr>
            <w:noProof/>
            <w:webHidden/>
          </w:rPr>
          <w:t>125</w:t>
        </w:r>
        <w:r w:rsidR="0037748E">
          <w:rPr>
            <w:noProof/>
            <w:webHidden/>
          </w:rPr>
          <w:fldChar w:fldCharType="end"/>
        </w:r>
      </w:hyperlink>
    </w:p>
    <w:p w14:paraId="25482250" w14:textId="76055072"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42" w:history="1">
        <w:r w:rsidR="0037748E" w:rsidRPr="00707013">
          <w:rPr>
            <w:rStyle w:val="Hyperlink"/>
            <w:noProof/>
          </w:rPr>
          <w:t>Figura 39. Trendi i emetimeve totale të GS-ve në skenarin WEM sipas sektorëve kryesorë, 2021 - 2040 (Mt CO</w:t>
        </w:r>
        <w:r w:rsidR="0037748E" w:rsidRPr="00707013">
          <w:rPr>
            <w:rStyle w:val="Hyperlink"/>
            <w:noProof/>
            <w:vertAlign w:val="subscript"/>
          </w:rPr>
          <w:t>2</w:t>
        </w:r>
        <w:r w:rsidR="0037748E" w:rsidRPr="00707013">
          <w:rPr>
            <w:rStyle w:val="Hyperlink"/>
            <w:noProof/>
          </w:rPr>
          <w:t>-eq)</w:t>
        </w:r>
        <w:r w:rsidR="0037748E">
          <w:rPr>
            <w:noProof/>
            <w:webHidden/>
          </w:rPr>
          <w:tab/>
        </w:r>
        <w:r w:rsidR="0037748E">
          <w:rPr>
            <w:noProof/>
            <w:webHidden/>
          </w:rPr>
          <w:fldChar w:fldCharType="begin"/>
        </w:r>
        <w:r w:rsidR="0037748E">
          <w:rPr>
            <w:noProof/>
            <w:webHidden/>
          </w:rPr>
          <w:instrText xml:space="preserve"> PAGEREF _Toc181867242 \h </w:instrText>
        </w:r>
        <w:r w:rsidR="0037748E">
          <w:rPr>
            <w:noProof/>
            <w:webHidden/>
          </w:rPr>
        </w:r>
        <w:r w:rsidR="0037748E">
          <w:rPr>
            <w:noProof/>
            <w:webHidden/>
          </w:rPr>
          <w:fldChar w:fldCharType="separate"/>
        </w:r>
        <w:r w:rsidR="003B7FFA">
          <w:rPr>
            <w:noProof/>
            <w:webHidden/>
          </w:rPr>
          <w:t>126</w:t>
        </w:r>
        <w:r w:rsidR="0037748E">
          <w:rPr>
            <w:noProof/>
            <w:webHidden/>
          </w:rPr>
          <w:fldChar w:fldCharType="end"/>
        </w:r>
      </w:hyperlink>
    </w:p>
    <w:p w14:paraId="5B591A46" w14:textId="2FBFCEED"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43" w:history="1">
        <w:r w:rsidR="0037748E" w:rsidRPr="00707013">
          <w:rPr>
            <w:rStyle w:val="Hyperlink"/>
            <w:noProof/>
          </w:rPr>
          <w:t>Figura 40. Emetimet e GS-ve në Kosovë sipas kategorive, 2021 - 2040 (Mt CO</w:t>
        </w:r>
        <w:r w:rsidR="0037748E" w:rsidRPr="00707013">
          <w:rPr>
            <w:rStyle w:val="Hyperlink"/>
            <w:noProof/>
            <w:vertAlign w:val="subscript"/>
          </w:rPr>
          <w:t>2</w:t>
        </w:r>
        <w:r w:rsidR="0037748E" w:rsidRPr="00707013">
          <w:rPr>
            <w:rStyle w:val="Hyperlink"/>
            <w:noProof/>
          </w:rPr>
          <w:t>-eq)</w:t>
        </w:r>
        <w:r w:rsidR="0037748E">
          <w:rPr>
            <w:noProof/>
            <w:webHidden/>
          </w:rPr>
          <w:tab/>
        </w:r>
        <w:r w:rsidR="0037748E">
          <w:rPr>
            <w:noProof/>
            <w:webHidden/>
          </w:rPr>
          <w:fldChar w:fldCharType="begin"/>
        </w:r>
        <w:r w:rsidR="0037748E">
          <w:rPr>
            <w:noProof/>
            <w:webHidden/>
          </w:rPr>
          <w:instrText xml:space="preserve"> PAGEREF _Toc181867243 \h </w:instrText>
        </w:r>
        <w:r w:rsidR="0037748E">
          <w:rPr>
            <w:noProof/>
            <w:webHidden/>
          </w:rPr>
        </w:r>
        <w:r w:rsidR="0037748E">
          <w:rPr>
            <w:noProof/>
            <w:webHidden/>
          </w:rPr>
          <w:fldChar w:fldCharType="separate"/>
        </w:r>
        <w:r w:rsidR="003B7FFA">
          <w:rPr>
            <w:noProof/>
            <w:webHidden/>
          </w:rPr>
          <w:t>126</w:t>
        </w:r>
        <w:r w:rsidR="0037748E">
          <w:rPr>
            <w:noProof/>
            <w:webHidden/>
          </w:rPr>
          <w:fldChar w:fldCharType="end"/>
        </w:r>
      </w:hyperlink>
    </w:p>
    <w:p w14:paraId="0451C6A6" w14:textId="72BB4151"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44" w:history="1">
        <w:r w:rsidR="0037748E" w:rsidRPr="00707013">
          <w:rPr>
            <w:rStyle w:val="Hyperlink"/>
            <w:noProof/>
          </w:rPr>
          <w:t>Figura 41. Emetimet e GS-ve në Kosovë sipas kategorive, 2021 - 2040 (Mt CO</w:t>
        </w:r>
        <w:r w:rsidR="0037748E" w:rsidRPr="00707013">
          <w:rPr>
            <w:rStyle w:val="Hyperlink"/>
            <w:noProof/>
            <w:vertAlign w:val="subscript"/>
          </w:rPr>
          <w:t>2</w:t>
        </w:r>
        <w:r w:rsidR="0037748E" w:rsidRPr="00707013">
          <w:rPr>
            <w:rStyle w:val="Hyperlink"/>
            <w:noProof/>
          </w:rPr>
          <w:t>-eq) skenari WEM</w:t>
        </w:r>
        <w:r w:rsidR="0037748E">
          <w:rPr>
            <w:noProof/>
            <w:webHidden/>
          </w:rPr>
          <w:tab/>
        </w:r>
        <w:r w:rsidR="0037748E">
          <w:rPr>
            <w:noProof/>
            <w:webHidden/>
          </w:rPr>
          <w:fldChar w:fldCharType="begin"/>
        </w:r>
        <w:r w:rsidR="0037748E">
          <w:rPr>
            <w:noProof/>
            <w:webHidden/>
          </w:rPr>
          <w:instrText xml:space="preserve"> PAGEREF _Toc181867244 \h </w:instrText>
        </w:r>
        <w:r w:rsidR="0037748E">
          <w:rPr>
            <w:noProof/>
            <w:webHidden/>
          </w:rPr>
        </w:r>
        <w:r w:rsidR="0037748E">
          <w:rPr>
            <w:noProof/>
            <w:webHidden/>
          </w:rPr>
          <w:fldChar w:fldCharType="separate"/>
        </w:r>
        <w:r w:rsidR="003B7FFA">
          <w:rPr>
            <w:noProof/>
            <w:webHidden/>
          </w:rPr>
          <w:t>126</w:t>
        </w:r>
        <w:r w:rsidR="0037748E">
          <w:rPr>
            <w:noProof/>
            <w:webHidden/>
          </w:rPr>
          <w:fldChar w:fldCharType="end"/>
        </w:r>
      </w:hyperlink>
    </w:p>
    <w:p w14:paraId="503E9244" w14:textId="7E9053DB"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45" w:history="1">
        <w:r w:rsidR="0037748E" w:rsidRPr="00707013">
          <w:rPr>
            <w:rStyle w:val="Hyperlink"/>
            <w:noProof/>
          </w:rPr>
          <w:t>Figura 42. Pjesëmarrja e BRE-ve në bruto konsumin final të energjisë, energjisë elektrike dhe konsumin e ngrohjes dhe ftohjes</w:t>
        </w:r>
        <w:r w:rsidR="0037748E">
          <w:rPr>
            <w:noProof/>
            <w:webHidden/>
          </w:rPr>
          <w:tab/>
        </w:r>
        <w:r w:rsidR="0037748E">
          <w:rPr>
            <w:noProof/>
            <w:webHidden/>
          </w:rPr>
          <w:fldChar w:fldCharType="begin"/>
        </w:r>
        <w:r w:rsidR="0037748E">
          <w:rPr>
            <w:noProof/>
            <w:webHidden/>
          </w:rPr>
          <w:instrText xml:space="preserve"> PAGEREF _Toc181867245 \h </w:instrText>
        </w:r>
        <w:r w:rsidR="0037748E">
          <w:rPr>
            <w:noProof/>
            <w:webHidden/>
          </w:rPr>
        </w:r>
        <w:r w:rsidR="0037748E">
          <w:rPr>
            <w:noProof/>
            <w:webHidden/>
          </w:rPr>
          <w:fldChar w:fldCharType="separate"/>
        </w:r>
        <w:r w:rsidR="003B7FFA">
          <w:rPr>
            <w:noProof/>
            <w:webHidden/>
          </w:rPr>
          <w:t>127</w:t>
        </w:r>
        <w:r w:rsidR="0037748E">
          <w:rPr>
            <w:noProof/>
            <w:webHidden/>
          </w:rPr>
          <w:fldChar w:fldCharType="end"/>
        </w:r>
      </w:hyperlink>
    </w:p>
    <w:p w14:paraId="0B7E0AE1" w14:textId="21FFBC11"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46" w:history="1">
        <w:r w:rsidR="0037748E" w:rsidRPr="00707013">
          <w:rPr>
            <w:rStyle w:val="Hyperlink"/>
            <w:noProof/>
          </w:rPr>
          <w:t>Figura 43. Pjesëmarrja e BRE-ve në bruto konsumin final të energjisë në periudhën deri në vitin 2040</w:t>
        </w:r>
        <w:r w:rsidR="0037748E">
          <w:rPr>
            <w:noProof/>
            <w:webHidden/>
          </w:rPr>
          <w:tab/>
        </w:r>
        <w:r w:rsidR="0037748E">
          <w:rPr>
            <w:noProof/>
            <w:webHidden/>
          </w:rPr>
          <w:fldChar w:fldCharType="begin"/>
        </w:r>
        <w:r w:rsidR="0037748E">
          <w:rPr>
            <w:noProof/>
            <w:webHidden/>
          </w:rPr>
          <w:instrText xml:space="preserve"> PAGEREF _Toc181867246 \h </w:instrText>
        </w:r>
        <w:r w:rsidR="0037748E">
          <w:rPr>
            <w:noProof/>
            <w:webHidden/>
          </w:rPr>
        </w:r>
        <w:r w:rsidR="0037748E">
          <w:rPr>
            <w:noProof/>
            <w:webHidden/>
          </w:rPr>
          <w:fldChar w:fldCharType="separate"/>
        </w:r>
        <w:r w:rsidR="003B7FFA">
          <w:rPr>
            <w:noProof/>
            <w:webHidden/>
          </w:rPr>
          <w:t>128</w:t>
        </w:r>
        <w:r w:rsidR="0037748E">
          <w:rPr>
            <w:noProof/>
            <w:webHidden/>
          </w:rPr>
          <w:fldChar w:fldCharType="end"/>
        </w:r>
      </w:hyperlink>
    </w:p>
    <w:p w14:paraId="7D741AD9" w14:textId="7BA55488"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47" w:history="1">
        <w:r w:rsidR="0037748E" w:rsidRPr="00707013">
          <w:rPr>
            <w:rStyle w:val="Hyperlink"/>
            <w:noProof/>
          </w:rPr>
          <w:t>Figura 44. Pjesëmarrja e BRE-ve në bruto konsumin final të energjisë në periudhën deri në vitin 2040</w:t>
        </w:r>
        <w:r w:rsidR="0037748E">
          <w:rPr>
            <w:noProof/>
            <w:webHidden/>
          </w:rPr>
          <w:tab/>
        </w:r>
        <w:r w:rsidR="0037748E">
          <w:rPr>
            <w:noProof/>
            <w:webHidden/>
          </w:rPr>
          <w:fldChar w:fldCharType="begin"/>
        </w:r>
        <w:r w:rsidR="0037748E">
          <w:rPr>
            <w:noProof/>
            <w:webHidden/>
          </w:rPr>
          <w:instrText xml:space="preserve"> PAGEREF _Toc181867247 \h </w:instrText>
        </w:r>
        <w:r w:rsidR="0037748E">
          <w:rPr>
            <w:noProof/>
            <w:webHidden/>
          </w:rPr>
        </w:r>
        <w:r w:rsidR="0037748E">
          <w:rPr>
            <w:noProof/>
            <w:webHidden/>
          </w:rPr>
          <w:fldChar w:fldCharType="separate"/>
        </w:r>
        <w:r w:rsidR="003B7FFA">
          <w:rPr>
            <w:noProof/>
            <w:webHidden/>
          </w:rPr>
          <w:t>128</w:t>
        </w:r>
        <w:r w:rsidR="0037748E">
          <w:rPr>
            <w:noProof/>
            <w:webHidden/>
          </w:rPr>
          <w:fldChar w:fldCharType="end"/>
        </w:r>
      </w:hyperlink>
    </w:p>
    <w:p w14:paraId="6A36F11D" w14:textId="38F67502"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48" w:history="1">
        <w:r w:rsidR="0037748E" w:rsidRPr="00707013">
          <w:rPr>
            <w:rStyle w:val="Hyperlink"/>
            <w:noProof/>
          </w:rPr>
          <w:t>Figura 45. Pjesëmarrja e BRE-ve në bruto konsumin final të energjisë për ngrohje dhe ftohje në periudhën deri në vitin 2040</w:t>
        </w:r>
        <w:r w:rsidR="0037748E">
          <w:rPr>
            <w:noProof/>
            <w:webHidden/>
          </w:rPr>
          <w:tab/>
        </w:r>
        <w:r w:rsidR="0037748E">
          <w:rPr>
            <w:noProof/>
            <w:webHidden/>
          </w:rPr>
          <w:fldChar w:fldCharType="begin"/>
        </w:r>
        <w:r w:rsidR="0037748E">
          <w:rPr>
            <w:noProof/>
            <w:webHidden/>
          </w:rPr>
          <w:instrText xml:space="preserve"> PAGEREF _Toc181867248 \h </w:instrText>
        </w:r>
        <w:r w:rsidR="0037748E">
          <w:rPr>
            <w:noProof/>
            <w:webHidden/>
          </w:rPr>
        </w:r>
        <w:r w:rsidR="0037748E">
          <w:rPr>
            <w:noProof/>
            <w:webHidden/>
          </w:rPr>
          <w:fldChar w:fldCharType="separate"/>
        </w:r>
        <w:r w:rsidR="003B7FFA">
          <w:rPr>
            <w:noProof/>
            <w:webHidden/>
          </w:rPr>
          <w:t>128</w:t>
        </w:r>
        <w:r w:rsidR="0037748E">
          <w:rPr>
            <w:noProof/>
            <w:webHidden/>
          </w:rPr>
          <w:fldChar w:fldCharType="end"/>
        </w:r>
      </w:hyperlink>
    </w:p>
    <w:p w14:paraId="58CCD028" w14:textId="5A2B65F6"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49" w:history="1">
        <w:r w:rsidR="0037748E" w:rsidRPr="00707013">
          <w:rPr>
            <w:rStyle w:val="Hyperlink"/>
            <w:noProof/>
          </w:rPr>
          <w:t>Figura 46. Pjesëmarrja e BRE-ve në bruto konsumin final të energjisë në transport në periudhën deri në vitin 2040</w:t>
        </w:r>
        <w:r w:rsidR="0037748E">
          <w:rPr>
            <w:noProof/>
            <w:webHidden/>
          </w:rPr>
          <w:tab/>
        </w:r>
        <w:r w:rsidR="0037748E">
          <w:rPr>
            <w:noProof/>
            <w:webHidden/>
          </w:rPr>
          <w:fldChar w:fldCharType="begin"/>
        </w:r>
        <w:r w:rsidR="0037748E">
          <w:rPr>
            <w:noProof/>
            <w:webHidden/>
          </w:rPr>
          <w:instrText xml:space="preserve"> PAGEREF _Toc181867249 \h </w:instrText>
        </w:r>
        <w:r w:rsidR="0037748E">
          <w:rPr>
            <w:noProof/>
            <w:webHidden/>
          </w:rPr>
        </w:r>
        <w:r w:rsidR="0037748E">
          <w:rPr>
            <w:noProof/>
            <w:webHidden/>
          </w:rPr>
          <w:fldChar w:fldCharType="separate"/>
        </w:r>
        <w:r w:rsidR="003B7FFA">
          <w:rPr>
            <w:noProof/>
            <w:webHidden/>
          </w:rPr>
          <w:t>128</w:t>
        </w:r>
        <w:r w:rsidR="0037748E">
          <w:rPr>
            <w:noProof/>
            <w:webHidden/>
          </w:rPr>
          <w:fldChar w:fldCharType="end"/>
        </w:r>
      </w:hyperlink>
    </w:p>
    <w:p w14:paraId="445A7A94" w14:textId="0EAC6286"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50" w:history="1">
        <w:r w:rsidR="0037748E" w:rsidRPr="00707013">
          <w:rPr>
            <w:rStyle w:val="Hyperlink"/>
            <w:noProof/>
          </w:rPr>
          <w:t>Figura 47. Pasqyra e përgjithshme e konsumit primar të energjisë sipas lëndëve djegëse 2013-2021</w:t>
        </w:r>
        <w:r w:rsidR="0037748E">
          <w:rPr>
            <w:noProof/>
            <w:webHidden/>
          </w:rPr>
          <w:tab/>
        </w:r>
        <w:r w:rsidR="0037748E">
          <w:rPr>
            <w:noProof/>
            <w:webHidden/>
          </w:rPr>
          <w:fldChar w:fldCharType="begin"/>
        </w:r>
        <w:r w:rsidR="0037748E">
          <w:rPr>
            <w:noProof/>
            <w:webHidden/>
          </w:rPr>
          <w:instrText xml:space="preserve"> PAGEREF _Toc181867250 \h </w:instrText>
        </w:r>
        <w:r w:rsidR="0037748E">
          <w:rPr>
            <w:noProof/>
            <w:webHidden/>
          </w:rPr>
        </w:r>
        <w:r w:rsidR="0037748E">
          <w:rPr>
            <w:noProof/>
            <w:webHidden/>
          </w:rPr>
          <w:fldChar w:fldCharType="separate"/>
        </w:r>
        <w:r w:rsidR="003B7FFA">
          <w:rPr>
            <w:noProof/>
            <w:webHidden/>
          </w:rPr>
          <w:t>129</w:t>
        </w:r>
        <w:r w:rsidR="0037748E">
          <w:rPr>
            <w:noProof/>
            <w:webHidden/>
          </w:rPr>
          <w:fldChar w:fldCharType="end"/>
        </w:r>
      </w:hyperlink>
    </w:p>
    <w:p w14:paraId="5E1D56C2" w14:textId="3B6709D1"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51" w:history="1">
        <w:r w:rsidR="0037748E" w:rsidRPr="00707013">
          <w:rPr>
            <w:rStyle w:val="Hyperlink"/>
            <w:noProof/>
          </w:rPr>
          <w:t>Figura 48. Pjesëmarrja sipas karburanteve në konsumin primar të energjisë, 2021</w:t>
        </w:r>
        <w:r w:rsidR="0037748E">
          <w:rPr>
            <w:noProof/>
            <w:webHidden/>
          </w:rPr>
          <w:tab/>
        </w:r>
        <w:r w:rsidR="0037748E">
          <w:rPr>
            <w:noProof/>
            <w:webHidden/>
          </w:rPr>
          <w:fldChar w:fldCharType="begin"/>
        </w:r>
        <w:r w:rsidR="0037748E">
          <w:rPr>
            <w:noProof/>
            <w:webHidden/>
          </w:rPr>
          <w:instrText xml:space="preserve"> PAGEREF _Toc181867251 \h </w:instrText>
        </w:r>
        <w:r w:rsidR="0037748E">
          <w:rPr>
            <w:noProof/>
            <w:webHidden/>
          </w:rPr>
        </w:r>
        <w:r w:rsidR="0037748E">
          <w:rPr>
            <w:noProof/>
            <w:webHidden/>
          </w:rPr>
          <w:fldChar w:fldCharType="separate"/>
        </w:r>
        <w:r w:rsidR="003B7FFA">
          <w:rPr>
            <w:noProof/>
            <w:webHidden/>
          </w:rPr>
          <w:t>129</w:t>
        </w:r>
        <w:r w:rsidR="0037748E">
          <w:rPr>
            <w:noProof/>
            <w:webHidden/>
          </w:rPr>
          <w:fldChar w:fldCharType="end"/>
        </w:r>
      </w:hyperlink>
    </w:p>
    <w:p w14:paraId="269625E6" w14:textId="733756FD"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52" w:history="1">
        <w:r w:rsidR="0037748E" w:rsidRPr="00707013">
          <w:rPr>
            <w:rStyle w:val="Hyperlink"/>
            <w:noProof/>
          </w:rPr>
          <w:t>Figura 49. Pasqyra e përgjithshme e konsumit final sipas sektorëve, 2013-2021</w:t>
        </w:r>
        <w:r w:rsidR="0037748E">
          <w:rPr>
            <w:noProof/>
            <w:webHidden/>
          </w:rPr>
          <w:tab/>
        </w:r>
        <w:r w:rsidR="0037748E">
          <w:rPr>
            <w:noProof/>
            <w:webHidden/>
          </w:rPr>
          <w:fldChar w:fldCharType="begin"/>
        </w:r>
        <w:r w:rsidR="0037748E">
          <w:rPr>
            <w:noProof/>
            <w:webHidden/>
          </w:rPr>
          <w:instrText xml:space="preserve"> PAGEREF _Toc181867252 \h </w:instrText>
        </w:r>
        <w:r w:rsidR="0037748E">
          <w:rPr>
            <w:noProof/>
            <w:webHidden/>
          </w:rPr>
        </w:r>
        <w:r w:rsidR="0037748E">
          <w:rPr>
            <w:noProof/>
            <w:webHidden/>
          </w:rPr>
          <w:fldChar w:fldCharType="separate"/>
        </w:r>
        <w:r w:rsidR="003B7FFA">
          <w:rPr>
            <w:noProof/>
            <w:webHidden/>
          </w:rPr>
          <w:t>129</w:t>
        </w:r>
        <w:r w:rsidR="0037748E">
          <w:rPr>
            <w:noProof/>
            <w:webHidden/>
          </w:rPr>
          <w:fldChar w:fldCharType="end"/>
        </w:r>
      </w:hyperlink>
    </w:p>
    <w:p w14:paraId="69389EBA" w14:textId="028DDCB4"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53" w:history="1">
        <w:r w:rsidR="0037748E" w:rsidRPr="00707013">
          <w:rPr>
            <w:rStyle w:val="Hyperlink"/>
            <w:noProof/>
          </w:rPr>
          <w:t>Figura 50. Pjesëmarrja sipas karburanteve në konsumin final të energjisë, 2021</w:t>
        </w:r>
        <w:r w:rsidR="0037748E">
          <w:rPr>
            <w:noProof/>
            <w:webHidden/>
          </w:rPr>
          <w:tab/>
        </w:r>
        <w:r w:rsidR="0037748E">
          <w:rPr>
            <w:noProof/>
            <w:webHidden/>
          </w:rPr>
          <w:fldChar w:fldCharType="begin"/>
        </w:r>
        <w:r w:rsidR="0037748E">
          <w:rPr>
            <w:noProof/>
            <w:webHidden/>
          </w:rPr>
          <w:instrText xml:space="preserve"> PAGEREF _Toc181867253 \h </w:instrText>
        </w:r>
        <w:r w:rsidR="0037748E">
          <w:rPr>
            <w:noProof/>
            <w:webHidden/>
          </w:rPr>
        </w:r>
        <w:r w:rsidR="0037748E">
          <w:rPr>
            <w:noProof/>
            <w:webHidden/>
          </w:rPr>
          <w:fldChar w:fldCharType="separate"/>
        </w:r>
        <w:r w:rsidR="003B7FFA">
          <w:rPr>
            <w:noProof/>
            <w:webHidden/>
          </w:rPr>
          <w:t>129</w:t>
        </w:r>
        <w:r w:rsidR="0037748E">
          <w:rPr>
            <w:noProof/>
            <w:webHidden/>
          </w:rPr>
          <w:fldChar w:fldCharType="end"/>
        </w:r>
      </w:hyperlink>
    </w:p>
    <w:p w14:paraId="3C2E2BEC" w14:textId="3F40538D"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54" w:history="1">
        <w:r w:rsidR="0037748E" w:rsidRPr="00707013">
          <w:rPr>
            <w:rStyle w:val="Hyperlink"/>
            <w:noProof/>
          </w:rPr>
          <w:t>Figura 51. Konsumi primar i energjisë sipas lëndëve djegëse, 2021-2040 (ktoe), skenari WEM</w:t>
        </w:r>
        <w:r w:rsidR="0037748E">
          <w:rPr>
            <w:noProof/>
            <w:webHidden/>
          </w:rPr>
          <w:tab/>
        </w:r>
        <w:r w:rsidR="0037748E">
          <w:rPr>
            <w:noProof/>
            <w:webHidden/>
          </w:rPr>
          <w:fldChar w:fldCharType="begin"/>
        </w:r>
        <w:r w:rsidR="0037748E">
          <w:rPr>
            <w:noProof/>
            <w:webHidden/>
          </w:rPr>
          <w:instrText xml:space="preserve"> PAGEREF _Toc181867254 \h </w:instrText>
        </w:r>
        <w:r w:rsidR="0037748E">
          <w:rPr>
            <w:noProof/>
            <w:webHidden/>
          </w:rPr>
        </w:r>
        <w:r w:rsidR="0037748E">
          <w:rPr>
            <w:noProof/>
            <w:webHidden/>
          </w:rPr>
          <w:fldChar w:fldCharType="separate"/>
        </w:r>
        <w:r w:rsidR="003B7FFA">
          <w:rPr>
            <w:noProof/>
            <w:webHidden/>
          </w:rPr>
          <w:t>131</w:t>
        </w:r>
        <w:r w:rsidR="0037748E">
          <w:rPr>
            <w:noProof/>
            <w:webHidden/>
          </w:rPr>
          <w:fldChar w:fldCharType="end"/>
        </w:r>
      </w:hyperlink>
    </w:p>
    <w:p w14:paraId="5257DB38" w14:textId="1776FA35"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55" w:history="1">
        <w:r w:rsidR="0037748E" w:rsidRPr="00707013">
          <w:rPr>
            <w:rStyle w:val="Hyperlink"/>
            <w:noProof/>
          </w:rPr>
          <w:t>Figura 52. Konsumi final i energjisë sipas lëndëve djegëse, 2021-2040 (ktoe), skenari WEM</w:t>
        </w:r>
        <w:r w:rsidR="0037748E">
          <w:rPr>
            <w:noProof/>
            <w:webHidden/>
          </w:rPr>
          <w:tab/>
        </w:r>
        <w:r w:rsidR="0037748E">
          <w:rPr>
            <w:noProof/>
            <w:webHidden/>
          </w:rPr>
          <w:fldChar w:fldCharType="begin"/>
        </w:r>
        <w:r w:rsidR="0037748E">
          <w:rPr>
            <w:noProof/>
            <w:webHidden/>
          </w:rPr>
          <w:instrText xml:space="preserve"> PAGEREF _Toc181867255 \h </w:instrText>
        </w:r>
        <w:r w:rsidR="0037748E">
          <w:rPr>
            <w:noProof/>
            <w:webHidden/>
          </w:rPr>
        </w:r>
        <w:r w:rsidR="0037748E">
          <w:rPr>
            <w:noProof/>
            <w:webHidden/>
          </w:rPr>
          <w:fldChar w:fldCharType="separate"/>
        </w:r>
        <w:r w:rsidR="003B7FFA">
          <w:rPr>
            <w:noProof/>
            <w:webHidden/>
          </w:rPr>
          <w:t>132</w:t>
        </w:r>
        <w:r w:rsidR="0037748E">
          <w:rPr>
            <w:noProof/>
            <w:webHidden/>
          </w:rPr>
          <w:fldChar w:fldCharType="end"/>
        </w:r>
      </w:hyperlink>
    </w:p>
    <w:p w14:paraId="0F81CF0F" w14:textId="4EBCCA69"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56" w:history="1">
        <w:r w:rsidR="0037748E" w:rsidRPr="00707013">
          <w:rPr>
            <w:rStyle w:val="Hyperlink"/>
            <w:noProof/>
          </w:rPr>
          <w:t>Figura 53. Konsumi final i energjisë sipas sektorëve, 2021-2040 (ktoe), skenari WEM</w:t>
        </w:r>
        <w:r w:rsidR="0037748E">
          <w:rPr>
            <w:noProof/>
            <w:webHidden/>
          </w:rPr>
          <w:tab/>
        </w:r>
        <w:r w:rsidR="0037748E">
          <w:rPr>
            <w:noProof/>
            <w:webHidden/>
          </w:rPr>
          <w:fldChar w:fldCharType="begin"/>
        </w:r>
        <w:r w:rsidR="0037748E">
          <w:rPr>
            <w:noProof/>
            <w:webHidden/>
          </w:rPr>
          <w:instrText xml:space="preserve"> PAGEREF _Toc181867256 \h </w:instrText>
        </w:r>
        <w:r w:rsidR="0037748E">
          <w:rPr>
            <w:noProof/>
            <w:webHidden/>
          </w:rPr>
        </w:r>
        <w:r w:rsidR="0037748E">
          <w:rPr>
            <w:noProof/>
            <w:webHidden/>
          </w:rPr>
          <w:fldChar w:fldCharType="separate"/>
        </w:r>
        <w:r w:rsidR="003B7FFA">
          <w:rPr>
            <w:noProof/>
            <w:webHidden/>
          </w:rPr>
          <w:t>132</w:t>
        </w:r>
        <w:r w:rsidR="0037748E">
          <w:rPr>
            <w:noProof/>
            <w:webHidden/>
          </w:rPr>
          <w:fldChar w:fldCharType="end"/>
        </w:r>
      </w:hyperlink>
    </w:p>
    <w:p w14:paraId="01F13284" w14:textId="1CB048FB"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57" w:history="1">
        <w:r w:rsidR="0037748E" w:rsidRPr="00707013">
          <w:rPr>
            <w:rStyle w:val="Hyperlink"/>
            <w:noProof/>
          </w:rPr>
          <w:t>Figura 54. Importet e produkteve të naftës sipas vendit të origjinës (2021)</w:t>
        </w:r>
        <w:r w:rsidR="0037748E">
          <w:rPr>
            <w:noProof/>
            <w:webHidden/>
          </w:rPr>
          <w:tab/>
        </w:r>
        <w:r w:rsidR="0037748E">
          <w:rPr>
            <w:noProof/>
            <w:webHidden/>
          </w:rPr>
          <w:fldChar w:fldCharType="begin"/>
        </w:r>
        <w:r w:rsidR="0037748E">
          <w:rPr>
            <w:noProof/>
            <w:webHidden/>
          </w:rPr>
          <w:instrText xml:space="preserve"> PAGEREF _Toc181867257 \h </w:instrText>
        </w:r>
        <w:r w:rsidR="0037748E">
          <w:rPr>
            <w:noProof/>
            <w:webHidden/>
          </w:rPr>
        </w:r>
        <w:r w:rsidR="0037748E">
          <w:rPr>
            <w:noProof/>
            <w:webHidden/>
          </w:rPr>
          <w:fldChar w:fldCharType="separate"/>
        </w:r>
        <w:r w:rsidR="003B7FFA">
          <w:rPr>
            <w:noProof/>
            <w:webHidden/>
          </w:rPr>
          <w:t>134</w:t>
        </w:r>
        <w:r w:rsidR="0037748E">
          <w:rPr>
            <w:noProof/>
            <w:webHidden/>
          </w:rPr>
          <w:fldChar w:fldCharType="end"/>
        </w:r>
      </w:hyperlink>
    </w:p>
    <w:p w14:paraId="1D2BB10C" w14:textId="57B57EE0"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58" w:history="1">
        <w:r w:rsidR="0037748E" w:rsidRPr="00707013">
          <w:rPr>
            <w:rStyle w:val="Hyperlink"/>
            <w:noProof/>
          </w:rPr>
          <w:t>Figura 55. Përzierja e energjisë elektrike në bruto konsumin final sipas burimit (pas vitit 2021: projeksionet)</w:t>
        </w:r>
        <w:r w:rsidR="0037748E">
          <w:rPr>
            <w:noProof/>
            <w:webHidden/>
          </w:rPr>
          <w:tab/>
        </w:r>
        <w:r w:rsidR="0037748E">
          <w:rPr>
            <w:noProof/>
            <w:webHidden/>
          </w:rPr>
          <w:fldChar w:fldCharType="begin"/>
        </w:r>
        <w:r w:rsidR="0037748E">
          <w:rPr>
            <w:noProof/>
            <w:webHidden/>
          </w:rPr>
          <w:instrText xml:space="preserve"> PAGEREF _Toc181867258 \h </w:instrText>
        </w:r>
        <w:r w:rsidR="0037748E">
          <w:rPr>
            <w:noProof/>
            <w:webHidden/>
          </w:rPr>
        </w:r>
        <w:r w:rsidR="0037748E">
          <w:rPr>
            <w:noProof/>
            <w:webHidden/>
          </w:rPr>
          <w:fldChar w:fldCharType="separate"/>
        </w:r>
        <w:r w:rsidR="003B7FFA">
          <w:rPr>
            <w:noProof/>
            <w:webHidden/>
          </w:rPr>
          <w:t>134</w:t>
        </w:r>
        <w:r w:rsidR="0037748E">
          <w:rPr>
            <w:noProof/>
            <w:webHidden/>
          </w:rPr>
          <w:fldChar w:fldCharType="end"/>
        </w:r>
      </w:hyperlink>
    </w:p>
    <w:p w14:paraId="3033CA97" w14:textId="3F2E3C10"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59" w:history="1">
        <w:r w:rsidR="0037748E" w:rsidRPr="00707013">
          <w:rPr>
            <w:rStyle w:val="Hyperlink"/>
            <w:noProof/>
          </w:rPr>
          <w:t>Figura 56. Prodhimi i brendshëm i energjisë sipas burimit (pas vitit 2021: projeksionet)</w:t>
        </w:r>
        <w:r w:rsidR="0037748E">
          <w:rPr>
            <w:noProof/>
            <w:webHidden/>
          </w:rPr>
          <w:tab/>
        </w:r>
        <w:r w:rsidR="0037748E">
          <w:rPr>
            <w:noProof/>
            <w:webHidden/>
          </w:rPr>
          <w:fldChar w:fldCharType="begin"/>
        </w:r>
        <w:r w:rsidR="0037748E">
          <w:rPr>
            <w:noProof/>
            <w:webHidden/>
          </w:rPr>
          <w:instrText xml:space="preserve"> PAGEREF _Toc181867259 \h </w:instrText>
        </w:r>
        <w:r w:rsidR="0037748E">
          <w:rPr>
            <w:noProof/>
            <w:webHidden/>
          </w:rPr>
        </w:r>
        <w:r w:rsidR="0037748E">
          <w:rPr>
            <w:noProof/>
            <w:webHidden/>
          </w:rPr>
          <w:fldChar w:fldCharType="separate"/>
        </w:r>
        <w:r w:rsidR="003B7FFA">
          <w:rPr>
            <w:noProof/>
            <w:webHidden/>
          </w:rPr>
          <w:t>135</w:t>
        </w:r>
        <w:r w:rsidR="0037748E">
          <w:rPr>
            <w:noProof/>
            <w:webHidden/>
          </w:rPr>
          <w:fldChar w:fldCharType="end"/>
        </w:r>
      </w:hyperlink>
    </w:p>
    <w:p w14:paraId="4DEFDA4C" w14:textId="342A1CC6"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60" w:history="1">
        <w:r w:rsidR="0037748E" w:rsidRPr="00707013">
          <w:rPr>
            <w:rStyle w:val="Hyperlink"/>
            <w:noProof/>
          </w:rPr>
          <w:t>Figura 57. Importet neto nga transportuesit e energjisë (pas vitit 2021: projeksionet)</w:t>
        </w:r>
        <w:r w:rsidR="0037748E">
          <w:rPr>
            <w:noProof/>
            <w:webHidden/>
          </w:rPr>
          <w:tab/>
        </w:r>
        <w:r w:rsidR="0037748E">
          <w:rPr>
            <w:noProof/>
            <w:webHidden/>
          </w:rPr>
          <w:fldChar w:fldCharType="begin"/>
        </w:r>
        <w:r w:rsidR="0037748E">
          <w:rPr>
            <w:noProof/>
            <w:webHidden/>
          </w:rPr>
          <w:instrText xml:space="preserve"> PAGEREF _Toc181867260 \h </w:instrText>
        </w:r>
        <w:r w:rsidR="0037748E">
          <w:rPr>
            <w:noProof/>
            <w:webHidden/>
          </w:rPr>
        </w:r>
        <w:r w:rsidR="0037748E">
          <w:rPr>
            <w:noProof/>
            <w:webHidden/>
          </w:rPr>
          <w:fldChar w:fldCharType="separate"/>
        </w:r>
        <w:r w:rsidR="003B7FFA">
          <w:rPr>
            <w:noProof/>
            <w:webHidden/>
          </w:rPr>
          <w:t>135</w:t>
        </w:r>
        <w:r w:rsidR="0037748E">
          <w:rPr>
            <w:noProof/>
            <w:webHidden/>
          </w:rPr>
          <w:fldChar w:fldCharType="end"/>
        </w:r>
      </w:hyperlink>
    </w:p>
    <w:p w14:paraId="05966E7A" w14:textId="3636C559"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61" w:history="1">
        <w:r w:rsidR="0037748E" w:rsidRPr="00707013">
          <w:rPr>
            <w:rStyle w:val="Hyperlink"/>
            <w:noProof/>
          </w:rPr>
          <w:t>Figura 58. Kapaciteti nominal transmetues i interkonektorëve në kufijtë e Kosovës dhe vlerat maksimale të kapacitetit të transmisionit (NTC)</w:t>
        </w:r>
        <w:r w:rsidR="0037748E">
          <w:rPr>
            <w:noProof/>
            <w:webHidden/>
          </w:rPr>
          <w:tab/>
        </w:r>
        <w:r w:rsidR="0037748E">
          <w:rPr>
            <w:noProof/>
            <w:webHidden/>
          </w:rPr>
          <w:fldChar w:fldCharType="begin"/>
        </w:r>
        <w:r w:rsidR="0037748E">
          <w:rPr>
            <w:noProof/>
            <w:webHidden/>
          </w:rPr>
          <w:instrText xml:space="preserve"> PAGEREF _Toc181867261 \h </w:instrText>
        </w:r>
        <w:r w:rsidR="0037748E">
          <w:rPr>
            <w:noProof/>
            <w:webHidden/>
          </w:rPr>
        </w:r>
        <w:r w:rsidR="0037748E">
          <w:rPr>
            <w:noProof/>
            <w:webHidden/>
          </w:rPr>
          <w:fldChar w:fldCharType="separate"/>
        </w:r>
        <w:r w:rsidR="003B7FFA">
          <w:rPr>
            <w:noProof/>
            <w:webHidden/>
          </w:rPr>
          <w:t>136</w:t>
        </w:r>
        <w:r w:rsidR="0037748E">
          <w:rPr>
            <w:noProof/>
            <w:webHidden/>
          </w:rPr>
          <w:fldChar w:fldCharType="end"/>
        </w:r>
      </w:hyperlink>
    </w:p>
    <w:p w14:paraId="77190221" w14:textId="4F37688A"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62" w:history="1">
        <w:r w:rsidR="0037748E" w:rsidRPr="00707013">
          <w:rPr>
            <w:rStyle w:val="Hyperlink"/>
            <w:noProof/>
          </w:rPr>
          <w:t>Figura 59. Harta e transmisionit të Kosovës</w:t>
        </w:r>
        <w:r w:rsidR="0037748E">
          <w:rPr>
            <w:noProof/>
            <w:webHidden/>
          </w:rPr>
          <w:tab/>
        </w:r>
        <w:r w:rsidR="0037748E">
          <w:rPr>
            <w:noProof/>
            <w:webHidden/>
          </w:rPr>
          <w:fldChar w:fldCharType="begin"/>
        </w:r>
        <w:r w:rsidR="0037748E">
          <w:rPr>
            <w:noProof/>
            <w:webHidden/>
          </w:rPr>
          <w:instrText xml:space="preserve"> PAGEREF _Toc181867262 \h </w:instrText>
        </w:r>
        <w:r w:rsidR="0037748E">
          <w:rPr>
            <w:noProof/>
            <w:webHidden/>
          </w:rPr>
        </w:r>
        <w:r w:rsidR="0037748E">
          <w:rPr>
            <w:noProof/>
            <w:webHidden/>
          </w:rPr>
          <w:fldChar w:fldCharType="separate"/>
        </w:r>
        <w:r w:rsidR="003B7FFA">
          <w:rPr>
            <w:noProof/>
            <w:webHidden/>
          </w:rPr>
          <w:t>137</w:t>
        </w:r>
        <w:r w:rsidR="0037748E">
          <w:rPr>
            <w:noProof/>
            <w:webHidden/>
          </w:rPr>
          <w:fldChar w:fldCharType="end"/>
        </w:r>
      </w:hyperlink>
    </w:p>
    <w:p w14:paraId="15739497" w14:textId="23764C56"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63" w:history="1">
        <w:r w:rsidR="0037748E" w:rsidRPr="00707013">
          <w:rPr>
            <w:rStyle w:val="Hyperlink"/>
            <w:noProof/>
          </w:rPr>
          <w:t>Figura 60. Çmimi mesatar i shitjes së energjisë elektrike pa TVSH</w:t>
        </w:r>
        <w:r w:rsidR="0037748E">
          <w:rPr>
            <w:noProof/>
            <w:webHidden/>
          </w:rPr>
          <w:tab/>
        </w:r>
        <w:r w:rsidR="0037748E">
          <w:rPr>
            <w:noProof/>
            <w:webHidden/>
          </w:rPr>
          <w:fldChar w:fldCharType="begin"/>
        </w:r>
        <w:r w:rsidR="0037748E">
          <w:rPr>
            <w:noProof/>
            <w:webHidden/>
          </w:rPr>
          <w:instrText xml:space="preserve"> PAGEREF _Toc181867263 \h </w:instrText>
        </w:r>
        <w:r w:rsidR="0037748E">
          <w:rPr>
            <w:noProof/>
            <w:webHidden/>
          </w:rPr>
        </w:r>
        <w:r w:rsidR="0037748E">
          <w:rPr>
            <w:noProof/>
            <w:webHidden/>
          </w:rPr>
          <w:fldChar w:fldCharType="separate"/>
        </w:r>
        <w:r w:rsidR="003B7FFA">
          <w:rPr>
            <w:noProof/>
            <w:webHidden/>
          </w:rPr>
          <w:t>147</w:t>
        </w:r>
        <w:r w:rsidR="0037748E">
          <w:rPr>
            <w:noProof/>
            <w:webHidden/>
          </w:rPr>
          <w:fldChar w:fldCharType="end"/>
        </w:r>
      </w:hyperlink>
    </w:p>
    <w:p w14:paraId="0E182E37" w14:textId="25A3A141"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64" w:history="1">
        <w:r w:rsidR="0037748E" w:rsidRPr="00707013">
          <w:rPr>
            <w:rStyle w:val="Hyperlink"/>
            <w:noProof/>
          </w:rPr>
          <w:t>Figura 61. Çmimi mesatar i energjisë elektrike për ekonomitë familjare dhe jofamiljare 2011 - 2022</w:t>
        </w:r>
        <w:r w:rsidR="0037748E">
          <w:rPr>
            <w:noProof/>
            <w:webHidden/>
          </w:rPr>
          <w:tab/>
        </w:r>
        <w:r w:rsidR="0037748E">
          <w:rPr>
            <w:noProof/>
            <w:webHidden/>
          </w:rPr>
          <w:fldChar w:fldCharType="begin"/>
        </w:r>
        <w:r w:rsidR="0037748E">
          <w:rPr>
            <w:noProof/>
            <w:webHidden/>
          </w:rPr>
          <w:instrText xml:space="preserve"> PAGEREF _Toc181867264 \h </w:instrText>
        </w:r>
        <w:r w:rsidR="0037748E">
          <w:rPr>
            <w:noProof/>
            <w:webHidden/>
          </w:rPr>
        </w:r>
        <w:r w:rsidR="0037748E">
          <w:rPr>
            <w:noProof/>
            <w:webHidden/>
          </w:rPr>
          <w:fldChar w:fldCharType="separate"/>
        </w:r>
        <w:r w:rsidR="003B7FFA">
          <w:rPr>
            <w:noProof/>
            <w:webHidden/>
          </w:rPr>
          <w:t>147</w:t>
        </w:r>
        <w:r w:rsidR="0037748E">
          <w:rPr>
            <w:noProof/>
            <w:webHidden/>
          </w:rPr>
          <w:fldChar w:fldCharType="end"/>
        </w:r>
      </w:hyperlink>
    </w:p>
    <w:p w14:paraId="50B1A0C9" w14:textId="4392A02A"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65" w:history="1">
        <w:r w:rsidR="0037748E" w:rsidRPr="00707013">
          <w:rPr>
            <w:rStyle w:val="Hyperlink"/>
            <w:noProof/>
          </w:rPr>
          <w:t>Figura 62. Çmimet mesatare të energjisë elektrike (pa TVSH) për konsumatorët familjarë (gjysma e parë e vitit 2022)</w:t>
        </w:r>
        <w:r w:rsidR="0037748E">
          <w:rPr>
            <w:noProof/>
            <w:webHidden/>
          </w:rPr>
          <w:tab/>
        </w:r>
        <w:r w:rsidR="0037748E">
          <w:rPr>
            <w:noProof/>
            <w:webHidden/>
          </w:rPr>
          <w:fldChar w:fldCharType="begin"/>
        </w:r>
        <w:r w:rsidR="0037748E">
          <w:rPr>
            <w:noProof/>
            <w:webHidden/>
          </w:rPr>
          <w:instrText xml:space="preserve"> PAGEREF _Toc181867265 \h </w:instrText>
        </w:r>
        <w:r w:rsidR="0037748E">
          <w:rPr>
            <w:noProof/>
            <w:webHidden/>
          </w:rPr>
        </w:r>
        <w:r w:rsidR="0037748E">
          <w:rPr>
            <w:noProof/>
            <w:webHidden/>
          </w:rPr>
          <w:fldChar w:fldCharType="separate"/>
        </w:r>
        <w:r w:rsidR="003B7FFA">
          <w:rPr>
            <w:noProof/>
            <w:webHidden/>
          </w:rPr>
          <w:t>148</w:t>
        </w:r>
        <w:r w:rsidR="0037748E">
          <w:rPr>
            <w:noProof/>
            <w:webHidden/>
          </w:rPr>
          <w:fldChar w:fldCharType="end"/>
        </w:r>
      </w:hyperlink>
    </w:p>
    <w:p w14:paraId="497230AF" w14:textId="73E8829A"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66" w:history="1">
        <w:r w:rsidR="0037748E" w:rsidRPr="00707013">
          <w:rPr>
            <w:rStyle w:val="Hyperlink"/>
            <w:noProof/>
          </w:rPr>
          <w:t>Figura 63. Çmimet vjetore për naftën (2005-2021)</w:t>
        </w:r>
        <w:r w:rsidR="0037748E">
          <w:rPr>
            <w:noProof/>
            <w:webHidden/>
          </w:rPr>
          <w:tab/>
        </w:r>
        <w:r w:rsidR="0037748E">
          <w:rPr>
            <w:noProof/>
            <w:webHidden/>
          </w:rPr>
          <w:fldChar w:fldCharType="begin"/>
        </w:r>
        <w:r w:rsidR="0037748E">
          <w:rPr>
            <w:noProof/>
            <w:webHidden/>
          </w:rPr>
          <w:instrText xml:space="preserve"> PAGEREF _Toc181867266 \h </w:instrText>
        </w:r>
        <w:r w:rsidR="0037748E">
          <w:rPr>
            <w:noProof/>
            <w:webHidden/>
          </w:rPr>
        </w:r>
        <w:r w:rsidR="0037748E">
          <w:rPr>
            <w:noProof/>
            <w:webHidden/>
          </w:rPr>
          <w:fldChar w:fldCharType="separate"/>
        </w:r>
        <w:r w:rsidR="003B7FFA">
          <w:rPr>
            <w:noProof/>
            <w:webHidden/>
          </w:rPr>
          <w:t>148</w:t>
        </w:r>
        <w:r w:rsidR="0037748E">
          <w:rPr>
            <w:noProof/>
            <w:webHidden/>
          </w:rPr>
          <w:fldChar w:fldCharType="end"/>
        </w:r>
      </w:hyperlink>
    </w:p>
    <w:p w14:paraId="3CC29878" w14:textId="758089A8"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67" w:history="1">
        <w:r w:rsidR="0037748E" w:rsidRPr="00707013">
          <w:rPr>
            <w:rStyle w:val="Hyperlink"/>
            <w:noProof/>
          </w:rPr>
          <w:t>Figura 64 Çmimi i vlerësuar me pakicë i energjisë elektrike që mbulon koston (2030 dhe 2040)</w:t>
        </w:r>
        <w:r w:rsidR="0037748E">
          <w:rPr>
            <w:noProof/>
            <w:webHidden/>
          </w:rPr>
          <w:tab/>
        </w:r>
        <w:r w:rsidR="0037748E">
          <w:rPr>
            <w:noProof/>
            <w:webHidden/>
          </w:rPr>
          <w:fldChar w:fldCharType="begin"/>
        </w:r>
        <w:r w:rsidR="0037748E">
          <w:rPr>
            <w:noProof/>
            <w:webHidden/>
          </w:rPr>
          <w:instrText xml:space="preserve"> PAGEREF _Toc181867267 \h </w:instrText>
        </w:r>
        <w:r w:rsidR="0037748E">
          <w:rPr>
            <w:noProof/>
            <w:webHidden/>
          </w:rPr>
        </w:r>
        <w:r w:rsidR="0037748E">
          <w:rPr>
            <w:noProof/>
            <w:webHidden/>
          </w:rPr>
          <w:fldChar w:fldCharType="separate"/>
        </w:r>
        <w:r w:rsidR="003B7FFA">
          <w:rPr>
            <w:noProof/>
            <w:webHidden/>
          </w:rPr>
          <w:t>150</w:t>
        </w:r>
        <w:r w:rsidR="0037748E">
          <w:rPr>
            <w:noProof/>
            <w:webHidden/>
          </w:rPr>
          <w:fldChar w:fldCharType="end"/>
        </w:r>
      </w:hyperlink>
    </w:p>
    <w:p w14:paraId="106006D8" w14:textId="017350F5"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68" w:history="1">
        <w:r w:rsidR="0037748E" w:rsidRPr="00707013">
          <w:rPr>
            <w:rStyle w:val="Hyperlink"/>
            <w:noProof/>
          </w:rPr>
          <w:t>Figura 65. Emetimet e GS-ve (në pikën e shkarkimeve) – Krahasimi ndërmjet skenarëve WAM dhe WEM</w:t>
        </w:r>
        <w:r w:rsidR="0037748E">
          <w:rPr>
            <w:noProof/>
            <w:webHidden/>
          </w:rPr>
          <w:tab/>
        </w:r>
        <w:r w:rsidR="0037748E">
          <w:rPr>
            <w:noProof/>
            <w:webHidden/>
          </w:rPr>
          <w:fldChar w:fldCharType="begin"/>
        </w:r>
        <w:r w:rsidR="0037748E">
          <w:rPr>
            <w:noProof/>
            <w:webHidden/>
          </w:rPr>
          <w:instrText xml:space="preserve"> PAGEREF _Toc181867268 \h </w:instrText>
        </w:r>
        <w:r w:rsidR="0037748E">
          <w:rPr>
            <w:noProof/>
            <w:webHidden/>
          </w:rPr>
        </w:r>
        <w:r w:rsidR="0037748E">
          <w:rPr>
            <w:noProof/>
            <w:webHidden/>
          </w:rPr>
          <w:fldChar w:fldCharType="separate"/>
        </w:r>
        <w:r w:rsidR="003B7FFA">
          <w:rPr>
            <w:noProof/>
            <w:webHidden/>
          </w:rPr>
          <w:t>153</w:t>
        </w:r>
        <w:r w:rsidR="0037748E">
          <w:rPr>
            <w:noProof/>
            <w:webHidden/>
          </w:rPr>
          <w:fldChar w:fldCharType="end"/>
        </w:r>
      </w:hyperlink>
    </w:p>
    <w:p w14:paraId="4EF33860" w14:textId="484BA824"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69" w:history="1">
        <w:r w:rsidR="0037748E" w:rsidRPr="00707013">
          <w:rPr>
            <w:rStyle w:val="Hyperlink"/>
            <w:noProof/>
          </w:rPr>
          <w:t>Figura 66. Emetimet e GS-ve (në pikën e shkarkimeve) – Skenari WAM sipas sektorit dhe ndryshimet me skenarin WEM</w:t>
        </w:r>
        <w:r w:rsidR="0037748E">
          <w:rPr>
            <w:noProof/>
            <w:webHidden/>
          </w:rPr>
          <w:tab/>
        </w:r>
        <w:r w:rsidR="0037748E">
          <w:rPr>
            <w:noProof/>
            <w:webHidden/>
          </w:rPr>
          <w:fldChar w:fldCharType="begin"/>
        </w:r>
        <w:r w:rsidR="0037748E">
          <w:rPr>
            <w:noProof/>
            <w:webHidden/>
          </w:rPr>
          <w:instrText xml:space="preserve"> PAGEREF _Toc181867269 \h </w:instrText>
        </w:r>
        <w:r w:rsidR="0037748E">
          <w:rPr>
            <w:noProof/>
            <w:webHidden/>
          </w:rPr>
        </w:r>
        <w:r w:rsidR="0037748E">
          <w:rPr>
            <w:noProof/>
            <w:webHidden/>
          </w:rPr>
          <w:fldChar w:fldCharType="separate"/>
        </w:r>
        <w:r w:rsidR="003B7FFA">
          <w:rPr>
            <w:noProof/>
            <w:webHidden/>
          </w:rPr>
          <w:t>154</w:t>
        </w:r>
        <w:r w:rsidR="0037748E">
          <w:rPr>
            <w:noProof/>
            <w:webHidden/>
          </w:rPr>
          <w:fldChar w:fldCharType="end"/>
        </w:r>
      </w:hyperlink>
    </w:p>
    <w:p w14:paraId="63C6A5A5" w14:textId="1B4E443D"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70" w:history="1">
        <w:r w:rsidR="0037748E" w:rsidRPr="00707013">
          <w:rPr>
            <w:rStyle w:val="Hyperlink"/>
            <w:noProof/>
          </w:rPr>
          <w:t>Figura 67. Ndryshimet e emetimeve të GS-ve ndërmjet WAM dhe WEM - Sektori i BPPTT-së (GWP 100 vjeçare)</w:t>
        </w:r>
        <w:r w:rsidR="0037748E">
          <w:rPr>
            <w:noProof/>
            <w:webHidden/>
          </w:rPr>
          <w:tab/>
        </w:r>
        <w:r w:rsidR="0037748E">
          <w:rPr>
            <w:noProof/>
            <w:webHidden/>
          </w:rPr>
          <w:fldChar w:fldCharType="begin"/>
        </w:r>
        <w:r w:rsidR="0037748E">
          <w:rPr>
            <w:noProof/>
            <w:webHidden/>
          </w:rPr>
          <w:instrText xml:space="preserve"> PAGEREF _Toc181867270 \h </w:instrText>
        </w:r>
        <w:r w:rsidR="0037748E">
          <w:rPr>
            <w:noProof/>
            <w:webHidden/>
          </w:rPr>
        </w:r>
        <w:r w:rsidR="0037748E">
          <w:rPr>
            <w:noProof/>
            <w:webHidden/>
          </w:rPr>
          <w:fldChar w:fldCharType="separate"/>
        </w:r>
        <w:r w:rsidR="003B7FFA">
          <w:rPr>
            <w:noProof/>
            <w:webHidden/>
          </w:rPr>
          <w:t>154</w:t>
        </w:r>
        <w:r w:rsidR="0037748E">
          <w:rPr>
            <w:noProof/>
            <w:webHidden/>
          </w:rPr>
          <w:fldChar w:fldCharType="end"/>
        </w:r>
      </w:hyperlink>
    </w:p>
    <w:p w14:paraId="56CDA4EC" w14:textId="24554183"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71" w:history="1">
        <w:r w:rsidR="0037748E" w:rsidRPr="00707013">
          <w:rPr>
            <w:rStyle w:val="Hyperlink"/>
            <w:noProof/>
          </w:rPr>
          <w:t>Figura 68. Emetimet e GS-ve (CO2eq) në sektorin e transformimit të energjisë (WAM) dhe emetimet e shmangura të GS-ve kundrejt skenarit WEM</w:t>
        </w:r>
        <w:r w:rsidR="0037748E">
          <w:rPr>
            <w:noProof/>
            <w:webHidden/>
          </w:rPr>
          <w:tab/>
        </w:r>
        <w:r w:rsidR="0037748E">
          <w:rPr>
            <w:noProof/>
            <w:webHidden/>
          </w:rPr>
          <w:fldChar w:fldCharType="begin"/>
        </w:r>
        <w:r w:rsidR="0037748E">
          <w:rPr>
            <w:noProof/>
            <w:webHidden/>
          </w:rPr>
          <w:instrText xml:space="preserve"> PAGEREF _Toc181867271 \h </w:instrText>
        </w:r>
        <w:r w:rsidR="0037748E">
          <w:rPr>
            <w:noProof/>
            <w:webHidden/>
          </w:rPr>
        </w:r>
        <w:r w:rsidR="0037748E">
          <w:rPr>
            <w:noProof/>
            <w:webHidden/>
          </w:rPr>
          <w:fldChar w:fldCharType="separate"/>
        </w:r>
        <w:r w:rsidR="003B7FFA">
          <w:rPr>
            <w:noProof/>
            <w:webHidden/>
          </w:rPr>
          <w:t>155</w:t>
        </w:r>
        <w:r w:rsidR="0037748E">
          <w:rPr>
            <w:noProof/>
            <w:webHidden/>
          </w:rPr>
          <w:fldChar w:fldCharType="end"/>
        </w:r>
      </w:hyperlink>
    </w:p>
    <w:p w14:paraId="2A3CE6D9" w14:textId="3953881B"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72" w:history="1">
        <w:r w:rsidR="0037748E" w:rsidRPr="00707013">
          <w:rPr>
            <w:rStyle w:val="Hyperlink"/>
            <w:noProof/>
          </w:rPr>
          <w:t>Figura 69. Emetimet e GS-ve (në pikën e shkarkimeve) – Skenari WAM sipas lëndës djegëse dhe ndryshimet me WEM</w:t>
        </w:r>
        <w:r w:rsidR="0037748E">
          <w:rPr>
            <w:noProof/>
            <w:webHidden/>
          </w:rPr>
          <w:tab/>
        </w:r>
        <w:r w:rsidR="0037748E">
          <w:rPr>
            <w:noProof/>
            <w:webHidden/>
          </w:rPr>
          <w:fldChar w:fldCharType="begin"/>
        </w:r>
        <w:r w:rsidR="0037748E">
          <w:rPr>
            <w:noProof/>
            <w:webHidden/>
          </w:rPr>
          <w:instrText xml:space="preserve"> PAGEREF _Toc181867272 \h </w:instrText>
        </w:r>
        <w:r w:rsidR="0037748E">
          <w:rPr>
            <w:noProof/>
            <w:webHidden/>
          </w:rPr>
        </w:r>
        <w:r w:rsidR="0037748E">
          <w:rPr>
            <w:noProof/>
            <w:webHidden/>
          </w:rPr>
          <w:fldChar w:fldCharType="separate"/>
        </w:r>
        <w:r w:rsidR="003B7FFA">
          <w:rPr>
            <w:noProof/>
            <w:webHidden/>
          </w:rPr>
          <w:t>155</w:t>
        </w:r>
        <w:r w:rsidR="0037748E">
          <w:rPr>
            <w:noProof/>
            <w:webHidden/>
          </w:rPr>
          <w:fldChar w:fldCharType="end"/>
        </w:r>
      </w:hyperlink>
    </w:p>
    <w:p w14:paraId="7D70E8FF" w14:textId="196F9D88"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73" w:history="1">
        <w:r w:rsidR="0037748E" w:rsidRPr="00707013">
          <w:rPr>
            <w:rStyle w:val="Hyperlink"/>
            <w:noProof/>
          </w:rPr>
          <w:t>Figura 70. Emetimet e GS-ve në Kosovë sipas gazrave, 2021 - 2040 (Mt CO</w:t>
        </w:r>
        <w:r w:rsidR="0037748E" w:rsidRPr="00707013">
          <w:rPr>
            <w:rStyle w:val="Hyperlink"/>
            <w:noProof/>
            <w:vertAlign w:val="subscript"/>
          </w:rPr>
          <w:t>2</w:t>
        </w:r>
        <w:r w:rsidR="0037748E" w:rsidRPr="00707013">
          <w:rPr>
            <w:rStyle w:val="Hyperlink"/>
            <w:noProof/>
          </w:rPr>
          <w:t>-eq) skenari WAM dhe ndryshimet me WEM</w:t>
        </w:r>
        <w:r w:rsidR="0037748E">
          <w:rPr>
            <w:noProof/>
            <w:webHidden/>
          </w:rPr>
          <w:tab/>
        </w:r>
        <w:r w:rsidR="0037748E">
          <w:rPr>
            <w:noProof/>
            <w:webHidden/>
          </w:rPr>
          <w:fldChar w:fldCharType="begin"/>
        </w:r>
        <w:r w:rsidR="0037748E">
          <w:rPr>
            <w:noProof/>
            <w:webHidden/>
          </w:rPr>
          <w:instrText xml:space="preserve"> PAGEREF _Toc181867273 \h </w:instrText>
        </w:r>
        <w:r w:rsidR="0037748E">
          <w:rPr>
            <w:noProof/>
            <w:webHidden/>
          </w:rPr>
        </w:r>
        <w:r w:rsidR="0037748E">
          <w:rPr>
            <w:noProof/>
            <w:webHidden/>
          </w:rPr>
          <w:fldChar w:fldCharType="separate"/>
        </w:r>
        <w:r w:rsidR="003B7FFA">
          <w:rPr>
            <w:noProof/>
            <w:webHidden/>
          </w:rPr>
          <w:t>156</w:t>
        </w:r>
        <w:r w:rsidR="0037748E">
          <w:rPr>
            <w:noProof/>
            <w:webHidden/>
          </w:rPr>
          <w:fldChar w:fldCharType="end"/>
        </w:r>
      </w:hyperlink>
    </w:p>
    <w:p w14:paraId="6FA77A7E" w14:textId="60A804EE"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74" w:history="1">
        <w:r w:rsidR="0037748E" w:rsidRPr="00707013">
          <w:rPr>
            <w:rStyle w:val="Hyperlink"/>
            <w:noProof/>
          </w:rPr>
          <w:t>Figura 71. Pjesëmarrja e BRE-ve në bruto konsumin final të energjisë – Krahasimi ndërmjet skenarëve WAM dhe WEM</w:t>
        </w:r>
        <w:r w:rsidR="0037748E">
          <w:rPr>
            <w:noProof/>
            <w:webHidden/>
          </w:rPr>
          <w:tab/>
        </w:r>
        <w:r w:rsidR="0037748E">
          <w:rPr>
            <w:noProof/>
            <w:webHidden/>
          </w:rPr>
          <w:fldChar w:fldCharType="begin"/>
        </w:r>
        <w:r w:rsidR="0037748E">
          <w:rPr>
            <w:noProof/>
            <w:webHidden/>
          </w:rPr>
          <w:instrText xml:space="preserve"> PAGEREF _Toc181867274 \h </w:instrText>
        </w:r>
        <w:r w:rsidR="0037748E">
          <w:rPr>
            <w:noProof/>
            <w:webHidden/>
          </w:rPr>
        </w:r>
        <w:r w:rsidR="0037748E">
          <w:rPr>
            <w:noProof/>
            <w:webHidden/>
          </w:rPr>
          <w:fldChar w:fldCharType="separate"/>
        </w:r>
        <w:r w:rsidR="003B7FFA">
          <w:rPr>
            <w:noProof/>
            <w:webHidden/>
          </w:rPr>
          <w:t>156</w:t>
        </w:r>
        <w:r w:rsidR="0037748E">
          <w:rPr>
            <w:noProof/>
            <w:webHidden/>
          </w:rPr>
          <w:fldChar w:fldCharType="end"/>
        </w:r>
      </w:hyperlink>
    </w:p>
    <w:p w14:paraId="0713175B" w14:textId="1AADEDF5"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75" w:history="1">
        <w:r w:rsidR="0037748E" w:rsidRPr="00707013">
          <w:rPr>
            <w:rStyle w:val="Hyperlink"/>
            <w:noProof/>
          </w:rPr>
          <w:t>Figura 72: Pjesëmarrja e BRE-ve në bruto konsumin final të energjisë elektrike</w:t>
        </w:r>
        <w:r w:rsidR="0037748E">
          <w:rPr>
            <w:noProof/>
            <w:webHidden/>
          </w:rPr>
          <w:tab/>
        </w:r>
        <w:r w:rsidR="0037748E">
          <w:rPr>
            <w:noProof/>
            <w:webHidden/>
          </w:rPr>
          <w:fldChar w:fldCharType="begin"/>
        </w:r>
        <w:r w:rsidR="0037748E">
          <w:rPr>
            <w:noProof/>
            <w:webHidden/>
          </w:rPr>
          <w:instrText xml:space="preserve"> PAGEREF _Toc181867275 \h </w:instrText>
        </w:r>
        <w:r w:rsidR="0037748E">
          <w:rPr>
            <w:noProof/>
            <w:webHidden/>
          </w:rPr>
        </w:r>
        <w:r w:rsidR="0037748E">
          <w:rPr>
            <w:noProof/>
            <w:webHidden/>
          </w:rPr>
          <w:fldChar w:fldCharType="separate"/>
        </w:r>
        <w:r w:rsidR="003B7FFA">
          <w:rPr>
            <w:noProof/>
            <w:webHidden/>
          </w:rPr>
          <w:t>157</w:t>
        </w:r>
        <w:r w:rsidR="0037748E">
          <w:rPr>
            <w:noProof/>
            <w:webHidden/>
          </w:rPr>
          <w:fldChar w:fldCharType="end"/>
        </w:r>
      </w:hyperlink>
    </w:p>
    <w:p w14:paraId="0273C0F9" w14:textId="00D80608"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76" w:history="1">
        <w:r w:rsidR="0037748E" w:rsidRPr="00707013">
          <w:rPr>
            <w:rStyle w:val="Hyperlink"/>
            <w:noProof/>
          </w:rPr>
          <w:t>Figura 73. Pjesa e energjisë së ripërtëritshme në ngrohje dhe ftohje</w:t>
        </w:r>
        <w:r w:rsidR="0037748E">
          <w:rPr>
            <w:noProof/>
            <w:webHidden/>
          </w:rPr>
          <w:tab/>
        </w:r>
        <w:r w:rsidR="0037748E">
          <w:rPr>
            <w:noProof/>
            <w:webHidden/>
          </w:rPr>
          <w:fldChar w:fldCharType="begin"/>
        </w:r>
        <w:r w:rsidR="0037748E">
          <w:rPr>
            <w:noProof/>
            <w:webHidden/>
          </w:rPr>
          <w:instrText xml:space="preserve"> PAGEREF _Toc181867276 \h </w:instrText>
        </w:r>
        <w:r w:rsidR="0037748E">
          <w:rPr>
            <w:noProof/>
            <w:webHidden/>
          </w:rPr>
        </w:r>
        <w:r w:rsidR="0037748E">
          <w:rPr>
            <w:noProof/>
            <w:webHidden/>
          </w:rPr>
          <w:fldChar w:fldCharType="separate"/>
        </w:r>
        <w:r w:rsidR="003B7FFA">
          <w:rPr>
            <w:noProof/>
            <w:webHidden/>
          </w:rPr>
          <w:t>157</w:t>
        </w:r>
        <w:r w:rsidR="0037748E">
          <w:rPr>
            <w:noProof/>
            <w:webHidden/>
          </w:rPr>
          <w:fldChar w:fldCharType="end"/>
        </w:r>
      </w:hyperlink>
    </w:p>
    <w:p w14:paraId="2DBECBCD" w14:textId="1D00E02D"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77" w:history="1">
        <w:r w:rsidR="0037748E" w:rsidRPr="00707013">
          <w:rPr>
            <w:rStyle w:val="Hyperlink"/>
            <w:noProof/>
          </w:rPr>
          <w:t>Figura 74: Pjesëmarrja e energjisë së ripërtëritshme në sektorin e transportit</w:t>
        </w:r>
        <w:r w:rsidR="0037748E">
          <w:rPr>
            <w:noProof/>
            <w:webHidden/>
          </w:rPr>
          <w:tab/>
        </w:r>
        <w:r w:rsidR="0037748E">
          <w:rPr>
            <w:noProof/>
            <w:webHidden/>
          </w:rPr>
          <w:fldChar w:fldCharType="begin"/>
        </w:r>
        <w:r w:rsidR="0037748E">
          <w:rPr>
            <w:noProof/>
            <w:webHidden/>
          </w:rPr>
          <w:instrText xml:space="preserve"> PAGEREF _Toc181867277 \h </w:instrText>
        </w:r>
        <w:r w:rsidR="0037748E">
          <w:rPr>
            <w:noProof/>
            <w:webHidden/>
          </w:rPr>
        </w:r>
        <w:r w:rsidR="0037748E">
          <w:rPr>
            <w:noProof/>
            <w:webHidden/>
          </w:rPr>
          <w:fldChar w:fldCharType="separate"/>
        </w:r>
        <w:r w:rsidR="003B7FFA">
          <w:rPr>
            <w:noProof/>
            <w:webHidden/>
          </w:rPr>
          <w:t>158</w:t>
        </w:r>
        <w:r w:rsidR="0037748E">
          <w:rPr>
            <w:noProof/>
            <w:webHidden/>
          </w:rPr>
          <w:fldChar w:fldCharType="end"/>
        </w:r>
      </w:hyperlink>
    </w:p>
    <w:p w14:paraId="0B9D4BEC" w14:textId="62B5B36C"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78" w:history="1">
        <w:r w:rsidR="0037748E" w:rsidRPr="00707013">
          <w:rPr>
            <w:rStyle w:val="Hyperlink"/>
            <w:noProof/>
          </w:rPr>
          <w:t>Figura 75. Konsumi primar i energjisë, krahasimi ndërmjet  skenarëve WAM dhe WEM</w:t>
        </w:r>
        <w:r w:rsidR="0037748E">
          <w:rPr>
            <w:noProof/>
            <w:webHidden/>
          </w:rPr>
          <w:tab/>
        </w:r>
        <w:r w:rsidR="0037748E">
          <w:rPr>
            <w:noProof/>
            <w:webHidden/>
          </w:rPr>
          <w:fldChar w:fldCharType="begin"/>
        </w:r>
        <w:r w:rsidR="0037748E">
          <w:rPr>
            <w:noProof/>
            <w:webHidden/>
          </w:rPr>
          <w:instrText xml:space="preserve"> PAGEREF _Toc181867278 \h </w:instrText>
        </w:r>
        <w:r w:rsidR="0037748E">
          <w:rPr>
            <w:noProof/>
            <w:webHidden/>
          </w:rPr>
        </w:r>
        <w:r w:rsidR="0037748E">
          <w:rPr>
            <w:noProof/>
            <w:webHidden/>
          </w:rPr>
          <w:fldChar w:fldCharType="separate"/>
        </w:r>
        <w:r w:rsidR="003B7FFA">
          <w:rPr>
            <w:noProof/>
            <w:webHidden/>
          </w:rPr>
          <w:t>158</w:t>
        </w:r>
        <w:r w:rsidR="0037748E">
          <w:rPr>
            <w:noProof/>
            <w:webHidden/>
          </w:rPr>
          <w:fldChar w:fldCharType="end"/>
        </w:r>
      </w:hyperlink>
    </w:p>
    <w:p w14:paraId="2C765C0D" w14:textId="77D0AE6A"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79" w:history="1">
        <w:r w:rsidR="0037748E" w:rsidRPr="00707013">
          <w:rPr>
            <w:rStyle w:val="Hyperlink"/>
            <w:noProof/>
          </w:rPr>
          <w:t>Figura 76. Konsumi primar i energjisë sipas sektorëve në skenarin WAM, ndryshimet ndërmjet WAM dhe WEM</w:t>
        </w:r>
        <w:r w:rsidR="0037748E">
          <w:rPr>
            <w:noProof/>
            <w:webHidden/>
          </w:rPr>
          <w:tab/>
        </w:r>
        <w:r w:rsidR="0037748E">
          <w:rPr>
            <w:noProof/>
            <w:webHidden/>
          </w:rPr>
          <w:fldChar w:fldCharType="begin"/>
        </w:r>
        <w:r w:rsidR="0037748E">
          <w:rPr>
            <w:noProof/>
            <w:webHidden/>
          </w:rPr>
          <w:instrText xml:space="preserve"> PAGEREF _Toc181867279 \h </w:instrText>
        </w:r>
        <w:r w:rsidR="0037748E">
          <w:rPr>
            <w:noProof/>
            <w:webHidden/>
          </w:rPr>
        </w:r>
        <w:r w:rsidR="0037748E">
          <w:rPr>
            <w:noProof/>
            <w:webHidden/>
          </w:rPr>
          <w:fldChar w:fldCharType="separate"/>
        </w:r>
        <w:r w:rsidR="003B7FFA">
          <w:rPr>
            <w:noProof/>
            <w:webHidden/>
          </w:rPr>
          <w:t>159</w:t>
        </w:r>
        <w:r w:rsidR="0037748E">
          <w:rPr>
            <w:noProof/>
            <w:webHidden/>
          </w:rPr>
          <w:fldChar w:fldCharType="end"/>
        </w:r>
      </w:hyperlink>
    </w:p>
    <w:p w14:paraId="53B624DB" w14:textId="32DFD71B"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80" w:history="1">
        <w:r w:rsidR="0037748E" w:rsidRPr="00707013">
          <w:rPr>
            <w:rStyle w:val="Hyperlink"/>
            <w:noProof/>
          </w:rPr>
          <w:t>Figura 77. Konsumi primar i energjisë, ndryshimet ndërmjet skenarëve WAM dhe WEM sipas lëndës djegëse</w:t>
        </w:r>
        <w:r w:rsidR="0037748E">
          <w:rPr>
            <w:noProof/>
            <w:webHidden/>
          </w:rPr>
          <w:tab/>
        </w:r>
        <w:r w:rsidR="0037748E">
          <w:rPr>
            <w:noProof/>
            <w:webHidden/>
          </w:rPr>
          <w:fldChar w:fldCharType="begin"/>
        </w:r>
        <w:r w:rsidR="0037748E">
          <w:rPr>
            <w:noProof/>
            <w:webHidden/>
          </w:rPr>
          <w:instrText xml:space="preserve"> PAGEREF _Toc181867280 \h </w:instrText>
        </w:r>
        <w:r w:rsidR="0037748E">
          <w:rPr>
            <w:noProof/>
            <w:webHidden/>
          </w:rPr>
        </w:r>
        <w:r w:rsidR="0037748E">
          <w:rPr>
            <w:noProof/>
            <w:webHidden/>
          </w:rPr>
          <w:fldChar w:fldCharType="separate"/>
        </w:r>
        <w:r w:rsidR="003B7FFA">
          <w:rPr>
            <w:noProof/>
            <w:webHidden/>
          </w:rPr>
          <w:t>159</w:t>
        </w:r>
        <w:r w:rsidR="0037748E">
          <w:rPr>
            <w:noProof/>
            <w:webHidden/>
          </w:rPr>
          <w:fldChar w:fldCharType="end"/>
        </w:r>
      </w:hyperlink>
    </w:p>
    <w:p w14:paraId="0DB0C000" w14:textId="0FD2C5B2"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81" w:history="1">
        <w:r w:rsidR="0037748E" w:rsidRPr="00707013">
          <w:rPr>
            <w:rStyle w:val="Hyperlink"/>
            <w:noProof/>
          </w:rPr>
          <w:t>Figura 78. Konsumi final i energjisë – krahasimi ndërmjet skenarëve WEM dhe WAM</w:t>
        </w:r>
        <w:r w:rsidR="0037748E">
          <w:rPr>
            <w:noProof/>
            <w:webHidden/>
          </w:rPr>
          <w:tab/>
        </w:r>
        <w:r w:rsidR="0037748E">
          <w:rPr>
            <w:noProof/>
            <w:webHidden/>
          </w:rPr>
          <w:fldChar w:fldCharType="begin"/>
        </w:r>
        <w:r w:rsidR="0037748E">
          <w:rPr>
            <w:noProof/>
            <w:webHidden/>
          </w:rPr>
          <w:instrText xml:space="preserve"> PAGEREF _Toc181867281 \h </w:instrText>
        </w:r>
        <w:r w:rsidR="0037748E">
          <w:rPr>
            <w:noProof/>
            <w:webHidden/>
          </w:rPr>
        </w:r>
        <w:r w:rsidR="0037748E">
          <w:rPr>
            <w:noProof/>
            <w:webHidden/>
          </w:rPr>
          <w:fldChar w:fldCharType="separate"/>
        </w:r>
        <w:r w:rsidR="003B7FFA">
          <w:rPr>
            <w:noProof/>
            <w:webHidden/>
          </w:rPr>
          <w:t>160</w:t>
        </w:r>
        <w:r w:rsidR="0037748E">
          <w:rPr>
            <w:noProof/>
            <w:webHidden/>
          </w:rPr>
          <w:fldChar w:fldCharType="end"/>
        </w:r>
      </w:hyperlink>
    </w:p>
    <w:p w14:paraId="50C27CB1" w14:textId="524EB21B"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82" w:history="1">
        <w:r w:rsidR="0037748E" w:rsidRPr="00707013">
          <w:rPr>
            <w:rStyle w:val="Hyperlink"/>
            <w:noProof/>
          </w:rPr>
          <w:t>Figura 79. Konsumi final i energjisë në skenarin WAM sipas sektorit, ndryshimet ndërmjet skenarëve WAM dhe WEM sipas lëndës djegëse</w:t>
        </w:r>
        <w:r w:rsidR="0037748E">
          <w:rPr>
            <w:noProof/>
            <w:webHidden/>
          </w:rPr>
          <w:tab/>
        </w:r>
        <w:r w:rsidR="0037748E">
          <w:rPr>
            <w:noProof/>
            <w:webHidden/>
          </w:rPr>
          <w:fldChar w:fldCharType="begin"/>
        </w:r>
        <w:r w:rsidR="0037748E">
          <w:rPr>
            <w:noProof/>
            <w:webHidden/>
          </w:rPr>
          <w:instrText xml:space="preserve"> PAGEREF _Toc181867282 \h </w:instrText>
        </w:r>
        <w:r w:rsidR="0037748E">
          <w:rPr>
            <w:noProof/>
            <w:webHidden/>
          </w:rPr>
        </w:r>
        <w:r w:rsidR="0037748E">
          <w:rPr>
            <w:noProof/>
            <w:webHidden/>
          </w:rPr>
          <w:fldChar w:fldCharType="separate"/>
        </w:r>
        <w:r w:rsidR="003B7FFA">
          <w:rPr>
            <w:noProof/>
            <w:webHidden/>
          </w:rPr>
          <w:t>160</w:t>
        </w:r>
        <w:r w:rsidR="0037748E">
          <w:rPr>
            <w:noProof/>
            <w:webHidden/>
          </w:rPr>
          <w:fldChar w:fldCharType="end"/>
        </w:r>
      </w:hyperlink>
    </w:p>
    <w:p w14:paraId="50367116" w14:textId="78F94ACB"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83" w:history="1">
        <w:r w:rsidR="0037748E" w:rsidRPr="00707013">
          <w:rPr>
            <w:rStyle w:val="Hyperlink"/>
            <w:noProof/>
          </w:rPr>
          <w:t>Figura 80. Ndryshimet në konsumin final të energjisë sipas përdorimit përfundimtar të sektorit rezidencial ndërmjet skenarëve WAM dhe WEM</w:t>
        </w:r>
        <w:r w:rsidR="0037748E">
          <w:rPr>
            <w:noProof/>
            <w:webHidden/>
          </w:rPr>
          <w:tab/>
        </w:r>
        <w:r w:rsidR="0037748E">
          <w:rPr>
            <w:noProof/>
            <w:webHidden/>
          </w:rPr>
          <w:fldChar w:fldCharType="begin"/>
        </w:r>
        <w:r w:rsidR="0037748E">
          <w:rPr>
            <w:noProof/>
            <w:webHidden/>
          </w:rPr>
          <w:instrText xml:space="preserve"> PAGEREF _Toc181867283 \h </w:instrText>
        </w:r>
        <w:r w:rsidR="0037748E">
          <w:rPr>
            <w:noProof/>
            <w:webHidden/>
          </w:rPr>
        </w:r>
        <w:r w:rsidR="0037748E">
          <w:rPr>
            <w:noProof/>
            <w:webHidden/>
          </w:rPr>
          <w:fldChar w:fldCharType="separate"/>
        </w:r>
        <w:r w:rsidR="003B7FFA">
          <w:rPr>
            <w:noProof/>
            <w:webHidden/>
          </w:rPr>
          <w:t>161</w:t>
        </w:r>
        <w:r w:rsidR="0037748E">
          <w:rPr>
            <w:noProof/>
            <w:webHidden/>
          </w:rPr>
          <w:fldChar w:fldCharType="end"/>
        </w:r>
      </w:hyperlink>
    </w:p>
    <w:p w14:paraId="539D2A37" w14:textId="2830A0B8"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84" w:history="1">
        <w:r w:rsidR="0037748E" w:rsidRPr="00707013">
          <w:rPr>
            <w:rStyle w:val="Hyperlink"/>
            <w:noProof/>
          </w:rPr>
          <w:t>Figura 81. Ndryshimi i llojeve të karburantit për AL sipas WAM krahasuar me WEM</w:t>
        </w:r>
        <w:r w:rsidR="0037748E">
          <w:rPr>
            <w:noProof/>
            <w:webHidden/>
          </w:rPr>
          <w:tab/>
        </w:r>
        <w:r w:rsidR="0037748E">
          <w:rPr>
            <w:noProof/>
            <w:webHidden/>
          </w:rPr>
          <w:fldChar w:fldCharType="begin"/>
        </w:r>
        <w:r w:rsidR="0037748E">
          <w:rPr>
            <w:noProof/>
            <w:webHidden/>
          </w:rPr>
          <w:instrText xml:space="preserve"> PAGEREF _Toc181867284 \h </w:instrText>
        </w:r>
        <w:r w:rsidR="0037748E">
          <w:rPr>
            <w:noProof/>
            <w:webHidden/>
          </w:rPr>
        </w:r>
        <w:r w:rsidR="0037748E">
          <w:rPr>
            <w:noProof/>
            <w:webHidden/>
          </w:rPr>
          <w:fldChar w:fldCharType="separate"/>
        </w:r>
        <w:r w:rsidR="003B7FFA">
          <w:rPr>
            <w:noProof/>
            <w:webHidden/>
          </w:rPr>
          <w:t>162</w:t>
        </w:r>
        <w:r w:rsidR="0037748E">
          <w:rPr>
            <w:noProof/>
            <w:webHidden/>
          </w:rPr>
          <w:fldChar w:fldCharType="end"/>
        </w:r>
      </w:hyperlink>
    </w:p>
    <w:p w14:paraId="4F6955EC" w14:textId="4BD016E5"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85" w:history="1">
        <w:r w:rsidR="0037748E" w:rsidRPr="00707013">
          <w:rPr>
            <w:rStyle w:val="Hyperlink"/>
            <w:noProof/>
          </w:rPr>
          <w:t>Figura 82. Konsumi final i energjisë në skenarin WAM sipas lëndës djegëse dhe ndryshimet me skenarin WEB</w:t>
        </w:r>
        <w:r w:rsidR="0037748E">
          <w:rPr>
            <w:noProof/>
            <w:webHidden/>
          </w:rPr>
          <w:tab/>
        </w:r>
        <w:r w:rsidR="0037748E">
          <w:rPr>
            <w:noProof/>
            <w:webHidden/>
          </w:rPr>
          <w:fldChar w:fldCharType="begin"/>
        </w:r>
        <w:r w:rsidR="0037748E">
          <w:rPr>
            <w:noProof/>
            <w:webHidden/>
          </w:rPr>
          <w:instrText xml:space="preserve"> PAGEREF _Toc181867285 \h </w:instrText>
        </w:r>
        <w:r w:rsidR="0037748E">
          <w:rPr>
            <w:noProof/>
            <w:webHidden/>
          </w:rPr>
        </w:r>
        <w:r w:rsidR="0037748E">
          <w:rPr>
            <w:noProof/>
            <w:webHidden/>
          </w:rPr>
          <w:fldChar w:fldCharType="separate"/>
        </w:r>
        <w:r w:rsidR="003B7FFA">
          <w:rPr>
            <w:noProof/>
            <w:webHidden/>
          </w:rPr>
          <w:t>162</w:t>
        </w:r>
        <w:r w:rsidR="0037748E">
          <w:rPr>
            <w:noProof/>
            <w:webHidden/>
          </w:rPr>
          <w:fldChar w:fldCharType="end"/>
        </w:r>
      </w:hyperlink>
    </w:p>
    <w:p w14:paraId="171225B0" w14:textId="0C20AA5C"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86" w:history="1">
        <w:r w:rsidR="0037748E" w:rsidRPr="00707013">
          <w:rPr>
            <w:rStyle w:val="Hyperlink"/>
            <w:noProof/>
          </w:rPr>
          <w:t>Figura 83. Kapacitetet e instaluara të prodhimit të energjisë elektrike në WAM (projeksioni)</w:t>
        </w:r>
        <w:r w:rsidR="0037748E">
          <w:rPr>
            <w:noProof/>
            <w:webHidden/>
          </w:rPr>
          <w:tab/>
        </w:r>
        <w:r w:rsidR="0037748E">
          <w:rPr>
            <w:noProof/>
            <w:webHidden/>
          </w:rPr>
          <w:fldChar w:fldCharType="begin"/>
        </w:r>
        <w:r w:rsidR="0037748E">
          <w:rPr>
            <w:noProof/>
            <w:webHidden/>
          </w:rPr>
          <w:instrText xml:space="preserve"> PAGEREF _Toc181867286 \h </w:instrText>
        </w:r>
        <w:r w:rsidR="0037748E">
          <w:rPr>
            <w:noProof/>
            <w:webHidden/>
          </w:rPr>
        </w:r>
        <w:r w:rsidR="0037748E">
          <w:rPr>
            <w:noProof/>
            <w:webHidden/>
          </w:rPr>
          <w:fldChar w:fldCharType="separate"/>
        </w:r>
        <w:r w:rsidR="003B7FFA">
          <w:rPr>
            <w:noProof/>
            <w:webHidden/>
          </w:rPr>
          <w:t>163</w:t>
        </w:r>
        <w:r w:rsidR="0037748E">
          <w:rPr>
            <w:noProof/>
            <w:webHidden/>
          </w:rPr>
          <w:fldChar w:fldCharType="end"/>
        </w:r>
      </w:hyperlink>
    </w:p>
    <w:p w14:paraId="2E3C9A72" w14:textId="5941678A"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87" w:history="1">
        <w:r w:rsidR="0037748E" w:rsidRPr="00707013">
          <w:rPr>
            <w:rStyle w:val="Hyperlink"/>
            <w:noProof/>
          </w:rPr>
          <w:t>Figura 84. Prodhimi vendor i linjitit sipas skenarit (projeksioni)</w:t>
        </w:r>
        <w:r w:rsidR="0037748E">
          <w:rPr>
            <w:noProof/>
            <w:webHidden/>
          </w:rPr>
          <w:tab/>
        </w:r>
        <w:r w:rsidR="0037748E">
          <w:rPr>
            <w:noProof/>
            <w:webHidden/>
          </w:rPr>
          <w:fldChar w:fldCharType="begin"/>
        </w:r>
        <w:r w:rsidR="0037748E">
          <w:rPr>
            <w:noProof/>
            <w:webHidden/>
          </w:rPr>
          <w:instrText xml:space="preserve"> PAGEREF _Toc181867287 \h </w:instrText>
        </w:r>
        <w:r w:rsidR="0037748E">
          <w:rPr>
            <w:noProof/>
            <w:webHidden/>
          </w:rPr>
        </w:r>
        <w:r w:rsidR="0037748E">
          <w:rPr>
            <w:noProof/>
            <w:webHidden/>
          </w:rPr>
          <w:fldChar w:fldCharType="separate"/>
        </w:r>
        <w:r w:rsidR="003B7FFA">
          <w:rPr>
            <w:noProof/>
            <w:webHidden/>
          </w:rPr>
          <w:t>163</w:t>
        </w:r>
        <w:r w:rsidR="0037748E">
          <w:rPr>
            <w:noProof/>
            <w:webHidden/>
          </w:rPr>
          <w:fldChar w:fldCharType="end"/>
        </w:r>
      </w:hyperlink>
    </w:p>
    <w:p w14:paraId="65FDC228" w14:textId="27DD3FF9"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88" w:history="1">
        <w:r w:rsidR="0037748E" w:rsidRPr="00707013">
          <w:rPr>
            <w:rStyle w:val="Hyperlink"/>
            <w:noProof/>
          </w:rPr>
          <w:t>Figura 85. Përzierja e energjisë elektrike në WAM në bruto konsumin final sipas burimit (projeksioni)</w:t>
        </w:r>
        <w:r w:rsidR="0037748E">
          <w:rPr>
            <w:noProof/>
            <w:webHidden/>
          </w:rPr>
          <w:tab/>
        </w:r>
        <w:r w:rsidR="0037748E">
          <w:rPr>
            <w:noProof/>
            <w:webHidden/>
          </w:rPr>
          <w:fldChar w:fldCharType="begin"/>
        </w:r>
        <w:r w:rsidR="0037748E">
          <w:rPr>
            <w:noProof/>
            <w:webHidden/>
          </w:rPr>
          <w:instrText xml:space="preserve"> PAGEREF _Toc181867288 \h </w:instrText>
        </w:r>
        <w:r w:rsidR="0037748E">
          <w:rPr>
            <w:noProof/>
            <w:webHidden/>
          </w:rPr>
        </w:r>
        <w:r w:rsidR="0037748E">
          <w:rPr>
            <w:noProof/>
            <w:webHidden/>
          </w:rPr>
          <w:fldChar w:fldCharType="separate"/>
        </w:r>
        <w:r w:rsidR="003B7FFA">
          <w:rPr>
            <w:noProof/>
            <w:webHidden/>
          </w:rPr>
          <w:t>164</w:t>
        </w:r>
        <w:r w:rsidR="0037748E">
          <w:rPr>
            <w:noProof/>
            <w:webHidden/>
          </w:rPr>
          <w:fldChar w:fldCharType="end"/>
        </w:r>
      </w:hyperlink>
    </w:p>
    <w:p w14:paraId="530E61F4" w14:textId="1325F587"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89" w:history="1">
        <w:r w:rsidR="0037748E" w:rsidRPr="00707013">
          <w:rPr>
            <w:rStyle w:val="Hyperlink"/>
            <w:noProof/>
          </w:rPr>
          <w:t>Figura 86. Përzierja e gjenerimit të ngrohjes qendrore në WEM dhe WAM sipas burimit (projeksioni)</w:t>
        </w:r>
        <w:r w:rsidR="0037748E">
          <w:rPr>
            <w:noProof/>
            <w:webHidden/>
          </w:rPr>
          <w:tab/>
        </w:r>
        <w:r w:rsidR="0037748E">
          <w:rPr>
            <w:noProof/>
            <w:webHidden/>
          </w:rPr>
          <w:fldChar w:fldCharType="begin"/>
        </w:r>
        <w:r w:rsidR="0037748E">
          <w:rPr>
            <w:noProof/>
            <w:webHidden/>
          </w:rPr>
          <w:instrText xml:space="preserve"> PAGEREF _Toc181867289 \h </w:instrText>
        </w:r>
        <w:r w:rsidR="0037748E">
          <w:rPr>
            <w:noProof/>
            <w:webHidden/>
          </w:rPr>
        </w:r>
        <w:r w:rsidR="0037748E">
          <w:rPr>
            <w:noProof/>
            <w:webHidden/>
          </w:rPr>
          <w:fldChar w:fldCharType="separate"/>
        </w:r>
        <w:r w:rsidR="003B7FFA">
          <w:rPr>
            <w:noProof/>
            <w:webHidden/>
          </w:rPr>
          <w:t>164</w:t>
        </w:r>
        <w:r w:rsidR="0037748E">
          <w:rPr>
            <w:noProof/>
            <w:webHidden/>
          </w:rPr>
          <w:fldChar w:fldCharType="end"/>
        </w:r>
      </w:hyperlink>
    </w:p>
    <w:p w14:paraId="69D0BD48" w14:textId="33251279"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90" w:history="1">
        <w:r w:rsidR="0037748E" w:rsidRPr="00707013">
          <w:rPr>
            <w:rStyle w:val="Hyperlink"/>
            <w:noProof/>
          </w:rPr>
          <w:t>Figura 87. Dallimi në importet neto nga transportuesit e energjisë ndërmjet skenarëve (projeksioni)</w:t>
        </w:r>
        <w:r w:rsidR="0037748E">
          <w:rPr>
            <w:noProof/>
            <w:webHidden/>
          </w:rPr>
          <w:tab/>
        </w:r>
        <w:r w:rsidR="0037748E">
          <w:rPr>
            <w:noProof/>
            <w:webHidden/>
          </w:rPr>
          <w:fldChar w:fldCharType="begin"/>
        </w:r>
        <w:r w:rsidR="0037748E">
          <w:rPr>
            <w:noProof/>
            <w:webHidden/>
          </w:rPr>
          <w:instrText xml:space="preserve"> PAGEREF _Toc181867290 \h </w:instrText>
        </w:r>
        <w:r w:rsidR="0037748E">
          <w:rPr>
            <w:noProof/>
            <w:webHidden/>
          </w:rPr>
        </w:r>
        <w:r w:rsidR="0037748E">
          <w:rPr>
            <w:noProof/>
            <w:webHidden/>
          </w:rPr>
          <w:fldChar w:fldCharType="separate"/>
        </w:r>
        <w:r w:rsidR="003B7FFA">
          <w:rPr>
            <w:noProof/>
            <w:webHidden/>
          </w:rPr>
          <w:t>165</w:t>
        </w:r>
        <w:r w:rsidR="0037748E">
          <w:rPr>
            <w:noProof/>
            <w:webHidden/>
          </w:rPr>
          <w:fldChar w:fldCharType="end"/>
        </w:r>
      </w:hyperlink>
    </w:p>
    <w:p w14:paraId="07FA65BA" w14:textId="008A1203"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91" w:history="1">
        <w:r w:rsidR="0037748E" w:rsidRPr="00707013">
          <w:rPr>
            <w:rStyle w:val="Hyperlink"/>
            <w:noProof/>
          </w:rPr>
          <w:t>Figura 88. Kërkesa për energji elektrike sipas skenarit (projeksioni)</w:t>
        </w:r>
        <w:r w:rsidR="0037748E">
          <w:rPr>
            <w:noProof/>
            <w:webHidden/>
          </w:rPr>
          <w:tab/>
        </w:r>
        <w:r w:rsidR="0037748E">
          <w:rPr>
            <w:noProof/>
            <w:webHidden/>
          </w:rPr>
          <w:fldChar w:fldCharType="begin"/>
        </w:r>
        <w:r w:rsidR="0037748E">
          <w:rPr>
            <w:noProof/>
            <w:webHidden/>
          </w:rPr>
          <w:instrText xml:space="preserve"> PAGEREF _Toc181867291 \h </w:instrText>
        </w:r>
        <w:r w:rsidR="0037748E">
          <w:rPr>
            <w:noProof/>
            <w:webHidden/>
          </w:rPr>
        </w:r>
        <w:r w:rsidR="0037748E">
          <w:rPr>
            <w:noProof/>
            <w:webHidden/>
          </w:rPr>
          <w:fldChar w:fldCharType="separate"/>
        </w:r>
        <w:r w:rsidR="003B7FFA">
          <w:rPr>
            <w:noProof/>
            <w:webHidden/>
          </w:rPr>
          <w:t>166</w:t>
        </w:r>
        <w:r w:rsidR="0037748E">
          <w:rPr>
            <w:noProof/>
            <w:webHidden/>
          </w:rPr>
          <w:fldChar w:fldCharType="end"/>
        </w:r>
      </w:hyperlink>
    </w:p>
    <w:p w14:paraId="2C1D39A2" w14:textId="2DC66AC3"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92" w:history="1">
        <w:r w:rsidR="0037748E" w:rsidRPr="00707013">
          <w:rPr>
            <w:rStyle w:val="Hyperlink"/>
            <w:noProof/>
          </w:rPr>
          <w:t>Figura 89. Vitet e punës të gjeneruara në WEM dhe WAM</w:t>
        </w:r>
        <w:r w:rsidR="0037748E">
          <w:rPr>
            <w:noProof/>
            <w:webHidden/>
          </w:rPr>
          <w:tab/>
        </w:r>
        <w:r w:rsidR="0037748E">
          <w:rPr>
            <w:noProof/>
            <w:webHidden/>
          </w:rPr>
          <w:fldChar w:fldCharType="begin"/>
        </w:r>
        <w:r w:rsidR="0037748E">
          <w:rPr>
            <w:noProof/>
            <w:webHidden/>
          </w:rPr>
          <w:instrText xml:space="preserve"> PAGEREF _Toc181867292 \h </w:instrText>
        </w:r>
        <w:r w:rsidR="0037748E">
          <w:rPr>
            <w:noProof/>
            <w:webHidden/>
          </w:rPr>
        </w:r>
        <w:r w:rsidR="0037748E">
          <w:rPr>
            <w:noProof/>
            <w:webHidden/>
          </w:rPr>
          <w:fldChar w:fldCharType="separate"/>
        </w:r>
        <w:r w:rsidR="003B7FFA">
          <w:rPr>
            <w:noProof/>
            <w:webHidden/>
          </w:rPr>
          <w:t>171</w:t>
        </w:r>
        <w:r w:rsidR="0037748E">
          <w:rPr>
            <w:noProof/>
            <w:webHidden/>
          </w:rPr>
          <w:fldChar w:fldCharType="end"/>
        </w:r>
      </w:hyperlink>
    </w:p>
    <w:p w14:paraId="7838C401" w14:textId="394C5E39"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93" w:history="1">
        <w:r w:rsidR="0037748E" w:rsidRPr="00707013">
          <w:rPr>
            <w:rStyle w:val="Hyperlink"/>
            <w:noProof/>
          </w:rPr>
          <w:t>Figura 90. Çmimi i vlerësuar me pakicë i energjisë elektrike që mbulon koston (sipas vitit dhe skenarin)</w:t>
        </w:r>
        <w:r w:rsidR="0037748E">
          <w:rPr>
            <w:noProof/>
            <w:webHidden/>
          </w:rPr>
          <w:tab/>
        </w:r>
        <w:r w:rsidR="0037748E">
          <w:rPr>
            <w:noProof/>
            <w:webHidden/>
          </w:rPr>
          <w:fldChar w:fldCharType="begin"/>
        </w:r>
        <w:r w:rsidR="0037748E">
          <w:rPr>
            <w:noProof/>
            <w:webHidden/>
          </w:rPr>
          <w:instrText xml:space="preserve"> PAGEREF _Toc181867293 \h </w:instrText>
        </w:r>
        <w:r w:rsidR="0037748E">
          <w:rPr>
            <w:noProof/>
            <w:webHidden/>
          </w:rPr>
        </w:r>
        <w:r w:rsidR="0037748E">
          <w:rPr>
            <w:noProof/>
            <w:webHidden/>
          </w:rPr>
          <w:fldChar w:fldCharType="separate"/>
        </w:r>
        <w:r w:rsidR="003B7FFA">
          <w:rPr>
            <w:noProof/>
            <w:webHidden/>
          </w:rPr>
          <w:t>179</w:t>
        </w:r>
        <w:r w:rsidR="0037748E">
          <w:rPr>
            <w:noProof/>
            <w:webHidden/>
          </w:rPr>
          <w:fldChar w:fldCharType="end"/>
        </w:r>
      </w:hyperlink>
    </w:p>
    <w:p w14:paraId="31CFA70D" w14:textId="34C4577F" w:rsidR="00130A52" w:rsidRPr="00976D33" w:rsidRDefault="00130A52" w:rsidP="00130A52">
      <w:r w:rsidRPr="00976D33">
        <w:fldChar w:fldCharType="end"/>
      </w:r>
      <w:r>
        <w:br w:type="page"/>
      </w:r>
    </w:p>
    <w:p w14:paraId="064861E9" w14:textId="77777777" w:rsidR="00130A52" w:rsidRPr="00976D33" w:rsidRDefault="00130A52" w:rsidP="0094764D">
      <w:pPr>
        <w:pStyle w:val="Heading1"/>
        <w:numPr>
          <w:ilvl w:val="0"/>
          <w:numId w:val="0"/>
        </w:numPr>
        <w:rPr>
          <w:sz w:val="32"/>
          <w:szCs w:val="18"/>
        </w:rPr>
      </w:pPr>
      <w:bookmarkStart w:id="2" w:name="_Toc182302242"/>
      <w:r>
        <w:rPr>
          <w:sz w:val="32"/>
        </w:rPr>
        <w:lastRenderedPageBreak/>
        <w:t>Lista e tabelave</w:t>
      </w:r>
      <w:bookmarkEnd w:id="2"/>
    </w:p>
    <w:p w14:paraId="5A95D41B" w14:textId="1D74618B" w:rsidR="0037748E" w:rsidRDefault="00130A52">
      <w:pPr>
        <w:pStyle w:val="TableofFigures"/>
        <w:tabs>
          <w:tab w:val="right" w:leader="dot" w:pos="9564"/>
        </w:tabs>
        <w:rPr>
          <w:rFonts w:asciiTheme="minorHAnsi" w:hAnsiTheme="minorHAnsi"/>
          <w:noProof/>
          <w:color w:val="auto"/>
          <w:kern w:val="2"/>
          <w:sz w:val="24"/>
          <w:szCs w:val="24"/>
          <w:lang w:val="en-US"/>
          <w14:ligatures w14:val="standardContextual"/>
        </w:rPr>
      </w:pPr>
      <w:r w:rsidRPr="00976D33">
        <w:fldChar w:fldCharType="begin"/>
      </w:r>
      <w:r w:rsidRPr="00976D33">
        <w:instrText xml:space="preserve"> TOC \h \z \c "Table" </w:instrText>
      </w:r>
      <w:r w:rsidRPr="00976D33">
        <w:fldChar w:fldCharType="separate"/>
      </w:r>
      <w:hyperlink w:anchor="_Toc181867294" w:history="1">
        <w:r w:rsidR="0037748E" w:rsidRPr="00A80B6D">
          <w:rPr>
            <w:rStyle w:val="Hyperlink"/>
            <w:noProof/>
          </w:rPr>
          <w:t>Tabela 1. Tabela e përgjithshme me politikat dhe masat e propozuara dhe ndërveprimin me pesë dimensionet e bashkimit energjetik të BE-së</w:t>
        </w:r>
        <w:r w:rsidR="0037748E">
          <w:rPr>
            <w:noProof/>
            <w:webHidden/>
          </w:rPr>
          <w:tab/>
        </w:r>
        <w:r w:rsidR="0037748E">
          <w:rPr>
            <w:noProof/>
            <w:webHidden/>
          </w:rPr>
          <w:fldChar w:fldCharType="begin"/>
        </w:r>
        <w:r w:rsidR="0037748E">
          <w:rPr>
            <w:noProof/>
            <w:webHidden/>
          </w:rPr>
          <w:instrText xml:space="preserve"> PAGEREF _Toc181867294 \h </w:instrText>
        </w:r>
        <w:r w:rsidR="0037748E">
          <w:rPr>
            <w:noProof/>
            <w:webHidden/>
          </w:rPr>
        </w:r>
        <w:r w:rsidR="0037748E">
          <w:rPr>
            <w:noProof/>
            <w:webHidden/>
          </w:rPr>
          <w:fldChar w:fldCharType="separate"/>
        </w:r>
        <w:r w:rsidR="003B7FFA">
          <w:rPr>
            <w:noProof/>
            <w:webHidden/>
          </w:rPr>
          <w:t>15</w:t>
        </w:r>
        <w:r w:rsidR="0037748E">
          <w:rPr>
            <w:noProof/>
            <w:webHidden/>
          </w:rPr>
          <w:fldChar w:fldCharType="end"/>
        </w:r>
      </w:hyperlink>
    </w:p>
    <w:p w14:paraId="40F6F67F" w14:textId="5FE24287"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95" w:history="1">
        <w:r w:rsidR="0037748E" w:rsidRPr="00A80B6D">
          <w:rPr>
            <w:rStyle w:val="Hyperlink"/>
            <w:noProof/>
          </w:rPr>
          <w:t>Tabela 2. Caqet dhe objektivat kryesore</w:t>
        </w:r>
        <w:r w:rsidR="0037748E">
          <w:rPr>
            <w:noProof/>
            <w:webHidden/>
          </w:rPr>
          <w:tab/>
        </w:r>
        <w:r w:rsidR="0037748E">
          <w:rPr>
            <w:noProof/>
            <w:webHidden/>
          </w:rPr>
          <w:fldChar w:fldCharType="begin"/>
        </w:r>
        <w:r w:rsidR="0037748E">
          <w:rPr>
            <w:noProof/>
            <w:webHidden/>
          </w:rPr>
          <w:instrText xml:space="preserve"> PAGEREF _Toc181867295 \h </w:instrText>
        </w:r>
        <w:r w:rsidR="0037748E">
          <w:rPr>
            <w:noProof/>
            <w:webHidden/>
          </w:rPr>
        </w:r>
        <w:r w:rsidR="0037748E">
          <w:rPr>
            <w:noProof/>
            <w:webHidden/>
          </w:rPr>
          <w:fldChar w:fldCharType="separate"/>
        </w:r>
        <w:r w:rsidR="003B7FFA">
          <w:rPr>
            <w:noProof/>
            <w:webHidden/>
          </w:rPr>
          <w:t>17</w:t>
        </w:r>
        <w:r w:rsidR="0037748E">
          <w:rPr>
            <w:noProof/>
            <w:webHidden/>
          </w:rPr>
          <w:fldChar w:fldCharType="end"/>
        </w:r>
      </w:hyperlink>
    </w:p>
    <w:p w14:paraId="5D5B39D5" w14:textId="71459D5D"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96" w:history="1">
        <w:r w:rsidR="0037748E" w:rsidRPr="00A80B6D">
          <w:rPr>
            <w:rStyle w:val="Hyperlink"/>
            <w:noProof/>
          </w:rPr>
          <w:t>Tabela 3. Lista e politikave dhe masave të raportuara në raportin e 5</w:t>
        </w:r>
        <w:r w:rsidR="0037748E" w:rsidRPr="00A80B6D">
          <w:rPr>
            <w:rStyle w:val="Hyperlink"/>
            <w:noProof/>
            <w:vertAlign w:val="superscript"/>
          </w:rPr>
          <w:t>-të</w:t>
        </w:r>
        <w:r w:rsidR="0037748E" w:rsidRPr="00A80B6D">
          <w:rPr>
            <w:rStyle w:val="Hyperlink"/>
            <w:noProof/>
          </w:rPr>
          <w:t xml:space="preserve"> të progresit për energjinë e ripërtëritshme të Republikës së Kosovës 2020-2021</w:t>
        </w:r>
        <w:r w:rsidR="0037748E">
          <w:rPr>
            <w:noProof/>
            <w:webHidden/>
          </w:rPr>
          <w:tab/>
        </w:r>
        <w:r w:rsidR="0037748E">
          <w:rPr>
            <w:noProof/>
            <w:webHidden/>
          </w:rPr>
          <w:fldChar w:fldCharType="begin"/>
        </w:r>
        <w:r w:rsidR="0037748E">
          <w:rPr>
            <w:noProof/>
            <w:webHidden/>
          </w:rPr>
          <w:instrText xml:space="preserve"> PAGEREF _Toc181867296 \h </w:instrText>
        </w:r>
        <w:r w:rsidR="0037748E">
          <w:rPr>
            <w:noProof/>
            <w:webHidden/>
          </w:rPr>
        </w:r>
        <w:r w:rsidR="0037748E">
          <w:rPr>
            <w:noProof/>
            <w:webHidden/>
          </w:rPr>
          <w:fldChar w:fldCharType="separate"/>
        </w:r>
        <w:r w:rsidR="003B7FFA">
          <w:rPr>
            <w:noProof/>
            <w:webHidden/>
          </w:rPr>
          <w:t>24</w:t>
        </w:r>
        <w:r w:rsidR="0037748E">
          <w:rPr>
            <w:noProof/>
            <w:webHidden/>
          </w:rPr>
          <w:fldChar w:fldCharType="end"/>
        </w:r>
      </w:hyperlink>
    </w:p>
    <w:p w14:paraId="0FC6761A" w14:textId="6B0F7357"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97" w:history="1">
        <w:r w:rsidR="0037748E" w:rsidRPr="00A80B6D">
          <w:rPr>
            <w:rStyle w:val="Hyperlink"/>
            <w:noProof/>
          </w:rPr>
          <w:t>Tabela 4. Politikat dhe masat aktuale të përfshira në Projekt Planin e 5-të Kombëtar të Veprimit për Efiçiencë të Energjisë</w:t>
        </w:r>
        <w:r w:rsidR="0037748E">
          <w:rPr>
            <w:noProof/>
            <w:webHidden/>
          </w:rPr>
          <w:tab/>
        </w:r>
        <w:r w:rsidR="0037748E">
          <w:rPr>
            <w:noProof/>
            <w:webHidden/>
          </w:rPr>
          <w:fldChar w:fldCharType="begin"/>
        </w:r>
        <w:r w:rsidR="0037748E">
          <w:rPr>
            <w:noProof/>
            <w:webHidden/>
          </w:rPr>
          <w:instrText xml:space="preserve"> PAGEREF _Toc181867297 \h </w:instrText>
        </w:r>
        <w:r w:rsidR="0037748E">
          <w:rPr>
            <w:noProof/>
            <w:webHidden/>
          </w:rPr>
        </w:r>
        <w:r w:rsidR="0037748E">
          <w:rPr>
            <w:noProof/>
            <w:webHidden/>
          </w:rPr>
          <w:fldChar w:fldCharType="separate"/>
        </w:r>
        <w:r w:rsidR="003B7FFA">
          <w:rPr>
            <w:noProof/>
            <w:webHidden/>
          </w:rPr>
          <w:t>26</w:t>
        </w:r>
        <w:r w:rsidR="0037748E">
          <w:rPr>
            <w:noProof/>
            <w:webHidden/>
          </w:rPr>
          <w:fldChar w:fldCharType="end"/>
        </w:r>
      </w:hyperlink>
    </w:p>
    <w:p w14:paraId="4BAD6F21" w14:textId="152A8515"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98" w:history="1">
        <w:r w:rsidR="0037748E" w:rsidRPr="00A80B6D">
          <w:rPr>
            <w:rStyle w:val="Hyperlink"/>
            <w:noProof/>
          </w:rPr>
          <w:t xml:space="preserve">Tabela 5. </w:t>
        </w:r>
        <w:r w:rsidR="0037748E" w:rsidRPr="00A80B6D">
          <w:rPr>
            <w:rStyle w:val="Hyperlink"/>
            <w:rFonts w:ascii="Calibri" w:hAnsi="Calibri"/>
            <w:noProof/>
          </w:rPr>
          <w:t>: Ngarkesat maksimale dhe minimale në vitin 2022</w:t>
        </w:r>
        <w:r w:rsidR="0037748E">
          <w:rPr>
            <w:noProof/>
            <w:webHidden/>
          </w:rPr>
          <w:tab/>
        </w:r>
        <w:r w:rsidR="0037748E">
          <w:rPr>
            <w:noProof/>
            <w:webHidden/>
          </w:rPr>
          <w:fldChar w:fldCharType="begin"/>
        </w:r>
        <w:r w:rsidR="0037748E">
          <w:rPr>
            <w:noProof/>
            <w:webHidden/>
          </w:rPr>
          <w:instrText xml:space="preserve"> PAGEREF _Toc181867298 \h </w:instrText>
        </w:r>
        <w:r w:rsidR="0037748E">
          <w:rPr>
            <w:noProof/>
            <w:webHidden/>
          </w:rPr>
        </w:r>
        <w:r w:rsidR="0037748E">
          <w:rPr>
            <w:noProof/>
            <w:webHidden/>
          </w:rPr>
          <w:fldChar w:fldCharType="separate"/>
        </w:r>
        <w:r w:rsidR="003B7FFA">
          <w:rPr>
            <w:noProof/>
            <w:webHidden/>
          </w:rPr>
          <w:t>47</w:t>
        </w:r>
        <w:r w:rsidR="0037748E">
          <w:rPr>
            <w:noProof/>
            <w:webHidden/>
          </w:rPr>
          <w:fldChar w:fldCharType="end"/>
        </w:r>
      </w:hyperlink>
    </w:p>
    <w:p w14:paraId="578D1ADB" w14:textId="0BDD8E78"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299" w:history="1">
        <w:r w:rsidR="0037748E" w:rsidRPr="00A80B6D">
          <w:rPr>
            <w:rStyle w:val="Hyperlink"/>
            <w:rFonts w:ascii="Calibri" w:hAnsi="Calibri"/>
            <w:noProof/>
          </w:rPr>
          <w:t xml:space="preserve">Tabela </w:t>
        </w:r>
        <w:r w:rsidR="0037748E" w:rsidRPr="00A80B6D">
          <w:rPr>
            <w:rStyle w:val="Hyperlink"/>
            <w:rFonts w:ascii="Calibri" w:eastAsia="Calibri" w:hAnsi="Calibri" w:cs="Calibri"/>
            <w:noProof/>
          </w:rPr>
          <w:t>6</w:t>
        </w:r>
        <w:r w:rsidR="0037748E" w:rsidRPr="00A80B6D">
          <w:rPr>
            <w:rStyle w:val="Hyperlink"/>
            <w:rFonts w:ascii="Calibri" w:hAnsi="Calibri"/>
            <w:noProof/>
          </w:rPr>
          <w:t>. Prishjet e njësive gjeneruese në 2022</w:t>
        </w:r>
        <w:r w:rsidR="0037748E">
          <w:rPr>
            <w:noProof/>
            <w:webHidden/>
          </w:rPr>
          <w:tab/>
        </w:r>
        <w:r w:rsidR="0037748E">
          <w:rPr>
            <w:noProof/>
            <w:webHidden/>
          </w:rPr>
          <w:fldChar w:fldCharType="begin"/>
        </w:r>
        <w:r w:rsidR="0037748E">
          <w:rPr>
            <w:noProof/>
            <w:webHidden/>
          </w:rPr>
          <w:instrText xml:space="preserve"> PAGEREF _Toc181867299 \h </w:instrText>
        </w:r>
        <w:r w:rsidR="0037748E">
          <w:rPr>
            <w:noProof/>
            <w:webHidden/>
          </w:rPr>
        </w:r>
        <w:r w:rsidR="0037748E">
          <w:rPr>
            <w:noProof/>
            <w:webHidden/>
          </w:rPr>
          <w:fldChar w:fldCharType="separate"/>
        </w:r>
        <w:r w:rsidR="003B7FFA">
          <w:rPr>
            <w:noProof/>
            <w:webHidden/>
          </w:rPr>
          <w:t>47</w:t>
        </w:r>
        <w:r w:rsidR="0037748E">
          <w:rPr>
            <w:noProof/>
            <w:webHidden/>
          </w:rPr>
          <w:fldChar w:fldCharType="end"/>
        </w:r>
      </w:hyperlink>
    </w:p>
    <w:p w14:paraId="5B4C238A" w14:textId="598EE2FA"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300" w:history="1">
        <w:r w:rsidR="0037748E" w:rsidRPr="00A80B6D">
          <w:rPr>
            <w:rStyle w:val="Hyperlink"/>
            <w:noProof/>
          </w:rPr>
          <w:t>Tabela 7. Treguesit e ndikimit për objektivin zhvillimor të SKZH 2030 për ndërtimin e një ekonomie inovative, qarkore, dhe konkurruese</w:t>
        </w:r>
        <w:r w:rsidR="0037748E">
          <w:rPr>
            <w:noProof/>
            <w:webHidden/>
          </w:rPr>
          <w:tab/>
        </w:r>
        <w:r w:rsidR="0037748E">
          <w:rPr>
            <w:noProof/>
            <w:webHidden/>
          </w:rPr>
          <w:fldChar w:fldCharType="begin"/>
        </w:r>
        <w:r w:rsidR="0037748E">
          <w:rPr>
            <w:noProof/>
            <w:webHidden/>
          </w:rPr>
          <w:instrText xml:space="preserve"> PAGEREF _Toc181867300 \h </w:instrText>
        </w:r>
        <w:r w:rsidR="0037748E">
          <w:rPr>
            <w:noProof/>
            <w:webHidden/>
          </w:rPr>
        </w:r>
        <w:r w:rsidR="0037748E">
          <w:rPr>
            <w:noProof/>
            <w:webHidden/>
          </w:rPr>
          <w:fldChar w:fldCharType="separate"/>
        </w:r>
        <w:r w:rsidR="003B7FFA">
          <w:rPr>
            <w:noProof/>
            <w:webHidden/>
          </w:rPr>
          <w:t>59</w:t>
        </w:r>
        <w:r w:rsidR="0037748E">
          <w:rPr>
            <w:noProof/>
            <w:webHidden/>
          </w:rPr>
          <w:fldChar w:fldCharType="end"/>
        </w:r>
      </w:hyperlink>
    </w:p>
    <w:p w14:paraId="12FC5920" w14:textId="5F6DD18A"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301" w:history="1">
        <w:r w:rsidR="0037748E" w:rsidRPr="00A80B6D">
          <w:rPr>
            <w:rStyle w:val="Hyperlink"/>
            <w:noProof/>
          </w:rPr>
          <w:t>Tabela 8. Pjesëmarrja në sipërfaqen e katit të stokut total të ndërtesave sipas llojit të ndërtesës në vitin 2021</w:t>
        </w:r>
        <w:r w:rsidR="0037748E">
          <w:rPr>
            <w:noProof/>
            <w:webHidden/>
          </w:rPr>
          <w:tab/>
        </w:r>
        <w:r w:rsidR="0037748E">
          <w:rPr>
            <w:noProof/>
            <w:webHidden/>
          </w:rPr>
          <w:fldChar w:fldCharType="begin"/>
        </w:r>
        <w:r w:rsidR="0037748E">
          <w:rPr>
            <w:noProof/>
            <w:webHidden/>
          </w:rPr>
          <w:instrText xml:space="preserve"> PAGEREF _Toc181867301 \h </w:instrText>
        </w:r>
        <w:r w:rsidR="0037748E">
          <w:rPr>
            <w:noProof/>
            <w:webHidden/>
          </w:rPr>
        </w:r>
        <w:r w:rsidR="0037748E">
          <w:rPr>
            <w:noProof/>
            <w:webHidden/>
          </w:rPr>
          <w:fldChar w:fldCharType="separate"/>
        </w:r>
        <w:r w:rsidR="003B7FFA">
          <w:rPr>
            <w:noProof/>
            <w:webHidden/>
          </w:rPr>
          <w:t>113</w:t>
        </w:r>
        <w:r w:rsidR="0037748E">
          <w:rPr>
            <w:noProof/>
            <w:webHidden/>
          </w:rPr>
          <w:fldChar w:fldCharType="end"/>
        </w:r>
      </w:hyperlink>
    </w:p>
    <w:p w14:paraId="75F3DAFE" w14:textId="63E6F87A"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302" w:history="1">
        <w:r w:rsidR="0037748E" w:rsidRPr="00A80B6D">
          <w:rPr>
            <w:rStyle w:val="Hyperlink"/>
            <w:noProof/>
          </w:rPr>
          <w:t>Tabela 9. Mesatarja 5 vjeçare për HDD dhe CDD (2018-2022) Stacioni i Motit në Aeroportin Ndërkombëtar të Prishtinës</w:t>
        </w:r>
        <w:r w:rsidR="0037748E">
          <w:rPr>
            <w:noProof/>
            <w:webHidden/>
          </w:rPr>
          <w:tab/>
        </w:r>
        <w:r w:rsidR="0037748E">
          <w:rPr>
            <w:noProof/>
            <w:webHidden/>
          </w:rPr>
          <w:fldChar w:fldCharType="begin"/>
        </w:r>
        <w:r w:rsidR="0037748E">
          <w:rPr>
            <w:noProof/>
            <w:webHidden/>
          </w:rPr>
          <w:instrText xml:space="preserve"> PAGEREF _Toc181867302 \h </w:instrText>
        </w:r>
        <w:r w:rsidR="0037748E">
          <w:rPr>
            <w:noProof/>
            <w:webHidden/>
          </w:rPr>
        </w:r>
        <w:r w:rsidR="0037748E">
          <w:rPr>
            <w:noProof/>
            <w:webHidden/>
          </w:rPr>
          <w:fldChar w:fldCharType="separate"/>
        </w:r>
        <w:r w:rsidR="003B7FFA">
          <w:rPr>
            <w:noProof/>
            <w:webHidden/>
          </w:rPr>
          <w:t>113</w:t>
        </w:r>
        <w:r w:rsidR="0037748E">
          <w:rPr>
            <w:noProof/>
            <w:webHidden/>
          </w:rPr>
          <w:fldChar w:fldCharType="end"/>
        </w:r>
      </w:hyperlink>
    </w:p>
    <w:p w14:paraId="27252F39" w14:textId="1243A40B"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303" w:history="1">
        <w:r w:rsidR="0037748E" w:rsidRPr="00A80B6D">
          <w:rPr>
            <w:rStyle w:val="Hyperlink"/>
            <w:noProof/>
          </w:rPr>
          <w:t>Tabela 10. Zhvillimi i blegtorisë në sektorin e bujqësisë</w:t>
        </w:r>
        <w:r w:rsidR="0037748E">
          <w:rPr>
            <w:noProof/>
            <w:webHidden/>
          </w:rPr>
          <w:tab/>
        </w:r>
        <w:r w:rsidR="0037748E">
          <w:rPr>
            <w:noProof/>
            <w:webHidden/>
          </w:rPr>
          <w:fldChar w:fldCharType="begin"/>
        </w:r>
        <w:r w:rsidR="0037748E">
          <w:rPr>
            <w:noProof/>
            <w:webHidden/>
          </w:rPr>
          <w:instrText xml:space="preserve"> PAGEREF _Toc181867303 \h </w:instrText>
        </w:r>
        <w:r w:rsidR="0037748E">
          <w:rPr>
            <w:noProof/>
            <w:webHidden/>
          </w:rPr>
        </w:r>
        <w:r w:rsidR="0037748E">
          <w:rPr>
            <w:noProof/>
            <w:webHidden/>
          </w:rPr>
          <w:fldChar w:fldCharType="separate"/>
        </w:r>
        <w:r w:rsidR="003B7FFA">
          <w:rPr>
            <w:noProof/>
            <w:webHidden/>
          </w:rPr>
          <w:t>119</w:t>
        </w:r>
        <w:r w:rsidR="0037748E">
          <w:rPr>
            <w:noProof/>
            <w:webHidden/>
          </w:rPr>
          <w:fldChar w:fldCharType="end"/>
        </w:r>
      </w:hyperlink>
    </w:p>
    <w:p w14:paraId="58915561" w14:textId="350B5D80"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304" w:history="1">
        <w:r w:rsidR="0037748E" w:rsidRPr="00A80B6D">
          <w:rPr>
            <w:rStyle w:val="Hyperlink"/>
            <w:noProof/>
          </w:rPr>
          <w:t>Tabela 11. Zhvillimi i inputit të azotit në sektorin bujqësor</w:t>
        </w:r>
        <w:r w:rsidR="0037748E">
          <w:rPr>
            <w:noProof/>
            <w:webHidden/>
          </w:rPr>
          <w:tab/>
        </w:r>
        <w:r w:rsidR="0037748E">
          <w:rPr>
            <w:noProof/>
            <w:webHidden/>
          </w:rPr>
          <w:fldChar w:fldCharType="begin"/>
        </w:r>
        <w:r w:rsidR="0037748E">
          <w:rPr>
            <w:noProof/>
            <w:webHidden/>
          </w:rPr>
          <w:instrText xml:space="preserve"> PAGEREF _Toc181867304 \h </w:instrText>
        </w:r>
        <w:r w:rsidR="0037748E">
          <w:rPr>
            <w:noProof/>
            <w:webHidden/>
          </w:rPr>
        </w:r>
        <w:r w:rsidR="0037748E">
          <w:rPr>
            <w:noProof/>
            <w:webHidden/>
          </w:rPr>
          <w:fldChar w:fldCharType="separate"/>
        </w:r>
        <w:r w:rsidR="003B7FFA">
          <w:rPr>
            <w:noProof/>
            <w:webHidden/>
          </w:rPr>
          <w:t>119</w:t>
        </w:r>
        <w:r w:rsidR="0037748E">
          <w:rPr>
            <w:noProof/>
            <w:webHidden/>
          </w:rPr>
          <w:fldChar w:fldCharType="end"/>
        </w:r>
      </w:hyperlink>
    </w:p>
    <w:p w14:paraId="5A854281" w14:textId="202C0EB0"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305" w:history="1">
        <w:r w:rsidR="0037748E" w:rsidRPr="00A80B6D">
          <w:rPr>
            <w:rStyle w:val="Hyperlink"/>
            <w:noProof/>
          </w:rPr>
          <w:t>Tabela 12. Përmirësimi teknik i Kosovës A dhe B (CAPEX) si dhe kostot operative dhe të mirëmbajtjes deri në vitin 2030</w:t>
        </w:r>
        <w:r w:rsidR="0037748E">
          <w:rPr>
            <w:noProof/>
            <w:webHidden/>
          </w:rPr>
          <w:tab/>
        </w:r>
        <w:r w:rsidR="0037748E">
          <w:rPr>
            <w:noProof/>
            <w:webHidden/>
          </w:rPr>
          <w:fldChar w:fldCharType="begin"/>
        </w:r>
        <w:r w:rsidR="0037748E">
          <w:rPr>
            <w:noProof/>
            <w:webHidden/>
          </w:rPr>
          <w:instrText xml:space="preserve"> PAGEREF _Toc181867305 \h </w:instrText>
        </w:r>
        <w:r w:rsidR="0037748E">
          <w:rPr>
            <w:noProof/>
            <w:webHidden/>
          </w:rPr>
        </w:r>
        <w:r w:rsidR="0037748E">
          <w:rPr>
            <w:noProof/>
            <w:webHidden/>
          </w:rPr>
          <w:fldChar w:fldCharType="separate"/>
        </w:r>
        <w:r w:rsidR="003B7FFA">
          <w:rPr>
            <w:noProof/>
            <w:webHidden/>
          </w:rPr>
          <w:t>122</w:t>
        </w:r>
        <w:r w:rsidR="0037748E">
          <w:rPr>
            <w:noProof/>
            <w:webHidden/>
          </w:rPr>
          <w:fldChar w:fldCharType="end"/>
        </w:r>
      </w:hyperlink>
    </w:p>
    <w:p w14:paraId="455527A7" w14:textId="052F3E15"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306" w:history="1">
        <w:r w:rsidR="0037748E" w:rsidRPr="00A80B6D">
          <w:rPr>
            <w:rStyle w:val="Hyperlink"/>
            <w:noProof/>
          </w:rPr>
          <w:t>Tabela 13. Kostot tjera teknologjike në periudhën 2025-2030</w:t>
        </w:r>
        <w:r w:rsidR="0037748E">
          <w:rPr>
            <w:noProof/>
            <w:webHidden/>
          </w:rPr>
          <w:tab/>
        </w:r>
        <w:r w:rsidR="0037748E">
          <w:rPr>
            <w:noProof/>
            <w:webHidden/>
          </w:rPr>
          <w:fldChar w:fldCharType="begin"/>
        </w:r>
        <w:r w:rsidR="0037748E">
          <w:rPr>
            <w:noProof/>
            <w:webHidden/>
          </w:rPr>
          <w:instrText xml:space="preserve"> PAGEREF _Toc181867306 \h </w:instrText>
        </w:r>
        <w:r w:rsidR="0037748E">
          <w:rPr>
            <w:noProof/>
            <w:webHidden/>
          </w:rPr>
        </w:r>
        <w:r w:rsidR="0037748E">
          <w:rPr>
            <w:noProof/>
            <w:webHidden/>
          </w:rPr>
          <w:fldChar w:fldCharType="separate"/>
        </w:r>
        <w:r w:rsidR="003B7FFA">
          <w:rPr>
            <w:noProof/>
            <w:webHidden/>
          </w:rPr>
          <w:t>122</w:t>
        </w:r>
        <w:r w:rsidR="0037748E">
          <w:rPr>
            <w:noProof/>
            <w:webHidden/>
          </w:rPr>
          <w:fldChar w:fldCharType="end"/>
        </w:r>
      </w:hyperlink>
    </w:p>
    <w:p w14:paraId="6EDF14DF" w14:textId="7E4E0755"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307" w:history="1">
        <w:r w:rsidR="0037748E" w:rsidRPr="00A80B6D">
          <w:rPr>
            <w:rStyle w:val="Hyperlink"/>
            <w:noProof/>
          </w:rPr>
          <w:t>Tabela 14. Kostot e teknologjisë së ngrohjes qendrore në periudhën 2025-2030 (pa asetet ekzistuese deri në vitin 2021)</w:t>
        </w:r>
        <w:r w:rsidR="0037748E">
          <w:rPr>
            <w:noProof/>
            <w:webHidden/>
          </w:rPr>
          <w:tab/>
        </w:r>
        <w:r w:rsidR="0037748E">
          <w:rPr>
            <w:noProof/>
            <w:webHidden/>
          </w:rPr>
          <w:fldChar w:fldCharType="begin"/>
        </w:r>
        <w:r w:rsidR="0037748E">
          <w:rPr>
            <w:noProof/>
            <w:webHidden/>
          </w:rPr>
          <w:instrText xml:space="preserve"> PAGEREF _Toc181867307 \h </w:instrText>
        </w:r>
        <w:r w:rsidR="0037748E">
          <w:rPr>
            <w:noProof/>
            <w:webHidden/>
          </w:rPr>
        </w:r>
        <w:r w:rsidR="0037748E">
          <w:rPr>
            <w:noProof/>
            <w:webHidden/>
          </w:rPr>
          <w:fldChar w:fldCharType="separate"/>
        </w:r>
        <w:r w:rsidR="003B7FFA">
          <w:rPr>
            <w:noProof/>
            <w:webHidden/>
          </w:rPr>
          <w:t>123</w:t>
        </w:r>
        <w:r w:rsidR="0037748E">
          <w:rPr>
            <w:noProof/>
            <w:webHidden/>
          </w:rPr>
          <w:fldChar w:fldCharType="end"/>
        </w:r>
      </w:hyperlink>
    </w:p>
    <w:p w14:paraId="7F309BBB" w14:textId="43119FEC"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308" w:history="1">
        <w:r w:rsidR="0037748E" w:rsidRPr="00A80B6D">
          <w:rPr>
            <w:rStyle w:val="Hyperlink"/>
            <w:noProof/>
          </w:rPr>
          <w:t>Tabela 15. Parashikimet për konsumin e energjisë dhe sipërfaqen e ngrohur nga NQ Termokos, 2021-2040</w:t>
        </w:r>
        <w:r w:rsidR="0037748E">
          <w:rPr>
            <w:noProof/>
            <w:webHidden/>
          </w:rPr>
          <w:tab/>
        </w:r>
        <w:r w:rsidR="0037748E">
          <w:rPr>
            <w:noProof/>
            <w:webHidden/>
          </w:rPr>
          <w:fldChar w:fldCharType="begin"/>
        </w:r>
        <w:r w:rsidR="0037748E">
          <w:rPr>
            <w:noProof/>
            <w:webHidden/>
          </w:rPr>
          <w:instrText xml:space="preserve"> PAGEREF _Toc181867308 \h </w:instrText>
        </w:r>
        <w:r w:rsidR="0037748E">
          <w:rPr>
            <w:noProof/>
            <w:webHidden/>
          </w:rPr>
        </w:r>
        <w:r w:rsidR="0037748E">
          <w:rPr>
            <w:noProof/>
            <w:webHidden/>
          </w:rPr>
          <w:fldChar w:fldCharType="separate"/>
        </w:r>
        <w:r w:rsidR="003B7FFA">
          <w:rPr>
            <w:noProof/>
            <w:webHidden/>
          </w:rPr>
          <w:t>130</w:t>
        </w:r>
        <w:r w:rsidR="0037748E">
          <w:rPr>
            <w:noProof/>
            <w:webHidden/>
          </w:rPr>
          <w:fldChar w:fldCharType="end"/>
        </w:r>
      </w:hyperlink>
    </w:p>
    <w:p w14:paraId="06D3445B" w14:textId="6CFEAE1E"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309" w:history="1">
        <w:r w:rsidR="0037748E" w:rsidRPr="00A80B6D">
          <w:rPr>
            <w:rStyle w:val="Hyperlink"/>
            <w:noProof/>
          </w:rPr>
          <w:t>Tabela 15: Tabela 16. Projektet e transmisionit dhe përforcimit të rrjetit të përshkruara në PZHT 2024-2033</w:t>
        </w:r>
        <w:r w:rsidR="0037748E">
          <w:rPr>
            <w:noProof/>
            <w:webHidden/>
          </w:rPr>
          <w:tab/>
        </w:r>
        <w:r w:rsidR="0037748E">
          <w:rPr>
            <w:noProof/>
            <w:webHidden/>
          </w:rPr>
          <w:fldChar w:fldCharType="begin"/>
        </w:r>
        <w:r w:rsidR="0037748E">
          <w:rPr>
            <w:noProof/>
            <w:webHidden/>
          </w:rPr>
          <w:instrText xml:space="preserve"> PAGEREF _Toc181867309 \h </w:instrText>
        </w:r>
        <w:r w:rsidR="0037748E">
          <w:rPr>
            <w:noProof/>
            <w:webHidden/>
          </w:rPr>
        </w:r>
        <w:r w:rsidR="0037748E">
          <w:rPr>
            <w:noProof/>
            <w:webHidden/>
          </w:rPr>
          <w:fldChar w:fldCharType="separate"/>
        </w:r>
        <w:r w:rsidR="003B7FFA">
          <w:rPr>
            <w:noProof/>
            <w:webHidden/>
          </w:rPr>
          <w:t>139</w:t>
        </w:r>
        <w:r w:rsidR="0037748E">
          <w:rPr>
            <w:noProof/>
            <w:webHidden/>
          </w:rPr>
          <w:fldChar w:fldCharType="end"/>
        </w:r>
      </w:hyperlink>
    </w:p>
    <w:p w14:paraId="71F20E6E" w14:textId="764511AB"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310" w:history="1">
        <w:r w:rsidR="0037748E" w:rsidRPr="00A80B6D">
          <w:rPr>
            <w:rStyle w:val="Hyperlink"/>
            <w:noProof/>
          </w:rPr>
          <w:t>Tabela 17. Struktura tarifore për konsumatorët e rregulluar në vitin 2022</w:t>
        </w:r>
        <w:r w:rsidR="0037748E">
          <w:rPr>
            <w:noProof/>
            <w:webHidden/>
          </w:rPr>
          <w:tab/>
        </w:r>
        <w:r w:rsidR="0037748E">
          <w:rPr>
            <w:noProof/>
            <w:webHidden/>
          </w:rPr>
          <w:fldChar w:fldCharType="begin"/>
        </w:r>
        <w:r w:rsidR="0037748E">
          <w:rPr>
            <w:noProof/>
            <w:webHidden/>
          </w:rPr>
          <w:instrText xml:space="preserve"> PAGEREF _Toc181867310 \h </w:instrText>
        </w:r>
        <w:r w:rsidR="0037748E">
          <w:rPr>
            <w:noProof/>
            <w:webHidden/>
          </w:rPr>
        </w:r>
        <w:r w:rsidR="0037748E">
          <w:rPr>
            <w:noProof/>
            <w:webHidden/>
          </w:rPr>
          <w:fldChar w:fldCharType="separate"/>
        </w:r>
        <w:r w:rsidR="003B7FFA">
          <w:rPr>
            <w:noProof/>
            <w:webHidden/>
          </w:rPr>
          <w:t>147</w:t>
        </w:r>
        <w:r w:rsidR="0037748E">
          <w:rPr>
            <w:noProof/>
            <w:webHidden/>
          </w:rPr>
          <w:fldChar w:fldCharType="end"/>
        </w:r>
      </w:hyperlink>
    </w:p>
    <w:p w14:paraId="6E2074B7" w14:textId="3BEDEEC5"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311" w:history="1">
        <w:r w:rsidR="0037748E" w:rsidRPr="00A80B6D">
          <w:rPr>
            <w:rStyle w:val="Hyperlink"/>
            <w:noProof/>
          </w:rPr>
          <w:t>Tabela 18. Tarifat nxitëse të BRE-ve sipas teknologjisë</w:t>
        </w:r>
        <w:r w:rsidR="0037748E">
          <w:rPr>
            <w:noProof/>
            <w:webHidden/>
          </w:rPr>
          <w:tab/>
        </w:r>
        <w:r w:rsidR="0037748E">
          <w:rPr>
            <w:noProof/>
            <w:webHidden/>
          </w:rPr>
          <w:fldChar w:fldCharType="begin"/>
        </w:r>
        <w:r w:rsidR="0037748E">
          <w:rPr>
            <w:noProof/>
            <w:webHidden/>
          </w:rPr>
          <w:instrText xml:space="preserve"> PAGEREF _Toc181867311 \h </w:instrText>
        </w:r>
        <w:r w:rsidR="0037748E">
          <w:rPr>
            <w:noProof/>
            <w:webHidden/>
          </w:rPr>
        </w:r>
        <w:r w:rsidR="0037748E">
          <w:rPr>
            <w:noProof/>
            <w:webHidden/>
          </w:rPr>
          <w:fldChar w:fldCharType="separate"/>
        </w:r>
        <w:r w:rsidR="003B7FFA">
          <w:rPr>
            <w:noProof/>
            <w:webHidden/>
          </w:rPr>
          <w:t>152</w:t>
        </w:r>
        <w:r w:rsidR="0037748E">
          <w:rPr>
            <w:noProof/>
            <w:webHidden/>
          </w:rPr>
          <w:fldChar w:fldCharType="end"/>
        </w:r>
      </w:hyperlink>
    </w:p>
    <w:p w14:paraId="6E2A79E7" w14:textId="0BCD6C35"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312" w:history="1">
        <w:r w:rsidR="0037748E" w:rsidRPr="00A80B6D">
          <w:rPr>
            <w:rStyle w:val="Hyperlink"/>
            <w:noProof/>
          </w:rPr>
          <w:t>Tabela 19. Politika dhe masat e zbatuara në sektorin rezidencial dhe kursimet e parashikuara</w:t>
        </w:r>
        <w:r w:rsidR="0037748E">
          <w:rPr>
            <w:noProof/>
            <w:webHidden/>
          </w:rPr>
          <w:tab/>
        </w:r>
        <w:r w:rsidR="0037748E">
          <w:rPr>
            <w:noProof/>
            <w:webHidden/>
          </w:rPr>
          <w:fldChar w:fldCharType="begin"/>
        </w:r>
        <w:r w:rsidR="0037748E">
          <w:rPr>
            <w:noProof/>
            <w:webHidden/>
          </w:rPr>
          <w:instrText xml:space="preserve"> PAGEREF _Toc181867312 \h </w:instrText>
        </w:r>
        <w:r w:rsidR="0037748E">
          <w:rPr>
            <w:noProof/>
            <w:webHidden/>
          </w:rPr>
        </w:r>
        <w:r w:rsidR="0037748E">
          <w:rPr>
            <w:noProof/>
            <w:webHidden/>
          </w:rPr>
          <w:fldChar w:fldCharType="separate"/>
        </w:r>
        <w:r w:rsidR="003B7FFA">
          <w:rPr>
            <w:noProof/>
            <w:webHidden/>
          </w:rPr>
          <w:t>161</w:t>
        </w:r>
        <w:r w:rsidR="0037748E">
          <w:rPr>
            <w:noProof/>
            <w:webHidden/>
          </w:rPr>
          <w:fldChar w:fldCharType="end"/>
        </w:r>
      </w:hyperlink>
    </w:p>
    <w:p w14:paraId="6E9382A2" w14:textId="039E90C1"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313" w:history="1">
        <w:r w:rsidR="0037748E" w:rsidRPr="00A80B6D">
          <w:rPr>
            <w:rStyle w:val="Hyperlink"/>
            <w:noProof/>
          </w:rPr>
          <w:t>Tabela 20. Proj. 2030 - Normat e përdorimit dhe nivelet e mbingarkesës së interkonektorëve (sipas vendit)</w:t>
        </w:r>
        <w:r w:rsidR="0037748E">
          <w:rPr>
            <w:noProof/>
            <w:webHidden/>
          </w:rPr>
          <w:tab/>
        </w:r>
        <w:r w:rsidR="0037748E">
          <w:rPr>
            <w:noProof/>
            <w:webHidden/>
          </w:rPr>
          <w:fldChar w:fldCharType="begin"/>
        </w:r>
        <w:r w:rsidR="0037748E">
          <w:rPr>
            <w:noProof/>
            <w:webHidden/>
          </w:rPr>
          <w:instrText xml:space="preserve"> PAGEREF _Toc181867313 \h </w:instrText>
        </w:r>
        <w:r w:rsidR="0037748E">
          <w:rPr>
            <w:noProof/>
            <w:webHidden/>
          </w:rPr>
        </w:r>
        <w:r w:rsidR="0037748E">
          <w:rPr>
            <w:noProof/>
            <w:webHidden/>
          </w:rPr>
          <w:fldChar w:fldCharType="separate"/>
        </w:r>
        <w:r w:rsidR="003B7FFA">
          <w:rPr>
            <w:noProof/>
            <w:webHidden/>
          </w:rPr>
          <w:t>165</w:t>
        </w:r>
        <w:r w:rsidR="0037748E">
          <w:rPr>
            <w:noProof/>
            <w:webHidden/>
          </w:rPr>
          <w:fldChar w:fldCharType="end"/>
        </w:r>
      </w:hyperlink>
    </w:p>
    <w:p w14:paraId="2C077A76" w14:textId="005D5201" w:rsidR="0037748E" w:rsidRDefault="00062E07">
      <w:pPr>
        <w:pStyle w:val="TableofFigures"/>
        <w:tabs>
          <w:tab w:val="right" w:leader="dot" w:pos="9564"/>
        </w:tabs>
        <w:rPr>
          <w:rFonts w:asciiTheme="minorHAnsi" w:hAnsiTheme="minorHAnsi"/>
          <w:noProof/>
          <w:color w:val="auto"/>
          <w:kern w:val="2"/>
          <w:sz w:val="24"/>
          <w:szCs w:val="24"/>
          <w:lang w:val="en-US"/>
          <w14:ligatures w14:val="standardContextual"/>
        </w:rPr>
      </w:pPr>
      <w:hyperlink w:anchor="_Toc181867314" w:history="1">
        <w:r w:rsidR="0037748E" w:rsidRPr="00A80B6D">
          <w:rPr>
            <w:rStyle w:val="Hyperlink"/>
            <w:noProof/>
          </w:rPr>
          <w:t>Tabela 21. Ndikimet joenergjetike të PM-ve të përzgjedhura</w:t>
        </w:r>
        <w:r w:rsidR="0037748E">
          <w:rPr>
            <w:noProof/>
            <w:webHidden/>
          </w:rPr>
          <w:tab/>
        </w:r>
        <w:r w:rsidR="0037748E">
          <w:rPr>
            <w:noProof/>
            <w:webHidden/>
          </w:rPr>
          <w:fldChar w:fldCharType="begin"/>
        </w:r>
        <w:r w:rsidR="0037748E">
          <w:rPr>
            <w:noProof/>
            <w:webHidden/>
          </w:rPr>
          <w:instrText xml:space="preserve"> PAGEREF _Toc181867314 \h </w:instrText>
        </w:r>
        <w:r w:rsidR="0037748E">
          <w:rPr>
            <w:noProof/>
            <w:webHidden/>
          </w:rPr>
        </w:r>
        <w:r w:rsidR="0037748E">
          <w:rPr>
            <w:noProof/>
            <w:webHidden/>
          </w:rPr>
          <w:fldChar w:fldCharType="separate"/>
        </w:r>
        <w:r w:rsidR="003B7FFA">
          <w:rPr>
            <w:noProof/>
            <w:webHidden/>
          </w:rPr>
          <w:t>168</w:t>
        </w:r>
        <w:r w:rsidR="0037748E">
          <w:rPr>
            <w:noProof/>
            <w:webHidden/>
          </w:rPr>
          <w:fldChar w:fldCharType="end"/>
        </w:r>
      </w:hyperlink>
    </w:p>
    <w:p w14:paraId="63A46864" w14:textId="35F1D337" w:rsidR="00130A52" w:rsidRPr="00976D33" w:rsidRDefault="00130A52" w:rsidP="00130A52">
      <w:pPr>
        <w:pStyle w:val="Heading1"/>
        <w:numPr>
          <w:ilvl w:val="0"/>
          <w:numId w:val="0"/>
        </w:numPr>
        <w:ind w:left="432" w:hanging="432"/>
        <w:sectPr w:rsidR="00130A52" w:rsidRPr="00976D33" w:rsidSect="007E6A8A">
          <w:footnotePr>
            <w:numRestart w:val="eachSect"/>
          </w:footnotePr>
          <w:type w:val="continuous"/>
          <w:pgSz w:w="11906" w:h="16838" w:code="9"/>
          <w:pgMar w:top="1469" w:right="1022" w:bottom="1138" w:left="1310" w:header="1001" w:footer="720" w:gutter="0"/>
          <w:cols w:space="720"/>
        </w:sectPr>
      </w:pPr>
      <w:r w:rsidRPr="00976D33">
        <w:fldChar w:fldCharType="end"/>
      </w:r>
    </w:p>
    <w:p w14:paraId="3545A2D0" w14:textId="45EDAE29" w:rsidR="0088143A" w:rsidRPr="00976D33" w:rsidRDefault="0088143A" w:rsidP="00BD4E9E">
      <w:pPr>
        <w:pStyle w:val="Heading1"/>
        <w:rPr>
          <w:sz w:val="40"/>
          <w:szCs w:val="22"/>
        </w:rPr>
      </w:pPr>
      <w:bookmarkStart w:id="3" w:name="_Toc182302243"/>
      <w:r>
        <w:rPr>
          <w:sz w:val="40"/>
        </w:rPr>
        <w:lastRenderedPageBreak/>
        <w:t>KORNIZA E PËRGJITHSHME PËR PLANET E INTEGRUARA KOMBËTARE PËR ENERGJI DHE KLIMË</w:t>
      </w:r>
      <w:bookmarkEnd w:id="3"/>
      <w:r>
        <w:rPr>
          <w:sz w:val="40"/>
        </w:rPr>
        <w:t xml:space="preserve"> </w:t>
      </w:r>
    </w:p>
    <w:p w14:paraId="4B83E146" w14:textId="77777777" w:rsidR="0088143A" w:rsidRPr="00976D33" w:rsidRDefault="0088143A" w:rsidP="00BD4E9E">
      <w:pPr>
        <w:pStyle w:val="Heading2"/>
      </w:pPr>
      <w:bookmarkStart w:id="4" w:name="_Toc182302244"/>
      <w:r>
        <w:t>Përmbledhje ekzekutive</w:t>
      </w:r>
      <w:bookmarkEnd w:id="4"/>
      <w:r>
        <w:t xml:space="preserve"> </w:t>
      </w:r>
    </w:p>
    <w:p w14:paraId="1D6620DC" w14:textId="77777777" w:rsidR="0088143A" w:rsidRPr="00976D33" w:rsidRDefault="0088143A" w:rsidP="0069102F">
      <w:pPr>
        <w:pStyle w:val="Heading3"/>
      </w:pPr>
      <w:bookmarkStart w:id="5" w:name="_Toc182302245"/>
      <w:r>
        <w:t>Konteksti politik, ekonomik, mjedisor dhe social i planit</w:t>
      </w:r>
      <w:bookmarkEnd w:id="5"/>
      <w:r>
        <w:t xml:space="preserve"> </w:t>
      </w:r>
    </w:p>
    <w:p w14:paraId="04AB06BF" w14:textId="1D8D1B4D" w:rsidR="00D571F5" w:rsidRPr="00976D33" w:rsidRDefault="00A96847" w:rsidP="00A96847">
      <w:r>
        <w:t xml:space="preserve">Me nënshkrimin e Deklaratës së Sofjes për Agjendën e Gjelbër për Ballkanin Perëndimor si pjesë e “Procesit të Berlinit” në nëntor të vitit 2020, ne synojmë të ndjekin Bashkimin Evropian në rrugën e tij të dekarbonizimit drejt një ekonomie neutrale ndaj karbonit deri në vitin 2050. Miratimi i Udhërrëfyesit të Dekarbonizimit nga Këshilli Ministror më 30 nëntor 2021 dërgon një sinjal të rëndësishëm në lidhje me gatishmërinë e palëve kontraktuese të Komunitetit të Energjisë për t’iu bashkuar Bashkimit Evropian dhe partnerëve të tjerë ndërkombëtarë në arritjen e emetimeve neto zero të gazrave serrë (GS) deri në vitin 2050. </w:t>
      </w:r>
    </w:p>
    <w:p w14:paraId="38424D0C" w14:textId="01B667BB" w:rsidR="004C42F0" w:rsidRDefault="00A96847" w:rsidP="00DC0A88">
      <w:pPr>
        <w:spacing w:before="0" w:after="0"/>
      </w:pPr>
      <w:r>
        <w:t>Në takimin e dhjetorit të vitit 2022 të Këshillit Ministror të Komunitetit të Energjisë, u ndërmor një hap proaktiv për të vendosur objektivat për vitin 2030 të Palëve Kontraktuese të Komunitetit të Energjisë. Krahas caqeve të vitit 2020, të cilat kishin të bënin me integrimin e burimeve të ripërtëritshme të energjisë (BRE) në bruto konsumin final të energjisë dhe përmirësimin e efiçiencës së energjisë, për vitin 2030 u shtua një cak i ri për reduktimin e emetimeve të GS-ve. Kjo rezulton në objektivat e mëposhtme për Kosovën deri në vitin 2030:</w:t>
      </w:r>
    </w:p>
    <w:p w14:paraId="7E626C21" w14:textId="53AD6CA8" w:rsidR="000C6D8F" w:rsidRDefault="0016446F" w:rsidP="00E946DF">
      <w:pPr>
        <w:pStyle w:val="ListParagraph"/>
        <w:numPr>
          <w:ilvl w:val="0"/>
          <w:numId w:val="116"/>
        </w:numPr>
        <w:spacing w:before="0" w:after="0"/>
      </w:pPr>
      <w:r>
        <w:t>Emetimet e GS-ve: Reduktim prej 16.3% i emetimeve të GS-ve (8.95 MtCO</w:t>
      </w:r>
      <w:r>
        <w:rPr>
          <w:vertAlign w:val="subscript"/>
        </w:rPr>
        <w:t>2eq</w:t>
      </w:r>
      <w:r>
        <w:t>) krahasuar me nivelet e vitit 2016</w:t>
      </w:r>
    </w:p>
    <w:p w14:paraId="027D048E" w14:textId="1867AC63" w:rsidR="00FE2505" w:rsidRDefault="0016446F" w:rsidP="00E946DF">
      <w:pPr>
        <w:pStyle w:val="ListParagraph"/>
        <w:numPr>
          <w:ilvl w:val="0"/>
          <w:numId w:val="116"/>
        </w:numPr>
        <w:spacing w:before="0" w:after="0"/>
      </w:pPr>
      <w:r>
        <w:t>Burimet e ripërtërishme: Pjesëmarrje prej 32% e energjisë së ripërtërishme në bruto konsumin final të energjisë</w:t>
      </w:r>
    </w:p>
    <w:p w14:paraId="2F677E2D" w14:textId="53267E71" w:rsidR="00FE2505" w:rsidRDefault="00FE2505" w:rsidP="00E946DF">
      <w:pPr>
        <w:pStyle w:val="ListParagraph"/>
        <w:numPr>
          <w:ilvl w:val="0"/>
          <w:numId w:val="116"/>
        </w:numPr>
        <w:spacing w:before="0" w:after="0"/>
      </w:pPr>
      <w:r>
        <w:t>Efiçienca e energjisë:</w:t>
      </w:r>
    </w:p>
    <w:p w14:paraId="4342EFFE" w14:textId="09272F8A" w:rsidR="00FE2505" w:rsidRDefault="00FE2505" w:rsidP="00E946DF">
      <w:pPr>
        <w:pStyle w:val="ListParagraph"/>
        <w:numPr>
          <w:ilvl w:val="1"/>
          <w:numId w:val="116"/>
        </w:numPr>
        <w:spacing w:before="0" w:after="0"/>
      </w:pPr>
      <w:r>
        <w:t>Konsumi prima i energjisë: 2.7 Mtoe</w:t>
      </w:r>
    </w:p>
    <w:p w14:paraId="281BC5A9" w14:textId="15DD9972" w:rsidR="00962BEE" w:rsidRDefault="00962BEE" w:rsidP="008C14F9">
      <w:pPr>
        <w:pStyle w:val="ListParagraph"/>
        <w:numPr>
          <w:ilvl w:val="1"/>
          <w:numId w:val="116"/>
        </w:numPr>
        <w:spacing w:before="0" w:after="0"/>
      </w:pPr>
      <w:r>
        <w:t>Konsumi përfundimtar i energjisë: 1.8 Mtoe</w:t>
      </w:r>
    </w:p>
    <w:p w14:paraId="6837412C" w14:textId="5859D11F" w:rsidR="0027576D" w:rsidRPr="00976D33" w:rsidRDefault="00A96847" w:rsidP="000A65E6">
      <w:pPr>
        <w:spacing w:after="0"/>
      </w:pPr>
      <w:r>
        <w:t xml:space="preserve"> Procesi fillestar për hartimin e Planit Kombëtar për Energji dhe Klimë (PKEK) në Republikës së Kosovë ka filluar në vitin 2020-2021. Megjithatë, procesi ishte pezulluar në pritje të miratimit të caqeve të reja të vitit 2030 në nivel të Komunitetit të Energjisë. Për të harmonizuar me këto zotime, Qeveria e Kosovës miratoi Strategjinë e re për Energjinë për periudhën 2022-2031 që përcakton caqet strategjike afatgjata për efiçiencën e energjisë, energjinë e ripërtëritshme dhe emetimin e gazrave serrë. Strategjia e energjisë është ambicioze, ajo përcakton caqet për dekarbonizim dhe është në përputhje me marrëveshjet rajonale dhe objektivat e BE-së të diskutuara dhe të dakorduara në Këshillin Ministror të Komunitetit të Energjisë. </w:t>
      </w:r>
    </w:p>
    <w:p w14:paraId="5D03657A" w14:textId="4B5783D9" w:rsidR="00DC15CA" w:rsidRPr="00976D33" w:rsidRDefault="00322085" w:rsidP="00DC0A88">
      <w:pPr>
        <w:spacing w:before="0" w:after="0"/>
      </w:pPr>
      <w:r>
        <w:t xml:space="preserve">Kosova ka miratuar programin për zbatimin e Strategjisë së Energjisë për periudhën 2022-2025 në shtator të vitit 2023, i cili përfshin një listë me 5 objektivave strategjike: Përmirësimi i qëndrueshmërisë së sistemit, dekarbonizimi dhe promovimi i energjisë së ripërtëritshme, rritja e efiçiencës së energjisë, forcimi i bashkëpunimit rajonal dhe funksionimi i tregut, si dhe mbrojtja dhe fuqizimi i konsumatorëve. </w:t>
      </w:r>
    </w:p>
    <w:p w14:paraId="7C9673A1" w14:textId="2B7D85A7" w:rsidR="00FA46C6" w:rsidRDefault="00AE2AC0" w:rsidP="00FA46C6">
      <w:r>
        <w:t xml:space="preserve">Këto objektiva strategjike janë përkthyer në 15 objektiva specifike dhe </w:t>
      </w:r>
      <w:r w:rsidR="004D127F">
        <w:t>7</w:t>
      </w:r>
      <w:r>
        <w:t xml:space="preserve">0 masa për zbatim, dhe progresi do të monitorohet përmes raportit vjetor të progresit. PKEK bazohet në objektivat, politikat dhe masat e Strategjisë së Energjisë dhe është në harmoni me dokumentet më të fundit strategjike dhe rregullatore të miratuara nga Qeveria e Kosovës.  Kjo qasje gjithëpërfshirëse siguron që politikat energjetike të Kosovës të jenë në përputhje me qëllimet më të gjera rajonale dhe evropiane, duke nxitur bashkëpunimin dhe integrimin rajonal brenda rrjetit energjetik të Ballkanit Perëndimor.  </w:t>
      </w:r>
    </w:p>
    <w:p w14:paraId="4A5573B1" w14:textId="399D7B27" w:rsidR="00C8548F" w:rsidRDefault="00FA46C6" w:rsidP="000A65E6">
      <w:pPr>
        <w:spacing w:before="0"/>
      </w:pPr>
      <w:r>
        <w:t>Për më tepër, në vitin 2024, Kosova ka miratuar Ligjin e ri për Burimet e Ripërtëritshme, me qëllim të rritjes së konsiderueshme të shfrytëzimit të burimeve të ripërtëritshme të energjisë në sektorë të ndryshëm. Konkretisht, ne synojmë zgjerimin e burimeve të ripërtëritshme të energjisë në prodhimin e energjisë elektrike, promovimin e kogjenerimit në sektorin e ngrohjes dhe ftohjes dhe inkurajimin e integrimit të energjisë së ripërtëritshme në sektorin e transportit. Ky moment kyç legjislativ tregon përkushtimin tonë për të kaluar drejt një peizazhi energjetik më të qëndrueshëm dhe miqësor ndaj mjedisit.</w:t>
      </w:r>
    </w:p>
    <w:p w14:paraId="6AC0516E" w14:textId="52B5E310" w:rsidR="0063068D" w:rsidRDefault="00C8548F" w:rsidP="00BE2BF1">
      <w:pPr>
        <w:spacing w:before="0" w:after="0"/>
      </w:pPr>
      <w:r>
        <w:lastRenderedPageBreak/>
        <w:t xml:space="preserve">Megjithëse si Republikë e Kosovës nuk jemi palë nënshkruese e Konventës Kornizë të Organizatës së Kombeve të Bashkuara për Ndryshimet Klimatike (UNFCCC) dhe, për rrjedhojë, nuk kemi detyrim ligjor për hartimin e Kontributeve të Përcaktuara në Nivel Kombëtar (KPK), kemi formuar një grup punues për të finalizuar për herë të parë KPK-në, edhe pse në mënyrë vullnetare. Po ashtu, pavarësisht mungesës së detyrimit ligjor për të raportuar për inventarin e GS-ve në platformën e UNFCCC-së, përmes Agjencisë së Kosovës për Mbrojtjen e Mjedisit me burime vetanake dhe mbështetje bilaterale, vazhdojmë të publikojmë dy herë në vit inventarin, duke ditur se nevojitet një sistem më i gjerë dhe më gjithëpërfshirës. </w:t>
      </w:r>
    </w:p>
    <w:p w14:paraId="6CE609C7" w14:textId="66BE38B9" w:rsidR="007535BA" w:rsidRDefault="00C65D83" w:rsidP="00E946DF">
      <w:r>
        <w:t>Pavarësisht faktit që komuniteti ndërkombëtar vazhdon të shkelë parimet e tij të përfshirjes dhe parimin udhëzues “të mos e lëmë askënd prapa” duke përjashtuar Republikën e Kosovës nga përpjekjet globale për të luftuar dhe për t’u përshtatur ndaj ndryshimeve klimatike, Republika e Kosovës, me përgjegjësi të ulët historike për emetimet e GS-ve, mbetet e përkushtuar ndaj objektivave të Marrëveshjes së Parisit përmes KPK-ve të saj vullnetare dhe PKEK-un tonë. Sidoqoftë, tranzicioni i drejtë për sektorët tanë me intensitet të lartë të GS-ve bëhet më sfidues nëse komuniteti ndërkombëtar vazhdon të pengojë qasjen e Kosovës në mekanizmat shumëpalësh të financimit klimatik, siç janë Fondi i Klimës së Gjelbër, Mekanizmi Global për Mjedisin dhe Fondi për Përshtatje. Arritja e një tranzicioni të drejtë drejt neutralitetit ndaj karbonit kërkon një angazhim të madh financiar për të zbatuar Politika dhe Masa të ndryshme (PM) nëpër sektorë të ndryshëm, veçanërisht për sektorin e furnizimit me energji, si sektori me emetimet më të larta të karbonit në Kosovë, ku janë identifikuar nevoja për investim prej rreth 2 miliardë euro deri në vitin 2030</w:t>
      </w:r>
      <w:r w:rsidR="00A82D22">
        <w:rPr>
          <w:rStyle w:val="FootnoteReference"/>
        </w:rPr>
        <w:footnoteReference w:id="2"/>
      </w:r>
      <w:r>
        <w:t>.</w:t>
      </w:r>
    </w:p>
    <w:p w14:paraId="2367527B" w14:textId="62BA112C" w:rsidR="0063068D" w:rsidRDefault="00C65D83" w:rsidP="008C14F9">
      <w:r>
        <w:t xml:space="preserve">Paralelisht me angazhimin financiar në zbatimin e PM-eve që dalin nga PKEK, Kosova vazhdon të përballet me sfida të shkaktuara nga ndryshimet klimatike, të cilat ndikojnë në ekonominë dhe popullatën tonë. Vetëm në vitin 2023, gjatë fazës së hartimit të këtij PKEK, Kosova u përball me vërshime të mëdha që prekën 21,500 persona dhe shkaktuan 28.9 milionë euro dëme. Puna e MMPHI-së për përshtatjen ndaj ndryshimeve klimatike, veçanërisht me zhvillimin e hartave të rrezikut nga vërshimet e rrezikshme, thekson se 65% e territorit të Kosovës mbetet nën rrezik të vërshimeve, dhe sipas “Raportit për Klimën dhe Zhvillimin e Vendit” të fundit nga Banka Botërore (Banka Botërore, 2024), Kosovës i nevojiten 2.8 miliardë euro investime në infrastrukturë për të shmangur deri në 14.6 miliardë euro dëme vetëm nga vërshimet. </w:t>
      </w:r>
    </w:p>
    <w:p w14:paraId="5CA0F4D1" w14:textId="5FE5DCE9" w:rsidR="00D7279A" w:rsidRPr="00976D33" w:rsidRDefault="00104B06" w:rsidP="00E32A3B">
      <w:r>
        <w:t>Veprimet e listuara në PKEK demonstrojnë dedikimin dhe përkushtimin e Kosovës që transformimi i sektorit të energjisë të jetë i ndërlidhur me drejtësinë sociale. Qytetarët do të jenë në qendër të kësaj të ardhmeje transformuese të energjisë, duke siguruar që ata të kenë qasje në energji të përballueshme dhe mundësi për të marrë pjesë aktive në këtë sektor, duke përfshirë prodhimin dhe vetë-konsumimin. Mbështetje e veçantë do t’u ofrohet grupeve më të cenueshme, duke i ndihmuar ata të përfitojnë nga iniciativat siç janë skemat e mbështetjes sociale, ose programet mbështetëse për zvogëlimin e barrës mbi përballueshmërinë e qasjes në energji, për të siguruar transparencën që Kosova është e përkushtuar të zhvillojë një përkufizim ligjor për klientët e cenueshëm dhe të krijojë një regjistër gjithëpërfshirës të klientëve të cenueshëm.</w:t>
      </w:r>
    </w:p>
    <w:p w14:paraId="7E1EC713" w14:textId="4A2F42B1" w:rsidR="009957A7" w:rsidRPr="00976D33" w:rsidRDefault="00C83570" w:rsidP="00E32A3B">
      <w:r>
        <w:t>PKEK shtrihet përtej sektorit të energjisë duke zbatuar politika dhe masa (PM) joenergjetike në sektorët e mbeturinave, BPPTT-së dhe PIPP-së. Disa nga PM-të e dukshme përfshijnë menaxhimin e kontrolluar të mbetjeve të ngurta në pesë zona të pellgjeve ujore, përmirësimin dhe mbrojtjen e burimeve pyjore përmes praktikave të qëndrueshme të pylltarisë dhe promovimin e menaxhimit të përmirësuar të plehrave organike për të reduktuar emetimet e metanit. Për më tepër, po prezantohen skema agro-mjedisore për të mbështetur ruajtjen e biodiversitetit, ndërsa promovimi i bujqësisë organike inkurajon metoda më të qëndrueshme bujqësore. Këto PM synojnë të reduktojnë emetimet, duke ruajtur burimet natyrore dhe duke promovuar zhvillimin rural.</w:t>
      </w:r>
    </w:p>
    <w:p w14:paraId="562166DE" w14:textId="6D915B83" w:rsidR="00C83570" w:rsidRDefault="004D061A" w:rsidP="00E32A3B">
      <w:r>
        <w:t>Në përgjithësi, përpjekjet e kombinuara nga sektorët energjetikë dhe joenergjetikë parashikohen të rezultojnë në një reduktim prej 28% të emetimeve sipas skenarit MEE (me masat ekzistuese) dhe një reduktim prej 42% sipas skenarit MME (me masat shtesë) krahasuar me nivelet e vitit 2016. Arritja e këtyre objektivave do të kërkojë një investim prej 3.7 miliardë euro për skenarin MEE, ku 1.1 miliardë euro shtesë nevojiten për skenarin MME. Ndërsa këto investime janë të konsiderueshme, përfitimet afatgjata mjedisore, sociale dhe ekonomike do të forcojnë rrugën e Kosovës drejt një të ardhmeje të qëndrueshme dhe gjithëpërfshirëse.</w:t>
      </w:r>
    </w:p>
    <w:p w14:paraId="628FC61F" w14:textId="77777777" w:rsidR="0088143A" w:rsidRPr="00976D33" w:rsidRDefault="0088143A" w:rsidP="00BD4E9E">
      <w:pPr>
        <w:pStyle w:val="Heading3"/>
      </w:pPr>
      <w:bookmarkStart w:id="6" w:name="_Toc182302246"/>
      <w:r>
        <w:lastRenderedPageBreak/>
        <w:t>Strategjia lidhur me pesë dimensionet e Bashkimit të Energjisë</w:t>
      </w:r>
      <w:bookmarkEnd w:id="6"/>
      <w:r>
        <w:t xml:space="preserve">  </w:t>
      </w:r>
    </w:p>
    <w:p w14:paraId="452FE3C9" w14:textId="3B503DE2" w:rsidR="001405D8" w:rsidRPr="00976D33" w:rsidRDefault="00E93002" w:rsidP="0005016C">
      <w:r>
        <w:t xml:space="preserve">Themeli për të ardhmen e dekarbonizimit të energjisë dhe klimës së Kosovës, i përcaktuar në PKEK, është në përputhje me Strategjinë e Energjisë së Kosovës dhe objektivat e saj kryesore dhe specifike. Këto objektiva janë shtjelluar dhe modeluar duke përdorur politikat dhe masat ekzistuese (WEM - Me Masat Ekzistuese) dhe politikat dhe masat shtesë (WAM - Me Masat Shtesë), të cilat do të kontribuojnë në arritjen e objektivave kombëtare të përshkruara në Strategjinë e Energjisë deri në vitin 2031 dhe të dakorduara në nivel komunitetit të energjisë.  </w:t>
      </w:r>
    </w:p>
    <w:p w14:paraId="4B4BFFA7" w14:textId="010BFE14" w:rsidR="002602DE" w:rsidRPr="00976D33" w:rsidRDefault="002602DE" w:rsidP="0005016C">
      <w:r>
        <w:t>Politikat dhe masat ekzistuese dhe ato shtesë (WEM dhe WAM) përcaktojnë kornizën që garanton sigurinë e furnizimit me energji elektrike, promovon energjinë e pastër, rrit efiçiencën e energjisë dhe inkurajon pjesëmarrjen aktive të qytetarëve dhe mbështetjen për grupet e cenueshme.</w:t>
      </w:r>
    </w:p>
    <w:p w14:paraId="5BFC8891" w14:textId="1062CCDD" w:rsidR="00947AAC" w:rsidRPr="00976D33" w:rsidRDefault="00970B0B" w:rsidP="0005016C">
      <w:r>
        <w:t xml:space="preserve">Ndikimi i politikave dhe masave janë modeluar duke përdorur softuerin LEAP (Platforma e Analizës së Emetimeve të Ulëta), me një model të zhvilluar posaçërisht për Kosovën, dhe kryhet si proces përsëritës duke marrë parasysh shtrirjen dhe intensitetin e secilës PM për të përmbushur objektivat kombëtare të dakorduara. </w:t>
      </w:r>
    </w:p>
    <w:p w14:paraId="40B07A10" w14:textId="43AB7EFA" w:rsidR="00817079" w:rsidRPr="00976D33" w:rsidRDefault="0005016C" w:rsidP="0005016C">
      <w:r>
        <w:t xml:space="preserve">Gjatë gjithë procesit të hartimit të PKEK-së, Udhëzimet e Politikave të Sekretariatit të Komunitetit të Energjisë për zhvillimin e PKEK-ve, së bashku me rregulloret dhe direktivat e tjera përkatëse që kanë të bëjnë me pesë dimensionet e PKEK-së janë ndjekur si parime udhëzuese. </w:t>
      </w:r>
    </w:p>
    <w:p w14:paraId="4D4799BE" w14:textId="4AA13C66" w:rsidR="0005016C" w:rsidRPr="00976D33" w:rsidRDefault="00EA78C4" w:rsidP="0005016C">
      <w:r>
        <w:t xml:space="preserve">Në kuadër të dimensionit të </w:t>
      </w:r>
      <w:r>
        <w:rPr>
          <w:b/>
          <w:bCs/>
        </w:rPr>
        <w:t>dekarbonizimit</w:t>
      </w:r>
      <w:r>
        <w:t xml:space="preserve"> të PKEK-së, Kosova është e përkushtuar të zbatojë politika dhe masa në të gjithë sektorët në mënyrë që të zvogëlojë emetimet e GS-ve dhe të rrisë pjesëmarrjen e BRE-ve në bruto konsumin final të energjisë, në mënyrë të qëndrueshme. Shumica e emetimeve të GS-ve në Kosovë, rreth 87%, gjenerohen nga djegia e lëndëve djegëse fosile në sektorin e energjisë, veçanërisht në transformimin e energjisë, industri dhe transport. Prandaj, objektivi kryesor është promovimi i kalimit drejt teknologjive me karbon të ulët në këta sektorë duke rritur përdorimin e BRE-ve në kombinimin e prodhimit të energjisë, duke zbatuar masa për efiçiencën e energjisë në të gjithë sektorët dhe duke hequr gradualisht përdorimin e lëndëve djegëse fosile.</w:t>
      </w:r>
    </w:p>
    <w:p w14:paraId="48AF39B4" w14:textId="6FD72530" w:rsidR="00347845" w:rsidRDefault="0005016C" w:rsidP="0005016C">
      <w:r>
        <w:t>Analiza e kryer dhe vlerësimi i ndikimit në këtë plan shërben si bazë themelore, por nuk merr parasysh zbatimin e çmimit të karbonit. Zbatimi i një sistemi të përshtatshëm dhe të projektuar mirë të çmimit të karbonit për Kosovën do të kërkojë kapacitete të konsiderueshme administrative, të cilat janë tashmë të kufizuara, dhe për rrjedhojë mund të paraqesin rrezik të madh për zbatimin e suksesshëm të planeve ambicioze të përshkruara në këtë PKEK. Zbatimi i nxituar i një sistemi të çmimit të karbonit pa përgatitjet e nevojshme dhe mekanizmat e kompensimit social do të rrezikonte gjithashtu të shkaktojë një shkallë më të lartë të varfërisë energjetike dhe kështu mund të minojë pranimin shoqëror të këtij angazhimi, por edhe agjendën tonë ambicioze për politikën klimatike në përgjithësi.</w:t>
      </w:r>
    </w:p>
    <w:p w14:paraId="4EE1F75F" w14:textId="42A6DF86" w:rsidR="0005016C" w:rsidRPr="00976D33" w:rsidRDefault="00347845" w:rsidP="0005016C">
      <w:r>
        <w:t>Megjithatë, janë ndërmarrë hapat e parë për krijimin e një baze analitike për përgatitjen e zbatimit të mundshëm të ardhshëm të çmimit të karbonit. Për shembull, në kuadër të përgatitjes së PKEK, janë kryer disa analiza të ndjeshmërisë duke përdorur çmime të ndryshme të karbonit për të treguar ndikimet. Është vendosur që të kryhen analiza shtesë, duke përfshirë vlerësimin e efekteve të vënies në funksion të Mekanizmit të Rregullimit të Kufirit të Karbonit (CBAM) nga Bashkimi Evropian në Republikën e Kosovës. Këto aktivitete tashmë kanë filluar, me një studim mbi CBAM-in dhe çmimin e karbonit, të zhvilluar nga një Grup Punues ndërqeveritar në bashkëpunim me Fondin Monetar Ndërkombëtar (FMN). Studimi është publikuar në faqen zyrtare të Ministrisë së Mjedisit, Infrastrukturës dhe Planifikimit Hapësinor. Siç thekson studimi, ndikimi i CBAM-it në Kosovë parashikohet të jetë relativisht i ulët, pasi eksportet e Kosovës për mallrat e mbuluara nga CBAM-i drejt BE-së janë minimale.</w:t>
      </w:r>
    </w:p>
    <w:p w14:paraId="073461C4" w14:textId="4294A72B" w:rsidR="00817079" w:rsidRPr="00976D33" w:rsidRDefault="00764775" w:rsidP="00817079">
      <w:r>
        <w:t xml:space="preserve">Në lidhje me energjinë e ripërtëritshme, caku i jonë është që të rrisim pjesëmarrjen e BRE-ve në konsumin e energjisë elektrike në 35% deri në vitin 2031 nga 6.3% që ishte në vitin 2021. Përveç temës së </w:t>
      </w:r>
      <w:r>
        <w:rPr>
          <w:b/>
          <w:bCs/>
        </w:rPr>
        <w:t>burimeve të ripërtëritshme të energjisë</w:t>
      </w:r>
      <w:r>
        <w:t>, dimensioni i Dekarbonizimit përfshin emetimet e GS-ve si dhe politikat dhe masat që lidhen me sektorët joenergjetik. Kjo përfshin, për shembull, sektorët e bujqësisë, pylltarisë dhe përdorimit tjetër të tokës (BPPTT) si dhe sektorin e mbeturinave. Politikat në këta sektorë janë gjithashtu thelbësore për ambiciet tona në reduktimin e emetimeve të tjera përveç CO</w:t>
      </w:r>
      <w:r>
        <w:rPr>
          <w:vertAlign w:val="subscript"/>
        </w:rPr>
        <w:t>2</w:t>
      </w:r>
      <w:r>
        <w:t xml:space="preserve">, veçanërisht metanit. Caqet e GS-ve të miratuara për vitin 2030 në terma absolutë janë 8,95 Mt CO2-eq ose një reduktim prej 16,3% </w:t>
      </w:r>
      <w:r>
        <w:lastRenderedPageBreak/>
        <w:t xml:space="preserve">krahasuar me nivelet e GS-ve të vitit 2016, kjo siguron një qasje gjithëpërfshirëse për të adresuar reduktimin e emetimeve dhe qëndrueshmërinë në të gjithë sektorët e ekonomisë.  </w:t>
      </w:r>
    </w:p>
    <w:p w14:paraId="7F9744E3" w14:textId="5BDDFC61" w:rsidR="0005016C" w:rsidRPr="00976D33" w:rsidRDefault="0005016C" w:rsidP="00817079">
      <w:r>
        <w:t xml:space="preserve">Parimi i parë i efiçiencës së energjisë është prezantuar në PKEK si pjesë e </w:t>
      </w:r>
      <w:r>
        <w:rPr>
          <w:b/>
        </w:rPr>
        <w:t>dimensionit të efiçiencës së energjisë</w:t>
      </w:r>
      <w:r>
        <w:t>, duke marrë parasysh maksimalisht masat e efiçiencës së energjisë me kosto efektive në formësimin e politikës së energjisë dhe marrjen e vendimeve përkatëse për investime.</w:t>
      </w:r>
      <w:r>
        <w:rPr>
          <w:color w:val="auto"/>
        </w:rPr>
        <w:t xml:space="preserve"> </w:t>
      </w:r>
      <w:r>
        <w:t>Caku i Kosovës është përafruar me Vendimin 2022/02/MC-EnC, të miratuar nga Këshilli Ministror i Komunitetit të Energjisë, dhe në raport me konsumin primar të energjisë në vitin 2030 është 2.7 Mtoe</w:t>
      </w:r>
      <w:r>
        <w:rPr>
          <w:color w:val="0F0D29"/>
        </w:rPr>
        <w:t>, ndërsa për konsumin final të energjisë, është 1.8 Mtoe</w:t>
      </w:r>
      <w:r>
        <w:t>.</w:t>
      </w:r>
      <w:r>
        <w:rPr>
          <w:color w:val="0F0D29"/>
        </w:rPr>
        <w:t xml:space="preserve"> </w:t>
      </w:r>
      <w:r>
        <w:t xml:space="preserve">Shumica e masave brenda këtij dimensioni fokusohen në rinovimet e ndërtesave që synojnë përmirësimin e efiçiencës së energjisë. Megjithatë, ka edhe masa që i përkasin sektorëve tjerë, siç janë sektori i industrisë apo i transportit. Në lidhje me këtë të fundit, fokusi është në zgjerimin dhe elektrifikimin e sistemit hekurudhor. </w:t>
      </w:r>
    </w:p>
    <w:p w14:paraId="2BFCF8FA" w14:textId="14167530" w:rsidR="00782B3C" w:rsidRPr="00976D33" w:rsidRDefault="00817079" w:rsidP="00817079">
      <w:r>
        <w:t xml:space="preserve">Në lidhje me </w:t>
      </w:r>
      <w:r>
        <w:rPr>
          <w:b/>
        </w:rPr>
        <w:t>sigurinë energjetike</w:t>
      </w:r>
      <w:r>
        <w:t xml:space="preserve">, PKEK bazohet kryesisht në caqet dhe politikat e përfshira në Strategjinë Kombëtare të Energjisë (2022-2031), me objektivat e saj kryesore. Sa i përket një ekuilibri ndërmjet prodhimit të energjisë elektrike dhe konsumit të energjisë elektrike, Kosova është në pozitë të ngjashme me vendet e tjera të rajonit. Megjithatë, problemet me të cilat ballafaqohet Kosova janë të lidhura me sigurimin e kapaciteteve të nevojshme për të mbuluar kërkesën e pikut, veçanërisht në dimër, dhe në përmbushjen e kërkesave për kapacitet rezervë të sistemeve energjetike. Sistemi i ruajtjes është në fokus për të mbështetur sigurinë energjetike, qasja teknologjike është të ndihmojë në stabilizimin e frekuencës së luhatshme të energjisë elektrike, zhvendosjen e ngarkesës dhe të ndihmojë në integrimin e gjenerimit të burimeve të ripërtëritshme. Gatishmëria ndaj rrezikut në sektorin e energjisë elektrike është pjesë e sigurisë energjetike.  </w:t>
      </w:r>
    </w:p>
    <w:p w14:paraId="693AAA81" w14:textId="22E84898" w:rsidR="00817079" w:rsidRPr="00976D33" w:rsidRDefault="00D82E7B" w:rsidP="00817079">
      <w:r>
        <w:t xml:space="preserve">Liberalizimi i tregut dhe integrimi rajonal pritet të sigurojnë efekte zbutëse për sa i përket problemit të furnizimit, megjithëse ka sfida të konsiderueshme që duhen adresuar për të siguruar një furnizim të qëndrueshëm me energji elektrike. </w:t>
      </w:r>
    </w:p>
    <w:p w14:paraId="0AAC0264" w14:textId="039F19A7" w:rsidR="00817079" w:rsidRPr="00976D33" w:rsidRDefault="00817079" w:rsidP="00817079">
      <w:r>
        <w:t xml:space="preserve">Në </w:t>
      </w:r>
      <w:r>
        <w:rPr>
          <w:b/>
        </w:rPr>
        <w:t>dimensionin e tregut energjetik</w:t>
      </w:r>
      <w:r>
        <w:t xml:space="preserve"> të brendshëm, niveli i ndërlidhjes së sistemit elektroenergjetik është një nga parakushtet bazë për zhvillimin dhe integrimin e tregut të energjisë elektrike. Shtetet anëtare të BE-së synojnë cakun e ri prej 15% të ngarkesës maksimale që do të instalohet në kapacitetet e interkoneksionit deri në vitin 2030. Megjithatë, Kosova tashmë ka tejkaluar këtë cak, me kapacitetin e instaluar të interkoneksionit disa herë më të lartë se ngarkesa maksimale e sistemit. Për më tepër, Kosova është në mesin e tri vendeve më të mira në Evropë për sa i përket raportit ndërmjet kapaciteteve të interkoneksionit dhe kapaciteteve të instaluara prodhuese, si dhe raportit ndërmjet kapaciteteve të interkoneksionit dhe ngarkesës maksimale.</w:t>
      </w:r>
    </w:p>
    <w:p w14:paraId="03E45C8C" w14:textId="5EE374CD" w:rsidR="00817079" w:rsidRPr="00976D33" w:rsidRDefault="00817079" w:rsidP="00817079">
      <w:r>
        <w:t>Një nga objektivat kryesore të Kosovës ishte që përmes ALPEX-it të vendoste funksionalizimin e tregut të energjisë elektrike. Ky objektiv u realizua me funksionimin e ALPEX (Go Live) të tregut të ditës në avancë (TDA) për zonën tregtare të Kosovës më 31 janar 2024, duke shënuar në të njëjtën kohë një treg të lidhur me zonën tregtare të Shqipërisë. Kjo gjithashtu shënon për herë të parë bashkimin e tregut të ditës në avancë në Komunitetin e Energjisë. Me funksionimin e plotë të TDA-së në të dy tregjet, së bashku me kapacitetin adekuat të interkoneksionit ndërmjet këtyre vendeve (rrjeti 400 kV dhe rrjeti 220 kV që siguron 1500 MVA kapacitet të instaluar të interkoneksionit dhe 400 MW NTC, me mundësi rritjeje deri në 600 MW), nuk do të ketë mbingarkesë në shumicën e rasteve, që do të thotë se nuk do të ketë dallim çmimi ndërmjet Kosovës dhe Shqipërisë. Në periudhën kohore të mbuluar nga PKEK, tregjet e Shqipërisë dhe Kosovës pritet të bashkohen më tej në aspektin rajonal, si pjesë e nismave rajonale të udhëhequra nga Komuniteti i Energjisë, si dhe nga grupe të ndryshme të vendeve (siç janë Kosova, Shqipëria dhe Maqedonia e Veriut) dhe kështu përfundimisht të rezultojë në dallime të papërfillshme të çmimeve të shitjes me shumicë brenda rajonit, në pritje të procedurës së zgjidhjes së mosmarrëveshjeve për mosshpërndarjen e kapacitetit në interkonektorët ndërmjet Kosovës dhe Serbisë (numri i rastit ECS-2/21) dhe marrëveshjes me OST-në serb. Argument shtesë për këtë është niveli i lartë i kapaciteteve të instaluara në rajon.</w:t>
      </w:r>
    </w:p>
    <w:p w14:paraId="18FD0D49" w14:textId="2A04580D" w:rsidR="00A6143C" w:rsidRPr="00976D33" w:rsidRDefault="00A6143C" w:rsidP="00817079">
      <w:r>
        <w:t xml:space="preserve">Dimensioni i pestë, hulumtimi, inovacioni dhe konkurrueshmëria, janë trajtuar gjithashtu në PKEK. Kosova po punon drejt zhvillimit të sistemit të saj të hulumtimit, inovacionit dhe konkurrueshmërisë, duke synuar të rrisë kapacitetet e saj në këto fusha.  Sipas Ligjit nr. 04/L-135 për Veprimtari Hulumtuese-Shkencore, Kosova është e përkushtuar të ndajë së paku 14 milionë euro në vit për shkencë dhe inovacion. Objektivi i Kosovës është të krijojë një sistem hulumtimi dhe inovacioni të aftë për të identifikuar teknologjitë më të përshtatshme që industritë e saj duhet të zbatojnë, duke qëndruar në krah të avancimeve teknologjike dhe duke zbuluar qasje </w:t>
      </w:r>
      <w:r>
        <w:lastRenderedPageBreak/>
        <w:t xml:space="preserve">inovative për të integruar në mënyrë efektive teknologjitë më të qëndrueshme. Rritja e vendeve të punës së gjelbra është prioritet për Kosovën gjatë periudhës së PKEK-së, veçanërisht në sektorët si energjia e ripërtërishme dhe efiçienca e energjisë, ku pritet të krijohen vende pune gjatë fazës së ndërtimit dhe në funksionimin dhe mirëmbajtjen e vazhdueshme të teknologjive të reja. Për më tepër, vendet e punës së gjelbra lidhen me arsimin, ku mund të zhvillohen programe të posaçme për arsimin e të rriturve për të pajisur fuqinë punëtore me aftësitë e nevojshme për të mbështetur këta sektorë në zhvillim.   </w:t>
      </w:r>
    </w:p>
    <w:p w14:paraId="3E4B7EF8" w14:textId="0B0612CB" w:rsidR="0088143A" w:rsidRPr="00976D33" w:rsidRDefault="0088143A" w:rsidP="00BD4E9E">
      <w:pPr>
        <w:pStyle w:val="Heading3"/>
      </w:pPr>
      <w:bookmarkStart w:id="7" w:name="_Toc182302247"/>
      <w:r>
        <w:t>Tabela e përgjithshme me objektivat, politikat dhe masat kryesore të planit</w:t>
      </w:r>
      <w:bookmarkEnd w:id="7"/>
    </w:p>
    <w:p w14:paraId="1F00AFFD" w14:textId="77777777" w:rsidR="003B7FFA" w:rsidRPr="00976D33" w:rsidRDefault="00130A52" w:rsidP="003B7FFA">
      <w:r>
        <w:t xml:space="preserve">Në </w:t>
      </w:r>
      <w:r w:rsidRPr="00976D33">
        <w:fldChar w:fldCharType="begin"/>
      </w:r>
      <w:r w:rsidRPr="00976D33">
        <w:instrText xml:space="preserve"> REF _Ref71268393 \h </w:instrText>
      </w:r>
      <w:r w:rsidR="00107A15" w:rsidRPr="00976D33">
        <w:instrText xml:space="preserve"> \* MERGEFORMAT </w:instrText>
      </w:r>
      <w:r w:rsidRPr="00976D33">
        <w:fldChar w:fldCharType="separate"/>
      </w:r>
      <w:r w:rsidR="003B7FFA">
        <w:t>Tabela 1</w:t>
      </w:r>
      <w:r w:rsidRPr="00976D33">
        <w:fldChar w:fldCharType="end"/>
      </w:r>
      <w:r>
        <w:t xml:space="preserve"> tregohen politikat dhe masat e propozuara në këtë PKEK, ndërsa </w:t>
      </w:r>
      <w:r w:rsidR="00CC47F0" w:rsidRPr="00976D33">
        <w:fldChar w:fldCharType="begin"/>
      </w:r>
      <w:r w:rsidR="00CC47F0" w:rsidRPr="00976D33">
        <w:instrText xml:space="preserve"> REF _Ref71271017 \h </w:instrText>
      </w:r>
      <w:r w:rsidR="00107A15" w:rsidRPr="00976D33">
        <w:instrText xml:space="preserve"> \* MERGEFORMAT </w:instrText>
      </w:r>
      <w:r w:rsidR="00CC47F0" w:rsidRPr="00976D33">
        <w:fldChar w:fldCharType="separate"/>
      </w:r>
    </w:p>
    <w:p w14:paraId="3C108579" w14:textId="6C7755E1" w:rsidR="005969E0" w:rsidRDefault="003B7FFA" w:rsidP="00130A52">
      <w:r>
        <w:t>Tabela 2</w:t>
      </w:r>
      <w:r w:rsidR="00CC47F0" w:rsidRPr="00976D33">
        <w:fldChar w:fldCharType="end"/>
      </w:r>
      <w:r w:rsidR="00F12774">
        <w:t xml:space="preserve"> tregon caqet dhe objektivat kryesore.</w:t>
      </w:r>
    </w:p>
    <w:p w14:paraId="2BC7E8B5" w14:textId="77777777" w:rsidR="008C14F9" w:rsidRPr="00976D33" w:rsidRDefault="008C14F9" w:rsidP="00130A52"/>
    <w:p w14:paraId="7638AA31" w14:textId="77777777" w:rsidR="00B13BFF" w:rsidRPr="00976D33" w:rsidRDefault="00B13BFF" w:rsidP="00130A52"/>
    <w:p w14:paraId="5ED4EE6D" w14:textId="1CFA9E19" w:rsidR="00817079" w:rsidRPr="00976D33" w:rsidRDefault="00817079" w:rsidP="00817079">
      <w:pPr>
        <w:pStyle w:val="Caption"/>
      </w:pPr>
      <w:bookmarkStart w:id="8" w:name="_Ref71268393"/>
      <w:bookmarkStart w:id="9" w:name="_Toc181867294"/>
      <w:r>
        <w:t xml:space="preserve">Tabela </w:t>
      </w:r>
      <w:r w:rsidRPr="00976D33">
        <w:fldChar w:fldCharType="begin"/>
      </w:r>
      <w:r w:rsidRPr="00976D33">
        <w:instrText>SEQ Table \* ARABIC</w:instrText>
      </w:r>
      <w:r w:rsidRPr="00976D33">
        <w:fldChar w:fldCharType="separate"/>
      </w:r>
      <w:r w:rsidR="003B7FFA">
        <w:rPr>
          <w:noProof/>
        </w:rPr>
        <w:t>1</w:t>
      </w:r>
      <w:r w:rsidRPr="00976D33">
        <w:fldChar w:fldCharType="end"/>
      </w:r>
      <w:bookmarkEnd w:id="8"/>
      <w:r>
        <w:t>. Tabela e përgjithshme me politikat dhe masat e propozuara dhe ndërveprimin me pesë dimensionet e bashkimit energjetik të BE-së</w:t>
      </w:r>
      <w:bookmarkEnd w:id="9"/>
      <w:r>
        <w:t xml:space="preserve"> </w:t>
      </w:r>
    </w:p>
    <w:tbl>
      <w:tblPr>
        <w:tblStyle w:val="GridTable5Dark-Accent1"/>
        <w:tblW w:w="5000" w:type="pct"/>
        <w:tblLook w:val="04A0" w:firstRow="1" w:lastRow="0" w:firstColumn="1" w:lastColumn="0" w:noHBand="0" w:noVBand="1"/>
      </w:tblPr>
      <w:tblGrid>
        <w:gridCol w:w="535"/>
        <w:gridCol w:w="6364"/>
        <w:gridCol w:w="533"/>
        <w:gridCol w:w="533"/>
        <w:gridCol w:w="533"/>
        <w:gridCol w:w="533"/>
        <w:gridCol w:w="533"/>
      </w:tblGrid>
      <w:tr w:rsidR="00D072F7" w:rsidRPr="00976D33" w14:paraId="282332CC" w14:textId="77777777" w:rsidTr="00024D75">
        <w:trPr>
          <w:cnfStyle w:val="100000000000" w:firstRow="1" w:lastRow="0" w:firstColumn="0" w:lastColumn="0" w:oddVBand="0" w:evenVBand="0" w:oddHBand="0" w:evenHBand="0" w:firstRowFirstColumn="0" w:firstRowLastColumn="0" w:lastRowFirstColumn="0" w:lastRowLastColumn="0"/>
          <w:cantSplit/>
          <w:trHeight w:val="1728"/>
        </w:trPr>
        <w:tc>
          <w:tcPr>
            <w:cnfStyle w:val="001000000000" w:firstRow="0" w:lastRow="0" w:firstColumn="1" w:lastColumn="0" w:oddVBand="0" w:evenVBand="0" w:oddHBand="0" w:evenHBand="0" w:firstRowFirstColumn="0" w:firstRowLastColumn="0" w:lastRowFirstColumn="0" w:lastRowLastColumn="0"/>
            <w:tcW w:w="535" w:type="dxa"/>
          </w:tcPr>
          <w:p w14:paraId="29CBA1C4" w14:textId="77777777" w:rsidR="00130A52" w:rsidRPr="00976D33" w:rsidRDefault="00130A52" w:rsidP="00CC47F0">
            <w:pPr>
              <w:spacing w:after="0"/>
              <w:contextualSpacing/>
              <w:jc w:val="left"/>
              <w:rPr>
                <w:rFonts w:asciiTheme="majorHAnsi" w:eastAsia="Times New Roman" w:hAnsiTheme="majorHAnsi" w:cstheme="majorHAnsi"/>
                <w:color w:val="FFFFFF" w:themeColor="background1"/>
                <w:sz w:val="18"/>
                <w:szCs w:val="18"/>
              </w:rPr>
            </w:pPr>
          </w:p>
        </w:tc>
        <w:tc>
          <w:tcPr>
            <w:tcW w:w="6364" w:type="dxa"/>
            <w:noWrap/>
            <w:hideMark/>
          </w:tcPr>
          <w:p w14:paraId="0409B1B3" w14:textId="77777777" w:rsidR="00130A52" w:rsidRPr="00976D33" w:rsidRDefault="00130A52" w:rsidP="00CC47F0">
            <w:pPr>
              <w:spacing w:after="0"/>
              <w:contextualSpacing/>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sz w:val="18"/>
                <w:szCs w:val="18"/>
              </w:rPr>
            </w:pPr>
          </w:p>
        </w:tc>
        <w:tc>
          <w:tcPr>
            <w:tcW w:w="533" w:type="dxa"/>
            <w:textDirection w:val="btLr"/>
            <w:hideMark/>
          </w:tcPr>
          <w:p w14:paraId="02F2DD2C" w14:textId="282740ED" w:rsidR="00130A52" w:rsidRPr="00976D33" w:rsidRDefault="000C7E97" w:rsidP="00CC47F0">
            <w:pPr>
              <w:spacing w:after="0"/>
              <w:ind w:left="113" w:right="113"/>
              <w:contextualSpacing/>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Dekarbonizimi</w:t>
            </w:r>
          </w:p>
        </w:tc>
        <w:tc>
          <w:tcPr>
            <w:tcW w:w="533" w:type="dxa"/>
            <w:textDirection w:val="btLr"/>
            <w:hideMark/>
          </w:tcPr>
          <w:p w14:paraId="3A1B9CDA" w14:textId="77777777" w:rsidR="00130A52" w:rsidRPr="00976D33" w:rsidRDefault="00130A52" w:rsidP="00CC47F0">
            <w:pPr>
              <w:spacing w:after="0"/>
              <w:ind w:left="113" w:right="113"/>
              <w:contextualSpacing/>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Efikasiteti</w:t>
            </w:r>
          </w:p>
        </w:tc>
        <w:tc>
          <w:tcPr>
            <w:tcW w:w="533" w:type="dxa"/>
            <w:textDirection w:val="btLr"/>
            <w:hideMark/>
          </w:tcPr>
          <w:p w14:paraId="505D360E" w14:textId="77777777" w:rsidR="00130A52" w:rsidRPr="00976D33" w:rsidRDefault="00130A52" w:rsidP="00CC47F0">
            <w:pPr>
              <w:spacing w:after="0"/>
              <w:ind w:left="113" w:right="113"/>
              <w:contextualSpacing/>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Siguria energjetike</w:t>
            </w:r>
          </w:p>
        </w:tc>
        <w:tc>
          <w:tcPr>
            <w:tcW w:w="533" w:type="dxa"/>
            <w:textDirection w:val="btLr"/>
            <w:hideMark/>
          </w:tcPr>
          <w:p w14:paraId="22EFA648" w14:textId="77777777" w:rsidR="00130A52" w:rsidRPr="00976D33" w:rsidRDefault="00130A52" w:rsidP="00CC47F0">
            <w:pPr>
              <w:spacing w:after="0"/>
              <w:ind w:left="113" w:right="113"/>
              <w:contextualSpacing/>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Tregu i brendshëm i energjisë</w:t>
            </w:r>
          </w:p>
        </w:tc>
        <w:tc>
          <w:tcPr>
            <w:tcW w:w="533" w:type="dxa"/>
            <w:textDirection w:val="btLr"/>
            <w:hideMark/>
          </w:tcPr>
          <w:p w14:paraId="5ECAE0E9" w14:textId="77777777" w:rsidR="00130A52" w:rsidRPr="00976D33" w:rsidRDefault="00130A52" w:rsidP="00CC47F0">
            <w:pPr>
              <w:spacing w:after="0"/>
              <w:ind w:left="113" w:right="113"/>
              <w:contextualSpacing/>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R&amp;I&amp;C</w:t>
            </w:r>
          </w:p>
        </w:tc>
      </w:tr>
      <w:tr w:rsidR="009A7A8D" w:rsidRPr="00976D33" w14:paraId="39F16A33"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val="restart"/>
            <w:textDirection w:val="btLr"/>
          </w:tcPr>
          <w:p w14:paraId="69608204" w14:textId="04F29DCA" w:rsidR="009A7A8D" w:rsidRPr="00976D33" w:rsidRDefault="009A7A8D" w:rsidP="009A7A8D">
            <w:pPr>
              <w:spacing w:after="0"/>
              <w:ind w:left="113" w:right="113"/>
              <w:contextualSpacing/>
              <w:jc w:val="center"/>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Dekarbonizimi</w:t>
            </w:r>
          </w:p>
        </w:tc>
        <w:tc>
          <w:tcPr>
            <w:tcW w:w="6364" w:type="dxa"/>
            <w:noWrap/>
            <w:hideMark/>
          </w:tcPr>
          <w:p w14:paraId="3668BF5A" w14:textId="6A9C121E"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Pr>
                <w:sz w:val="18"/>
              </w:rPr>
              <w:t>PM 1: Studim i efekteve të CBAM dhe/ose çmimi vendor i karbonit</w:t>
            </w:r>
          </w:p>
        </w:tc>
        <w:tc>
          <w:tcPr>
            <w:tcW w:w="533" w:type="dxa"/>
            <w:noWrap/>
            <w:vAlign w:val="center"/>
            <w:hideMark/>
          </w:tcPr>
          <w:p w14:paraId="6B81A8C0" w14:textId="0EEEBDE3"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779E89E2" wp14:editId="181C95BF">
                  <wp:extent cx="184826" cy="184826"/>
                  <wp:effectExtent l="0" t="0" r="5715" b="5715"/>
                  <wp:docPr id="141304" name="Grafik 141304"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6833AB69"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2143B715"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3DD37599"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745347AB" w14:textId="1FC8EAC4"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1BA97091" wp14:editId="4E503CA6">
                  <wp:extent cx="184826" cy="184826"/>
                  <wp:effectExtent l="0" t="0" r="5715" b="5715"/>
                  <wp:docPr id="141305" name="Grafik 141305"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r>
      <w:tr w:rsidR="009A7A8D" w:rsidRPr="00976D33" w14:paraId="11A35A79"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7D8402C3"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4C6AE3AE" w14:textId="006FEA89"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Pr>
                <w:sz w:val="18"/>
              </w:rPr>
              <w:t>PM 2: Largimi nga funksioni i një njësie të TC Kosova A</w:t>
            </w:r>
          </w:p>
        </w:tc>
        <w:tc>
          <w:tcPr>
            <w:tcW w:w="533" w:type="dxa"/>
            <w:noWrap/>
            <w:vAlign w:val="center"/>
            <w:hideMark/>
          </w:tcPr>
          <w:p w14:paraId="3BAD7955" w14:textId="2189A4F9"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77337B33" wp14:editId="0D0A5E00">
                  <wp:extent cx="184826" cy="184826"/>
                  <wp:effectExtent l="0" t="0" r="5715" b="5715"/>
                  <wp:docPr id="141306" name="Grafik 141306"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091473AB"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70A62D07"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321A5171"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36B3251B"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6B181A96"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42D28962"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21ED3BA3" w14:textId="666D1D04"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Pr>
                <w:sz w:val="18"/>
              </w:rPr>
              <w:t>PM 3: Menaxhimi i kontrolluar i mbeturinave të ngurta</w:t>
            </w:r>
          </w:p>
        </w:tc>
        <w:tc>
          <w:tcPr>
            <w:tcW w:w="533" w:type="dxa"/>
            <w:noWrap/>
            <w:vAlign w:val="center"/>
            <w:hideMark/>
          </w:tcPr>
          <w:p w14:paraId="2515972F" w14:textId="06DA66A0"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61C4CCE3" wp14:editId="55F504B8">
                  <wp:extent cx="184826" cy="184826"/>
                  <wp:effectExtent l="0" t="0" r="5715" b="5715"/>
                  <wp:docPr id="141307" name="Grafik 141307"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4855BE0A"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1C6868EA"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6C8DA655"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1132F61B"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3CA6B120"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16C0CFDA"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7DF28C46" w14:textId="0F744921"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Pr>
                <w:sz w:val="18"/>
              </w:rPr>
              <w:t>PM 4: Rritja e burimeve pyjore</w:t>
            </w:r>
          </w:p>
        </w:tc>
        <w:tc>
          <w:tcPr>
            <w:tcW w:w="533" w:type="dxa"/>
            <w:noWrap/>
            <w:vAlign w:val="center"/>
            <w:hideMark/>
          </w:tcPr>
          <w:p w14:paraId="5CFC4E77" w14:textId="225A510E"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33C2E208" wp14:editId="566628EB">
                  <wp:extent cx="184826" cy="184826"/>
                  <wp:effectExtent l="0" t="0" r="5715" b="5715"/>
                  <wp:docPr id="141308" name="Grafik 141308"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565B20F1"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010BA51B"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36C9B156"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72A4F061"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565E18EE"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61E5E413"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4B6BA9BC" w14:textId="05D87623"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Pr>
                <w:sz w:val="18"/>
              </w:rPr>
              <w:t>PM 5: Mbrojtja e burimeve pyjore</w:t>
            </w:r>
          </w:p>
        </w:tc>
        <w:tc>
          <w:tcPr>
            <w:tcW w:w="533" w:type="dxa"/>
            <w:noWrap/>
            <w:vAlign w:val="center"/>
            <w:hideMark/>
          </w:tcPr>
          <w:p w14:paraId="7C5B5C4C" w14:textId="4A0C3E6E"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283C9B4F" wp14:editId="381EFAAB">
                  <wp:extent cx="184826" cy="184826"/>
                  <wp:effectExtent l="0" t="0" r="5715" b="5715"/>
                  <wp:docPr id="141309" name="Grafik 14130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57F0C8FE"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4B5B9C01"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147CA324"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0C8B4837"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0FA2BC3D"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72EF5014"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61E00580" w14:textId="3A896BBD"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Pr>
                <w:sz w:val="18"/>
              </w:rPr>
              <w:t>PM 6: Përdorimi i qëndrueshëm dhe shumëfunksional i burimeve pyjore</w:t>
            </w:r>
          </w:p>
        </w:tc>
        <w:tc>
          <w:tcPr>
            <w:tcW w:w="533" w:type="dxa"/>
            <w:noWrap/>
            <w:vAlign w:val="center"/>
            <w:hideMark/>
          </w:tcPr>
          <w:p w14:paraId="6A3FF19D" w14:textId="1D56E8FE"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17834B37" wp14:editId="22E92F56">
                  <wp:extent cx="184826" cy="184826"/>
                  <wp:effectExtent l="0" t="0" r="5715" b="5715"/>
                  <wp:docPr id="141310" name="Grafik 141310"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32250660"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517271C2"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2E82F3FF"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70D75347"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79C9A048"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711C23EF"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5F9B755E" w14:textId="511166BF"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Pr>
                <w:sz w:val="18"/>
              </w:rPr>
              <w:t>PM 7: Menaxhimi i qëndrueshëm i burimeve natyrore (tokës, pyjeve dhe ujit) në bujqësi</w:t>
            </w:r>
          </w:p>
        </w:tc>
        <w:tc>
          <w:tcPr>
            <w:tcW w:w="533" w:type="dxa"/>
            <w:noWrap/>
            <w:vAlign w:val="center"/>
            <w:hideMark/>
          </w:tcPr>
          <w:p w14:paraId="69F28691" w14:textId="0FBF2F58"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6D8CE2D7" wp14:editId="50E752AF">
                  <wp:extent cx="184826" cy="184826"/>
                  <wp:effectExtent l="0" t="0" r="5715" b="5715"/>
                  <wp:docPr id="416" name="Grafik 416"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18214657"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4F942D07"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029052F1"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75CAA284"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4774BAFA"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4716E484"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54496741" w14:textId="3944970E"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Pr>
                <w:sz w:val="18"/>
              </w:rPr>
              <w:t>PM 8: Menaxhimi i përmirësuar i plehut organik (metodat për ruajtjen, përgatitjen dhe aplikimin)</w:t>
            </w:r>
          </w:p>
        </w:tc>
        <w:tc>
          <w:tcPr>
            <w:tcW w:w="533" w:type="dxa"/>
            <w:noWrap/>
            <w:vAlign w:val="center"/>
            <w:hideMark/>
          </w:tcPr>
          <w:p w14:paraId="1F0B1782" w14:textId="0FD2ACBB"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3E9A2028" wp14:editId="39D07F0A">
                  <wp:extent cx="184826" cy="184826"/>
                  <wp:effectExtent l="0" t="0" r="5715" b="5715"/>
                  <wp:docPr id="419" name="Grafik 41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0791A97A"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7A1F593A"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1FAEF0D8"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155A622B"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130E7B2A"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6435DADD"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011A4C85" w14:textId="7BFD787A"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Pr>
                <w:sz w:val="18"/>
              </w:rPr>
              <w:t>PM 9: Skemat agro-mjedisore për mbrojtjen e biodiversitetit</w:t>
            </w:r>
          </w:p>
        </w:tc>
        <w:tc>
          <w:tcPr>
            <w:tcW w:w="533" w:type="dxa"/>
            <w:noWrap/>
            <w:vAlign w:val="center"/>
            <w:hideMark/>
          </w:tcPr>
          <w:p w14:paraId="68F643EF" w14:textId="285428BA"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42209960" wp14:editId="77A8C859">
                  <wp:extent cx="184826" cy="184826"/>
                  <wp:effectExtent l="0" t="0" r="5715" b="5715"/>
                  <wp:docPr id="479" name="Grafik 47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4A991BD0"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6ECCE6C2"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45BD8568"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12B3B409"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155F0456"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2D97AF15"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2F2494A4" w14:textId="1F9251F1"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Pr>
                <w:sz w:val="18"/>
              </w:rPr>
              <w:t>PM 10: Promovimi i bujqësisë organike</w:t>
            </w:r>
          </w:p>
        </w:tc>
        <w:tc>
          <w:tcPr>
            <w:tcW w:w="533" w:type="dxa"/>
            <w:noWrap/>
            <w:vAlign w:val="center"/>
            <w:hideMark/>
          </w:tcPr>
          <w:p w14:paraId="29673384" w14:textId="045B9955"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18431F8B" wp14:editId="621DC414">
                  <wp:extent cx="184826" cy="184826"/>
                  <wp:effectExtent l="0" t="0" r="5715" b="5715"/>
                  <wp:docPr id="141542" name="Grafik 14154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773023EB"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0CDEEDD4"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5F569071"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16F02242"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3BA6F66A"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79362038"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2C7F0167" w14:textId="7B0DF23C"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Pr>
                <w:sz w:val="18"/>
              </w:rPr>
              <w:t>PM 11: Promovimi i energjisë së ripërtëritshme në sektorin e energjisë elektrike</w:t>
            </w:r>
          </w:p>
        </w:tc>
        <w:tc>
          <w:tcPr>
            <w:tcW w:w="533" w:type="dxa"/>
            <w:noWrap/>
            <w:vAlign w:val="center"/>
            <w:hideMark/>
          </w:tcPr>
          <w:p w14:paraId="1F65860A" w14:textId="668985E9"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31AC99CB" wp14:editId="4594C7A1">
                  <wp:extent cx="184826" cy="184826"/>
                  <wp:effectExtent l="0" t="0" r="5715" b="5715"/>
                  <wp:docPr id="141552" name="Grafik 14155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14D3FB43" w14:textId="739463F0"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77BB3EE1" wp14:editId="6568444F">
                  <wp:extent cx="184826" cy="184826"/>
                  <wp:effectExtent l="0" t="0" r="5715" b="5715"/>
                  <wp:docPr id="141553" name="Grafik 141553"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235AF3B6" w14:textId="4912B621"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6C116D3A" wp14:editId="739844CD">
                  <wp:extent cx="184826" cy="184826"/>
                  <wp:effectExtent l="0" t="0" r="5715" b="5715"/>
                  <wp:docPr id="141554" name="Grafik 141554"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734453B2" w14:textId="382BDFA4"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33945AB1" wp14:editId="5D6819A2">
                  <wp:extent cx="184826" cy="184826"/>
                  <wp:effectExtent l="0" t="0" r="5715" b="5715"/>
                  <wp:docPr id="141555" name="Grafik 141555"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1F4BD7EA"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1AEB35AA"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1E183FB9"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tcPr>
          <w:p w14:paraId="235150BC" w14:textId="4CBDAAD6"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sz w:val="18"/>
                <w:szCs w:val="18"/>
              </w:rPr>
            </w:pPr>
            <w:r>
              <w:rPr>
                <w:sz w:val="18"/>
              </w:rPr>
              <w:t>PM 12: Vendosja e projektit PV 100 MW në objektet e KEK-ut</w:t>
            </w:r>
          </w:p>
        </w:tc>
        <w:tc>
          <w:tcPr>
            <w:tcW w:w="533" w:type="dxa"/>
            <w:noWrap/>
          </w:tcPr>
          <w:p w14:paraId="0192FC71" w14:textId="39B93B7D"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122C0A52" wp14:editId="3E94B272">
                  <wp:extent cx="184826" cy="184826"/>
                  <wp:effectExtent l="0" t="0" r="5715" b="5715"/>
                  <wp:docPr id="894702760" name="Grafik 14155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7EEB1ABE" w14:textId="0F160FAE"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5C643F15" wp14:editId="0CD4DD4D">
                  <wp:extent cx="184826" cy="184826"/>
                  <wp:effectExtent l="0" t="0" r="5715" b="5715"/>
                  <wp:docPr id="2052224712" name="Grafik 14155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1C6DE4DC" w14:textId="42E56E35"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76C1B58D" wp14:editId="005EDB50">
                  <wp:extent cx="184826" cy="184826"/>
                  <wp:effectExtent l="0" t="0" r="5715" b="5715"/>
                  <wp:docPr id="223899928" name="Grafik 14155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3EF19846" w14:textId="637CFFCD"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4D6E36CF" wp14:editId="18398D27">
                  <wp:extent cx="184826" cy="184826"/>
                  <wp:effectExtent l="0" t="0" r="5715" b="5715"/>
                  <wp:docPr id="1328243780" name="Grafik 14155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556B92CA"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5C0A5A52"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4C766BE9"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tcPr>
          <w:p w14:paraId="7616A97A" w14:textId="43D6F263"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sz w:val="18"/>
                <w:szCs w:val="18"/>
              </w:rPr>
            </w:pPr>
            <w:r>
              <w:rPr>
                <w:sz w:val="18"/>
              </w:rPr>
              <w:t>PM 13: Studimi për Impiantin Fotovoltaik Solar 200 MW në KEK SH.A</w:t>
            </w:r>
          </w:p>
        </w:tc>
        <w:tc>
          <w:tcPr>
            <w:tcW w:w="533" w:type="dxa"/>
            <w:noWrap/>
          </w:tcPr>
          <w:p w14:paraId="5E70935F" w14:textId="698EA444"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2040B147" wp14:editId="6CDDABD6">
                  <wp:extent cx="184826" cy="184826"/>
                  <wp:effectExtent l="0" t="0" r="5715" b="5715"/>
                  <wp:docPr id="1471646096" name="Grafik 14155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1FD28CA3" w14:textId="5D3A9030"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2ABA6AA3" wp14:editId="4C99C9F4">
                  <wp:extent cx="184826" cy="184826"/>
                  <wp:effectExtent l="0" t="0" r="5715" b="5715"/>
                  <wp:docPr id="383358950" name="Grafik 14155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6B6A1CFB" w14:textId="52102D8E"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51B081D8" wp14:editId="7B721AD9">
                  <wp:extent cx="184826" cy="184826"/>
                  <wp:effectExtent l="0" t="0" r="5715" b="5715"/>
                  <wp:docPr id="398934954" name="Grafik 14155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60E6CC3B" w14:textId="72E8BE7F"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65E10A37" wp14:editId="0551D865">
                  <wp:extent cx="184826" cy="184826"/>
                  <wp:effectExtent l="0" t="0" r="5715" b="5715"/>
                  <wp:docPr id="185618613" name="Grafik 14155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1135E7CD"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13B49F8C"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0F480226"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588723C6" w14:textId="10C51AFB"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sz w:val="18"/>
                <w:szCs w:val="18"/>
              </w:rPr>
            </w:pPr>
            <w:r>
              <w:rPr>
                <w:sz w:val="18"/>
              </w:rPr>
              <w:t>PM 14: Marrëveshja për blerje të energjisë elektrike</w:t>
            </w:r>
          </w:p>
        </w:tc>
        <w:tc>
          <w:tcPr>
            <w:tcW w:w="533" w:type="dxa"/>
            <w:noWrap/>
            <w:vAlign w:val="center"/>
            <w:hideMark/>
          </w:tcPr>
          <w:p w14:paraId="53745711" w14:textId="4235B0D6"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7DAC33D0" wp14:editId="524CBC34">
                  <wp:extent cx="184826" cy="184826"/>
                  <wp:effectExtent l="0" t="0" r="5715" b="5715"/>
                  <wp:docPr id="141556" name="Grafik 141556"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313D15D9" w14:textId="15D4ECC9"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64DD0AA7" wp14:editId="0EEE9ADD">
                  <wp:extent cx="184826" cy="184826"/>
                  <wp:effectExtent l="0" t="0" r="5715" b="5715"/>
                  <wp:docPr id="141557" name="Grafik 141557"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0F7BE42D" w14:textId="42562412"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72B7BCDD" wp14:editId="0DD56D6A">
                  <wp:extent cx="184826" cy="184826"/>
                  <wp:effectExtent l="0" t="0" r="5715" b="5715"/>
                  <wp:docPr id="141558" name="Grafik 141558"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1EED4A9F" w14:textId="79E0960E"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4FD32A30" wp14:editId="7306537E">
                  <wp:extent cx="184826" cy="184826"/>
                  <wp:effectExtent l="0" t="0" r="5715" b="5715"/>
                  <wp:docPr id="141559" name="Grafik 14155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1054790D"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699C2682"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13597DB4"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6B380C93" w14:textId="08382AF8"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sz w:val="18"/>
                <w:szCs w:val="18"/>
              </w:rPr>
            </w:pPr>
            <w:r>
              <w:rPr>
                <w:sz w:val="18"/>
              </w:rPr>
              <w:t>PM 15: Ankandet konkurruese për primet e furnizimit</w:t>
            </w:r>
          </w:p>
        </w:tc>
        <w:tc>
          <w:tcPr>
            <w:tcW w:w="533" w:type="dxa"/>
            <w:noWrap/>
            <w:vAlign w:val="center"/>
            <w:hideMark/>
          </w:tcPr>
          <w:p w14:paraId="6047475B" w14:textId="2B8D40E9"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54BE03BB" wp14:editId="18A1F99F">
                  <wp:extent cx="184826" cy="184826"/>
                  <wp:effectExtent l="0" t="0" r="5715" b="5715"/>
                  <wp:docPr id="141560" name="Grafik 141560"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298953E3" w14:textId="6940E7A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18F216B1" wp14:editId="1A5D342F">
                  <wp:extent cx="184826" cy="184826"/>
                  <wp:effectExtent l="0" t="0" r="5715" b="5715"/>
                  <wp:docPr id="141561" name="Grafik 141561"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1463FF8A" w14:textId="4B5F95EF"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04A7A52D" wp14:editId="2E78685F">
                  <wp:extent cx="184826" cy="184826"/>
                  <wp:effectExtent l="0" t="0" r="5715" b="5715"/>
                  <wp:docPr id="141562" name="Grafik 14156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5B4EFCF7" w14:textId="3062DA93"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5C48C0C1" wp14:editId="6E178773">
                  <wp:extent cx="184826" cy="184826"/>
                  <wp:effectExtent l="0" t="0" r="5715" b="5715"/>
                  <wp:docPr id="141563" name="Grafik 141563"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004B738A" w14:textId="70291EF2"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17B430BB" wp14:editId="76BE2369">
                  <wp:extent cx="184826" cy="184826"/>
                  <wp:effectExtent l="0" t="0" r="5715" b="5715"/>
                  <wp:docPr id="141564" name="Grafik 141564"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r>
      <w:tr w:rsidR="009A7A8D" w:rsidRPr="00976D33" w14:paraId="4326E9DA"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267E3DF8"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541C14CE" w14:textId="78CCA7E7"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Pr>
                <w:sz w:val="18"/>
              </w:rPr>
              <w:t>PM 16: Certifikatat e origjinës për BER</w:t>
            </w:r>
          </w:p>
        </w:tc>
        <w:tc>
          <w:tcPr>
            <w:tcW w:w="533" w:type="dxa"/>
            <w:noWrap/>
            <w:vAlign w:val="center"/>
            <w:hideMark/>
          </w:tcPr>
          <w:p w14:paraId="54570823" w14:textId="3FFE8758"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77617D29" wp14:editId="720B7E36">
                  <wp:extent cx="184826" cy="184826"/>
                  <wp:effectExtent l="0" t="0" r="5715" b="5715"/>
                  <wp:docPr id="141565" name="Grafik 141565"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29E016BC" w14:textId="348D3E75"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3DF5C23F" wp14:editId="1829C2A1">
                  <wp:extent cx="184826" cy="184826"/>
                  <wp:effectExtent l="0" t="0" r="5715" b="5715"/>
                  <wp:docPr id="141566" name="Grafik 141566"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14D4F2FB" w14:textId="6401E3EE"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151C68DE" wp14:editId="7DEFBFF9">
                  <wp:extent cx="184826" cy="184826"/>
                  <wp:effectExtent l="0" t="0" r="5715" b="5715"/>
                  <wp:docPr id="141567" name="Grafik 141567"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487A4201" w14:textId="3ED6D149"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71A49D8E" wp14:editId="533D3237">
                  <wp:extent cx="184826" cy="184826"/>
                  <wp:effectExtent l="0" t="0" r="5715" b="5715"/>
                  <wp:docPr id="5152" name="Grafik 515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1542EA65" w14:textId="4B314520"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6DBC5BE4" wp14:editId="6E1E39F4">
                  <wp:extent cx="184826" cy="184826"/>
                  <wp:effectExtent l="0" t="0" r="5715" b="5715"/>
                  <wp:docPr id="5153" name="Grafik 5153"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r>
      <w:tr w:rsidR="009A7A8D" w:rsidRPr="00976D33" w14:paraId="4173D7C1"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46E61CC6"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04EAA3D6" w14:textId="168F7338"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Pr>
                <w:sz w:val="18"/>
              </w:rPr>
              <w:t>PM 17: Mjedisi funksional për investitorët e BRE-ve</w:t>
            </w:r>
          </w:p>
        </w:tc>
        <w:tc>
          <w:tcPr>
            <w:tcW w:w="533" w:type="dxa"/>
            <w:noWrap/>
            <w:vAlign w:val="center"/>
            <w:hideMark/>
          </w:tcPr>
          <w:p w14:paraId="389BFC4B" w14:textId="1AFE504D"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18A236DC" wp14:editId="221F5B15">
                  <wp:extent cx="184826" cy="184826"/>
                  <wp:effectExtent l="0" t="0" r="5715" b="5715"/>
                  <wp:docPr id="5154" name="Grafik 5154"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532AA1E3" w14:textId="666F192D"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27F60135" wp14:editId="23991A29">
                  <wp:extent cx="184826" cy="184826"/>
                  <wp:effectExtent l="0" t="0" r="5715" b="5715"/>
                  <wp:docPr id="5155" name="Grafik 5155"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259156BC" w14:textId="0DA40BAF"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438D4A72" wp14:editId="1E6DD00E">
                  <wp:extent cx="184826" cy="184826"/>
                  <wp:effectExtent l="0" t="0" r="5715" b="5715"/>
                  <wp:docPr id="5156" name="Grafik 5156"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53B938E5" w14:textId="267443CF"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75D37E5A" wp14:editId="4DA337A8">
                  <wp:extent cx="184826" cy="184826"/>
                  <wp:effectExtent l="0" t="0" r="5715" b="5715"/>
                  <wp:docPr id="5157" name="Grafik 5157"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03C897CA" w14:textId="726C5E08"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099B16B4" wp14:editId="1DC2B5BC">
                  <wp:extent cx="184826" cy="184826"/>
                  <wp:effectExtent l="0" t="0" r="5715" b="5715"/>
                  <wp:docPr id="5158" name="Grafik 5158"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r>
      <w:tr w:rsidR="009A7A8D" w:rsidRPr="00976D33" w14:paraId="4B416665"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1428E9DF"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tcPr>
          <w:p w14:paraId="00A0D2ED" w14:textId="7E0198E2"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Pr>
                <w:sz w:val="18"/>
              </w:rPr>
              <w:t>PM 18: Skema e vetë-konsumimit</w:t>
            </w:r>
          </w:p>
        </w:tc>
        <w:tc>
          <w:tcPr>
            <w:tcW w:w="533" w:type="dxa"/>
            <w:noWrap/>
            <w:vAlign w:val="center"/>
          </w:tcPr>
          <w:p w14:paraId="34C88971" w14:textId="57D5DAC6"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691B13B9" wp14:editId="4ED09937">
                  <wp:extent cx="184826" cy="184826"/>
                  <wp:effectExtent l="0" t="0" r="5715" b="5715"/>
                  <wp:docPr id="508339792" name="Grafik 50833979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0C4D8880" w14:textId="44A9C6A5"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0C0834E5" wp14:editId="31E1EFC9">
                  <wp:extent cx="184826" cy="184826"/>
                  <wp:effectExtent l="0" t="0" r="5715" b="5715"/>
                  <wp:docPr id="458186298" name="Grafik 458186298"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157A4A51" w14:textId="75CD89A0"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69F8ACF4" wp14:editId="040FF0AD">
                  <wp:extent cx="184826" cy="184826"/>
                  <wp:effectExtent l="0" t="0" r="5715" b="5715"/>
                  <wp:docPr id="1889505162" name="Grafik 188950516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0F81BCEA" w14:textId="5498A405"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556F9FAC" wp14:editId="364D61FA">
                  <wp:extent cx="184826" cy="184826"/>
                  <wp:effectExtent l="0" t="0" r="5715" b="5715"/>
                  <wp:docPr id="1721228791" name="Grafik 1721228791"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7F3910AB"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p>
        </w:tc>
      </w:tr>
      <w:tr w:rsidR="009A7A8D" w:rsidRPr="00976D33" w14:paraId="26E18597"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67B5FC96"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tcPr>
          <w:p w14:paraId="4BA801D3" w14:textId="6CFF6D06"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Pr>
                <w:sz w:val="18"/>
              </w:rPr>
              <w:t>PM 19: Komunitetet e energjisë së ripërtëritshme</w:t>
            </w:r>
          </w:p>
        </w:tc>
        <w:tc>
          <w:tcPr>
            <w:tcW w:w="533" w:type="dxa"/>
            <w:noWrap/>
          </w:tcPr>
          <w:p w14:paraId="075AD4BF" w14:textId="5414F2BB"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42B0CCB2" wp14:editId="13A99D90">
                  <wp:extent cx="184826" cy="184826"/>
                  <wp:effectExtent l="0" t="0" r="5715" b="5715"/>
                  <wp:docPr id="1857030528" name="Grafik 50833979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42A055BD" w14:textId="6D0E4911"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58161460" wp14:editId="621882CF">
                  <wp:extent cx="184826" cy="184826"/>
                  <wp:effectExtent l="0" t="0" r="5715" b="5715"/>
                  <wp:docPr id="1709567123" name="Grafik 50833979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1C060FE6" w14:textId="615F3A88"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1D554C80" wp14:editId="6C647CD9">
                  <wp:extent cx="184826" cy="184826"/>
                  <wp:effectExtent l="0" t="0" r="5715" b="5715"/>
                  <wp:docPr id="279313732" name="Grafik 50833979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2F9CB509" w14:textId="6616936E"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0B22D3E2" wp14:editId="52272E50">
                  <wp:extent cx="184826" cy="184826"/>
                  <wp:effectExtent l="0" t="0" r="5715" b="5715"/>
                  <wp:docPr id="916505790" name="Grafik 50833979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29D9E2E0"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p>
        </w:tc>
      </w:tr>
      <w:tr w:rsidR="009A7A8D" w:rsidRPr="00976D33" w14:paraId="275603CC"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27021313"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tcPr>
          <w:p w14:paraId="15A28656" w14:textId="75977ADE"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Pr>
                <w:sz w:val="18"/>
              </w:rPr>
              <w:t>PM 20: Ngrohja qendrore solare</w:t>
            </w:r>
          </w:p>
        </w:tc>
        <w:tc>
          <w:tcPr>
            <w:tcW w:w="533" w:type="dxa"/>
            <w:noWrap/>
          </w:tcPr>
          <w:p w14:paraId="17086132" w14:textId="5790D238"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1A8AEA3B" wp14:editId="5E48A629">
                  <wp:extent cx="184826" cy="184826"/>
                  <wp:effectExtent l="0" t="0" r="5715" b="5715"/>
                  <wp:docPr id="2085544957" name="Grafik 2085544957"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3785675F" w14:textId="68521D08"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2BFD982F" wp14:editId="3AC40F21">
                  <wp:extent cx="184826" cy="184826"/>
                  <wp:effectExtent l="0" t="0" r="5715" b="5715"/>
                  <wp:docPr id="390751390" name="Grafik 390751390"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13DB87CC" w14:textId="24994C9D"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51B27ADA" wp14:editId="471FDEAD">
                  <wp:extent cx="184826" cy="184826"/>
                  <wp:effectExtent l="0" t="0" r="5715" b="5715"/>
                  <wp:docPr id="1724039365" name="Grafik 1724039365"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67F5603E" w14:textId="301C4A08"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619D4CCB" wp14:editId="6A97E7E0">
                  <wp:extent cx="184826" cy="184826"/>
                  <wp:effectExtent l="0" t="0" r="5715" b="5715"/>
                  <wp:docPr id="337875372" name="Grafik 33787537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4B7A2122"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p>
        </w:tc>
      </w:tr>
      <w:tr w:rsidR="009A7A8D" w:rsidRPr="00976D33" w14:paraId="6FBB64A4"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29DC78E9"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tcPr>
          <w:p w14:paraId="0A174748" w14:textId="05A53716"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r>
              <w:rPr>
                <w:sz w:val="18"/>
              </w:rPr>
              <w:t>PM 21: Studimi i fizibilitetit për zhvillimin e sistemeve të ngrohjes qendrore në tetë komuna të tjera</w:t>
            </w:r>
          </w:p>
        </w:tc>
        <w:tc>
          <w:tcPr>
            <w:tcW w:w="533" w:type="dxa"/>
            <w:noWrap/>
          </w:tcPr>
          <w:p w14:paraId="3A165752" w14:textId="3F484C5D"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465B99F8" wp14:editId="432E987C">
                  <wp:extent cx="184826" cy="184826"/>
                  <wp:effectExtent l="0" t="0" r="5715" b="5715"/>
                  <wp:docPr id="1243437768" name="Grafik 1243437768"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0620A72E" w14:textId="157828C4"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2521E6B8" wp14:editId="209CF6DD">
                  <wp:extent cx="184826" cy="184826"/>
                  <wp:effectExtent l="0" t="0" r="5715" b="5715"/>
                  <wp:docPr id="305881906" name="Grafik 305881906"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2DBA40A4" w14:textId="38F61B31"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3C5B38CA" wp14:editId="129E6B76">
                  <wp:extent cx="184826" cy="184826"/>
                  <wp:effectExtent l="0" t="0" r="5715" b="5715"/>
                  <wp:docPr id="985841634" name="Grafik 985841634"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5D4E9E81" w14:textId="475C69F5"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14A52877" wp14:editId="1F0E2491">
                  <wp:extent cx="184826" cy="184826"/>
                  <wp:effectExtent l="0" t="0" r="5715" b="5715"/>
                  <wp:docPr id="512128536" name="Grafik 512128536"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2C23AD48"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p>
        </w:tc>
      </w:tr>
      <w:tr w:rsidR="009A7A8D" w:rsidRPr="00976D33" w14:paraId="3A19D2F0"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val="restart"/>
            <w:textDirection w:val="btLr"/>
          </w:tcPr>
          <w:p w14:paraId="0310DE58" w14:textId="77777777" w:rsidR="009A7A8D" w:rsidRPr="00976D33" w:rsidRDefault="009A7A8D" w:rsidP="009A7A8D">
            <w:pPr>
              <w:spacing w:after="0"/>
              <w:ind w:left="113" w:right="113"/>
              <w:contextualSpacing/>
              <w:jc w:val="center"/>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Efiçienca e energjisë</w:t>
            </w:r>
          </w:p>
        </w:tc>
        <w:tc>
          <w:tcPr>
            <w:tcW w:w="6364" w:type="dxa"/>
            <w:noWrap/>
            <w:hideMark/>
          </w:tcPr>
          <w:p w14:paraId="392E85B3" w14:textId="3AB6FFD4"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 xml:space="preserve">PM 22: Obligimi për efiçiencë të energjisë </w:t>
            </w:r>
          </w:p>
        </w:tc>
        <w:tc>
          <w:tcPr>
            <w:tcW w:w="533" w:type="dxa"/>
            <w:noWrap/>
            <w:vAlign w:val="center"/>
            <w:hideMark/>
          </w:tcPr>
          <w:p w14:paraId="48CBF28E" w14:textId="4A390B1E"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51C2A591" wp14:editId="33569553">
                  <wp:extent cx="184826" cy="184826"/>
                  <wp:effectExtent l="0" t="0" r="5715" b="5715"/>
                  <wp:docPr id="5159" name="Grafik 515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532509DA" w14:textId="296E102E"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1BAB6F57" wp14:editId="1ADB1C72">
                  <wp:extent cx="184826" cy="184826"/>
                  <wp:effectExtent l="0" t="0" r="5715" b="5715"/>
                  <wp:docPr id="5160" name="Grafik 5160"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4EF7C8FC" w14:textId="03268672"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62DF11F6" wp14:editId="22C0EE53">
                  <wp:extent cx="184826" cy="184826"/>
                  <wp:effectExtent l="0" t="0" r="5715" b="5715"/>
                  <wp:docPr id="5161" name="Grafik 5161"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12E64EC1"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28680879"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4CCD2F36"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0BBE17E2"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16A6F2A6" w14:textId="209E7BB1"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23: Strategjia Kombëtare për Rinovimin e Ndërtesave</w:t>
            </w:r>
          </w:p>
        </w:tc>
        <w:tc>
          <w:tcPr>
            <w:tcW w:w="533" w:type="dxa"/>
            <w:noWrap/>
            <w:vAlign w:val="center"/>
            <w:hideMark/>
          </w:tcPr>
          <w:p w14:paraId="1DB790F7" w14:textId="2680180D"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5E83A577" wp14:editId="7B6FB2B9">
                  <wp:extent cx="184826" cy="184826"/>
                  <wp:effectExtent l="0" t="0" r="5715" b="5715"/>
                  <wp:docPr id="5162" name="Grafik 516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26411239" w14:textId="5DD46B0F"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07286403" wp14:editId="339183DC">
                  <wp:extent cx="184826" cy="184826"/>
                  <wp:effectExtent l="0" t="0" r="5715" b="5715"/>
                  <wp:docPr id="5163" name="Grafik 5163"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2964DAEB" w14:textId="786C6AB4"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707C4E4F" wp14:editId="6BD52029">
                  <wp:extent cx="184826" cy="184826"/>
                  <wp:effectExtent l="0" t="0" r="5715" b="5715"/>
                  <wp:docPr id="5166" name="Grafik 5166"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1D2F246B"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3494D571" w14:textId="239A34DB"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6A3FC1A6" wp14:editId="2AF4E7C8">
                  <wp:extent cx="184826" cy="184826"/>
                  <wp:effectExtent l="0" t="0" r="5715" b="5715"/>
                  <wp:docPr id="5167" name="Grafik 5167"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r>
      <w:tr w:rsidR="009A7A8D" w:rsidRPr="00976D33" w14:paraId="44723889"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7698F851"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657B2320" w14:textId="2D126C7C"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24: Rinovimi i ndërtesave rezidenciale</w:t>
            </w:r>
          </w:p>
        </w:tc>
        <w:tc>
          <w:tcPr>
            <w:tcW w:w="533" w:type="dxa"/>
            <w:noWrap/>
            <w:vAlign w:val="center"/>
            <w:hideMark/>
          </w:tcPr>
          <w:p w14:paraId="3FFF6B73" w14:textId="0D9E2819"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106C9B68" wp14:editId="31929DA7">
                  <wp:extent cx="184826" cy="184826"/>
                  <wp:effectExtent l="0" t="0" r="5715" b="5715"/>
                  <wp:docPr id="5168" name="Grafik 5168"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44C9F90A" w14:textId="0C9F3258"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60B6E456" wp14:editId="63629AD2">
                  <wp:extent cx="184826" cy="184826"/>
                  <wp:effectExtent l="0" t="0" r="5715" b="5715"/>
                  <wp:docPr id="5169" name="Grafik 516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1363BB71" w14:textId="1A026359"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58DA537D" wp14:editId="4AC1BD26">
                  <wp:extent cx="184826" cy="184826"/>
                  <wp:effectExtent l="0" t="0" r="5715" b="5715"/>
                  <wp:docPr id="5170" name="Grafik 5170"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741AAA7A"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3E0AEEA6" w14:textId="582DA401"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05823360" wp14:editId="6EF991CF">
                  <wp:extent cx="184826" cy="184826"/>
                  <wp:effectExtent l="0" t="0" r="5715" b="5715"/>
                  <wp:docPr id="5171" name="Grafik 5171"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r>
      <w:tr w:rsidR="009A7A8D" w:rsidRPr="00976D33" w14:paraId="7B621007"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6CEFBEA0"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4470FEAE" w14:textId="2DCDBE6B"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25: Rinovimi i objekteve afariste</w:t>
            </w:r>
          </w:p>
        </w:tc>
        <w:tc>
          <w:tcPr>
            <w:tcW w:w="533" w:type="dxa"/>
            <w:noWrap/>
            <w:vAlign w:val="center"/>
            <w:hideMark/>
          </w:tcPr>
          <w:p w14:paraId="3DE72B1C" w14:textId="0BC8BA9A"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775BAB48" wp14:editId="12C6D761">
                  <wp:extent cx="184826" cy="184826"/>
                  <wp:effectExtent l="0" t="0" r="5715" b="5715"/>
                  <wp:docPr id="5172" name="Grafik 517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686D991A" w14:textId="3EE60D7A"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71415F34" wp14:editId="73EE4C38">
                  <wp:extent cx="184826" cy="184826"/>
                  <wp:effectExtent l="0" t="0" r="5715" b="5715"/>
                  <wp:docPr id="5173" name="Grafik 5173"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4F9762AC" w14:textId="4FEB7462"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17EEE3C7" wp14:editId="42A4FE44">
                  <wp:extent cx="184826" cy="184826"/>
                  <wp:effectExtent l="0" t="0" r="5715" b="5715"/>
                  <wp:docPr id="5174" name="Grafik 5174"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7DB12D5B"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11260A33" w14:textId="4E12B15B"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6760A486" wp14:editId="019497BA">
                  <wp:extent cx="184826" cy="184826"/>
                  <wp:effectExtent l="0" t="0" r="5715" b="5715"/>
                  <wp:docPr id="560202639" name="Grafik 56020263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r>
      <w:tr w:rsidR="009A7A8D" w:rsidRPr="00976D33" w14:paraId="7E090285"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7C0DE403"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3BF13084" w14:textId="5AC62E03"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26: Instalimi i kolektorëve termikë solarë në sektorin rezidencial</w:t>
            </w:r>
          </w:p>
        </w:tc>
        <w:tc>
          <w:tcPr>
            <w:tcW w:w="533" w:type="dxa"/>
            <w:noWrap/>
            <w:vAlign w:val="center"/>
            <w:hideMark/>
          </w:tcPr>
          <w:p w14:paraId="2EDF014F" w14:textId="3EE00E04"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4EBB60A7" wp14:editId="0577BA5E">
                  <wp:extent cx="184826" cy="184826"/>
                  <wp:effectExtent l="0" t="0" r="5715" b="5715"/>
                  <wp:docPr id="5175" name="Grafik 5175"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3C4206DF" w14:textId="1307C1CD"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5D355780" wp14:editId="626AC1E8">
                  <wp:extent cx="184826" cy="184826"/>
                  <wp:effectExtent l="0" t="0" r="5715" b="5715"/>
                  <wp:docPr id="5176" name="Grafik 5176"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4C0E6450" w14:textId="570AC9FA"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349DDD83" wp14:editId="2747CA93">
                  <wp:extent cx="184826" cy="184826"/>
                  <wp:effectExtent l="0" t="0" r="5715" b="5715"/>
                  <wp:docPr id="5177" name="Grafik 5177"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5F2B3FF4"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19416D40"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6D3D558E"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3AB29317"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6FC1AD0C" w14:textId="547D80DA"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27: Ndërtesat me konsum afër zero energji</w:t>
            </w:r>
          </w:p>
        </w:tc>
        <w:tc>
          <w:tcPr>
            <w:tcW w:w="533" w:type="dxa"/>
            <w:noWrap/>
            <w:vAlign w:val="center"/>
            <w:hideMark/>
          </w:tcPr>
          <w:p w14:paraId="7418A170" w14:textId="5BB6AC06"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08333708" wp14:editId="2FD2E847">
                  <wp:extent cx="184826" cy="184826"/>
                  <wp:effectExtent l="0" t="0" r="5715" b="5715"/>
                  <wp:docPr id="5178" name="Grafik 5178"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6FF63E18" w14:textId="475567B3"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4925B260" wp14:editId="4638EAC3">
                  <wp:extent cx="184826" cy="184826"/>
                  <wp:effectExtent l="0" t="0" r="5715" b="5715"/>
                  <wp:docPr id="5179" name="Grafik 517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54B91B06" w14:textId="5C29498F"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1093052C" wp14:editId="733A23A7">
                  <wp:extent cx="184826" cy="184826"/>
                  <wp:effectExtent l="0" t="0" r="5715" b="5715"/>
                  <wp:docPr id="5180" name="Grafik 5180"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5C4E9C34"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4ECB6DBA"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1EAD7C1C"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65081262"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01B625BA" w14:textId="38D80D88"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28: Certifikimi energjetik i ndërtesave</w:t>
            </w:r>
          </w:p>
        </w:tc>
        <w:tc>
          <w:tcPr>
            <w:tcW w:w="533" w:type="dxa"/>
            <w:noWrap/>
            <w:vAlign w:val="center"/>
            <w:hideMark/>
          </w:tcPr>
          <w:p w14:paraId="43D2082B" w14:textId="05FD1CD9"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1876A020" wp14:editId="19E9B92E">
                  <wp:extent cx="184826" cy="184826"/>
                  <wp:effectExtent l="0" t="0" r="5715" b="5715"/>
                  <wp:docPr id="5181" name="Grafik 5181"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6B902AEB" w14:textId="11F7A1F8"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3671CD1D" wp14:editId="46D69C3D">
                  <wp:extent cx="184826" cy="184826"/>
                  <wp:effectExtent l="0" t="0" r="5715" b="5715"/>
                  <wp:docPr id="5182" name="Grafik 518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14CB6D4A" w14:textId="2EA5E2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3234ADAC" wp14:editId="29F76D56">
                  <wp:extent cx="184826" cy="184826"/>
                  <wp:effectExtent l="0" t="0" r="5715" b="5715"/>
                  <wp:docPr id="5183" name="Grafik 5183"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5B2C635B"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50EC9218"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61E28AAF"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007F0C67"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250B70CF" w14:textId="71D74F77"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29: Inspektimi i sistemeve të ngrohjes, ftohjes dhe ventilimit</w:t>
            </w:r>
          </w:p>
        </w:tc>
        <w:tc>
          <w:tcPr>
            <w:tcW w:w="533" w:type="dxa"/>
            <w:noWrap/>
            <w:vAlign w:val="center"/>
            <w:hideMark/>
          </w:tcPr>
          <w:p w14:paraId="42F3812E" w14:textId="5FC0F503"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142A4B85" wp14:editId="359FE789">
                  <wp:extent cx="184826" cy="184826"/>
                  <wp:effectExtent l="0" t="0" r="5715" b="5715"/>
                  <wp:docPr id="5250" name="Grafik 5250"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12AF87BC" w14:textId="275F2EB4"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528251C7" wp14:editId="6C88256B">
                  <wp:extent cx="184826" cy="184826"/>
                  <wp:effectExtent l="0" t="0" r="5715" b="5715"/>
                  <wp:docPr id="5251" name="Grafik 5251"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72F6F423" w14:textId="5B805843"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3E1069D0" wp14:editId="16B838CA">
                  <wp:extent cx="184826" cy="184826"/>
                  <wp:effectExtent l="0" t="0" r="5715" b="5715"/>
                  <wp:docPr id="5255" name="Grafik 5255"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0700CF71"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4522C4BE"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2314F18A"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4AEF375C"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562BB1D1" w14:textId="4DA0067D"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30: Kompanitë e Shërbimeve të Energjisë (KSHE)</w:t>
            </w:r>
          </w:p>
        </w:tc>
        <w:tc>
          <w:tcPr>
            <w:tcW w:w="533" w:type="dxa"/>
            <w:noWrap/>
            <w:vAlign w:val="center"/>
            <w:hideMark/>
          </w:tcPr>
          <w:p w14:paraId="65518041" w14:textId="7956350C"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34676A43" wp14:editId="7E644DC0">
                  <wp:extent cx="184826" cy="184826"/>
                  <wp:effectExtent l="0" t="0" r="5715" b="5715"/>
                  <wp:docPr id="5256" name="Grafik 5256"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02B23BF2" w14:textId="2C838C7C"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6907AE8A" wp14:editId="66BFE4A2">
                  <wp:extent cx="184826" cy="184826"/>
                  <wp:effectExtent l="0" t="0" r="5715" b="5715"/>
                  <wp:docPr id="5257" name="Grafik 5257"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0AB26FD6" w14:textId="309B515E"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6AB30865" wp14:editId="7155F9F5">
                  <wp:extent cx="184826" cy="184826"/>
                  <wp:effectExtent l="0" t="0" r="5715" b="5715"/>
                  <wp:docPr id="5261" name="Grafik 5261"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7A790BB4"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10C2FA9C"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7D24467F"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7582FDD1"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3D502E17" w14:textId="39162506"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31: Përmirësimi dhe zgjerimi i sistemeve të ngrohjes qendrore të “Termokosit” në Prishtinë dhe ngrohtores në Gjakovë</w:t>
            </w:r>
          </w:p>
        </w:tc>
        <w:tc>
          <w:tcPr>
            <w:tcW w:w="533" w:type="dxa"/>
            <w:noWrap/>
            <w:vAlign w:val="center"/>
            <w:hideMark/>
          </w:tcPr>
          <w:p w14:paraId="4805093D" w14:textId="265F399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0A632218" wp14:editId="181FB063">
                  <wp:extent cx="184826" cy="184826"/>
                  <wp:effectExtent l="0" t="0" r="5715" b="5715"/>
                  <wp:docPr id="5263" name="Grafik 5263"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04403DAF" w14:textId="465F870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12BE8C40" wp14:editId="33173543">
                  <wp:extent cx="184826" cy="184826"/>
                  <wp:effectExtent l="0" t="0" r="5715" b="5715"/>
                  <wp:docPr id="5269" name="Grafik 526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2F8B11DB" w14:textId="5C5C1EB8"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1C632628" wp14:editId="22BB85B4">
                  <wp:extent cx="184826" cy="184826"/>
                  <wp:effectExtent l="0" t="0" r="5715" b="5715"/>
                  <wp:docPr id="130593" name="Grafik 130593"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0538C9A4"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6E9C4C34"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7C853AE4"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73B16DA5"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78C8485A" w14:textId="3E353607"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32: Rinovimi i ndërtesave të qeverisë qendrore</w:t>
            </w:r>
          </w:p>
        </w:tc>
        <w:tc>
          <w:tcPr>
            <w:tcW w:w="533" w:type="dxa"/>
            <w:noWrap/>
            <w:vAlign w:val="center"/>
            <w:hideMark/>
          </w:tcPr>
          <w:p w14:paraId="368C96D0" w14:textId="217495B9"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0F051493" wp14:editId="50F2F822">
                  <wp:extent cx="184826" cy="184826"/>
                  <wp:effectExtent l="0" t="0" r="5715" b="5715"/>
                  <wp:docPr id="130594" name="Grafik 130594"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4A82759D" w14:textId="4050FFDF"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14261B0D" wp14:editId="14E88E61">
                  <wp:extent cx="184826" cy="184826"/>
                  <wp:effectExtent l="0" t="0" r="5715" b="5715"/>
                  <wp:docPr id="130595" name="Grafik 130595"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09E6EFE4" w14:textId="7DE77AC9"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38AACBBF" wp14:editId="0B57342F">
                  <wp:extent cx="184826" cy="184826"/>
                  <wp:effectExtent l="0" t="0" r="5715" b="5715"/>
                  <wp:docPr id="130597" name="Grafik 130597"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7B8DA7DC"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046D9F4F"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3F8E0F91"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1E312894"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5EEE7108" w14:textId="674B13CB"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33: Rinovimi i ndërtesave publik</w:t>
            </w:r>
          </w:p>
        </w:tc>
        <w:tc>
          <w:tcPr>
            <w:tcW w:w="533" w:type="dxa"/>
            <w:noWrap/>
            <w:vAlign w:val="center"/>
            <w:hideMark/>
          </w:tcPr>
          <w:p w14:paraId="7C7333BE" w14:textId="49AD18EA"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2B79A1BA" wp14:editId="743E2E50">
                  <wp:extent cx="184826" cy="184826"/>
                  <wp:effectExtent l="0" t="0" r="5715" b="5715"/>
                  <wp:docPr id="130598" name="Grafik 130598"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6A94F92E" w14:textId="3A1CEEFA"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1083B9C9" wp14:editId="287B1E46">
                  <wp:extent cx="184826" cy="184826"/>
                  <wp:effectExtent l="0" t="0" r="5715" b="5715"/>
                  <wp:docPr id="130599" name="Grafik 13059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70284EF9" w14:textId="772F56DB"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16453D7F" wp14:editId="7954F159">
                  <wp:extent cx="184826" cy="184826"/>
                  <wp:effectExtent l="0" t="0" r="5715" b="5715"/>
                  <wp:docPr id="130601" name="Grafik 130601"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556A8A8F"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73528390"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0ED409C6"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47F80903"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117EA20B" w14:textId="2F10A60F"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34: Prokurimi publik i gjelbër</w:t>
            </w:r>
          </w:p>
        </w:tc>
        <w:tc>
          <w:tcPr>
            <w:tcW w:w="533" w:type="dxa"/>
            <w:noWrap/>
            <w:vAlign w:val="center"/>
            <w:hideMark/>
          </w:tcPr>
          <w:p w14:paraId="421B2D54" w14:textId="6019A56A"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4ABBD6B9" wp14:editId="2329468F">
                  <wp:extent cx="184826" cy="184826"/>
                  <wp:effectExtent l="0" t="0" r="5715" b="5715"/>
                  <wp:docPr id="130602" name="Grafik 13060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27A6C53C" w14:textId="6D422676"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01849D24" wp14:editId="578D229A">
                  <wp:extent cx="184826" cy="184826"/>
                  <wp:effectExtent l="0" t="0" r="5715" b="5715"/>
                  <wp:docPr id="130604" name="Grafik 130604"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43E960D8" w14:textId="41F86B23"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5C755472" wp14:editId="1C35914D">
                  <wp:extent cx="184826" cy="184826"/>
                  <wp:effectExtent l="0" t="0" r="5715" b="5715"/>
                  <wp:docPr id="130607" name="Grafik 130607"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6B351456"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6E5A0739"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5776CF86"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7787B257"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2BD1A366" w14:textId="6F31D3A2"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 xml:space="preserve">PM 35: </w:t>
            </w:r>
            <w:r w:rsidR="00FF5B56">
              <w:rPr>
                <w:sz w:val="18"/>
              </w:rPr>
              <w:t>Sistemet e a</w:t>
            </w:r>
            <w:r>
              <w:rPr>
                <w:sz w:val="18"/>
              </w:rPr>
              <w:t>uditimi</w:t>
            </w:r>
            <w:r w:rsidR="00FF5B56">
              <w:rPr>
                <w:sz w:val="18"/>
              </w:rPr>
              <w:t>t</w:t>
            </w:r>
            <w:r>
              <w:rPr>
                <w:sz w:val="18"/>
              </w:rPr>
              <w:t xml:space="preserve"> </w:t>
            </w:r>
            <w:r w:rsidR="00FF5B56">
              <w:rPr>
                <w:sz w:val="18"/>
              </w:rPr>
              <w:t xml:space="preserve">energjetik dhe </w:t>
            </w:r>
            <w:r>
              <w:rPr>
                <w:sz w:val="18"/>
              </w:rPr>
              <w:t>të menaxhimit</w:t>
            </w:r>
            <w:r w:rsidR="00FF5B56">
              <w:rPr>
                <w:sz w:val="18"/>
              </w:rPr>
              <w:t xml:space="preserve"> energjisë</w:t>
            </w:r>
          </w:p>
        </w:tc>
        <w:tc>
          <w:tcPr>
            <w:tcW w:w="533" w:type="dxa"/>
            <w:noWrap/>
            <w:vAlign w:val="center"/>
            <w:hideMark/>
          </w:tcPr>
          <w:p w14:paraId="24765A32" w14:textId="2F9695D6"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4E14026D" wp14:editId="70ADE610">
                  <wp:extent cx="184826" cy="184826"/>
                  <wp:effectExtent l="0" t="0" r="5715" b="5715"/>
                  <wp:docPr id="130609" name="Grafik 13060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6B6EF758" w14:textId="110F3A13"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5A5FE52D" wp14:editId="2BE7E8CF">
                  <wp:extent cx="184826" cy="184826"/>
                  <wp:effectExtent l="0" t="0" r="5715" b="5715"/>
                  <wp:docPr id="130610" name="Grafik 130610"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1B13DA3D" w14:textId="32F00C16"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7ADB1188" wp14:editId="413C816C">
                  <wp:extent cx="184826" cy="184826"/>
                  <wp:effectExtent l="0" t="0" r="5715" b="5715"/>
                  <wp:docPr id="130611" name="Grafik 130611"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63A825F5"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44C51300" w14:textId="2030CB33"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493DDF2E" wp14:editId="65A7C478">
                  <wp:extent cx="184826" cy="184826"/>
                  <wp:effectExtent l="0" t="0" r="5715" b="5715"/>
                  <wp:docPr id="130614" name="Grafik 130614"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r>
      <w:tr w:rsidR="009A7A8D" w:rsidRPr="00976D33" w14:paraId="5D4E6403"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0404306F"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2FC2C341" w14:textId="2B391DC8"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36: Fushata për efiçiencë të energjisë</w:t>
            </w:r>
          </w:p>
        </w:tc>
        <w:tc>
          <w:tcPr>
            <w:tcW w:w="533" w:type="dxa"/>
            <w:noWrap/>
            <w:vAlign w:val="center"/>
            <w:hideMark/>
          </w:tcPr>
          <w:p w14:paraId="5DC95F8A" w14:textId="6E5E6D9A"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70292AD9" wp14:editId="765DBF50">
                  <wp:extent cx="184826" cy="184826"/>
                  <wp:effectExtent l="0" t="0" r="5715" b="5715"/>
                  <wp:docPr id="130619" name="Grafik 13061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1163238D" w14:textId="141CC76D"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05816344" wp14:editId="4FC9DD47">
                  <wp:extent cx="184826" cy="184826"/>
                  <wp:effectExtent l="0" t="0" r="5715" b="5715"/>
                  <wp:docPr id="130620" name="Grafik 130620"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235799B6" w14:textId="4441C792"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0E3AC1C4" wp14:editId="7F282EED">
                  <wp:extent cx="184826" cy="184826"/>
                  <wp:effectExtent l="0" t="0" r="5715" b="5715"/>
                  <wp:docPr id="130622" name="Grafik 13062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72B0AB83"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7EB0BCF8"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3723F07A"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235FB2EA"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295F7D19" w14:textId="0D35A133"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37: Rritja e përdorimit të teknologjive efiçiente në sektorin rezidencial</w:t>
            </w:r>
          </w:p>
        </w:tc>
        <w:tc>
          <w:tcPr>
            <w:tcW w:w="533" w:type="dxa"/>
            <w:noWrap/>
            <w:vAlign w:val="center"/>
            <w:hideMark/>
          </w:tcPr>
          <w:p w14:paraId="4F4EE380" w14:textId="2C75191C"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0AA4F7F9" wp14:editId="75C9D410">
                  <wp:extent cx="184826" cy="184826"/>
                  <wp:effectExtent l="0" t="0" r="5715" b="5715"/>
                  <wp:docPr id="138113" name="Grafik 138113"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207A80EA" w14:textId="5683B034"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5AD94F87" wp14:editId="5DCCCAE1">
                  <wp:extent cx="184826" cy="184826"/>
                  <wp:effectExtent l="0" t="0" r="5715" b="5715"/>
                  <wp:docPr id="138114" name="Grafik 138114"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16B05B90" w14:textId="551EF120"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148FF59A" wp14:editId="71CDE2F1">
                  <wp:extent cx="184826" cy="184826"/>
                  <wp:effectExtent l="0" t="0" r="5715" b="5715"/>
                  <wp:docPr id="138115" name="Grafik 138115"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06B572E4"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7A05448E" w14:textId="3B20B8EE"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41A88237" wp14:editId="78984D9F">
                  <wp:extent cx="184826" cy="184826"/>
                  <wp:effectExtent l="0" t="0" r="5715" b="5715"/>
                  <wp:docPr id="947450788" name="Grafik 947450788"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r>
      <w:tr w:rsidR="009A7A8D" w:rsidRPr="00976D33" w14:paraId="2FFD401F"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78CD3994"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tcPr>
          <w:p w14:paraId="7426EAFB" w14:textId="0B76A4AE"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38: Masat e efiçiencës së energjisë në industri</w:t>
            </w:r>
          </w:p>
        </w:tc>
        <w:tc>
          <w:tcPr>
            <w:tcW w:w="533" w:type="dxa"/>
            <w:noWrap/>
          </w:tcPr>
          <w:p w14:paraId="1411A815" w14:textId="0210C531"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0B051DA6" wp14:editId="5E4F203A">
                  <wp:extent cx="184826" cy="184826"/>
                  <wp:effectExtent l="0" t="0" r="5715" b="5715"/>
                  <wp:docPr id="1886889599" name="Grafik 188688959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0469DBB7" w14:textId="648CE742"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393E5574" wp14:editId="27612393">
                  <wp:extent cx="184826" cy="184826"/>
                  <wp:effectExtent l="0" t="0" r="5715" b="5715"/>
                  <wp:docPr id="1596166044" name="Grafik 1596166044"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6C1EA3CA" w14:textId="18AAD3DD"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23B83111" wp14:editId="6C3F15DE">
                  <wp:extent cx="184826" cy="184826"/>
                  <wp:effectExtent l="0" t="0" r="5715" b="5715"/>
                  <wp:docPr id="957146622" name="Grafik 95714662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6E7E71F1"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tcPr>
          <w:p w14:paraId="03E62A9B"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7CD5C87F"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2191A780"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tcPr>
          <w:p w14:paraId="6BD3A2DA" w14:textId="7EF7FCAB"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 xml:space="preserve">PM 39: </w:t>
            </w:r>
            <w:r>
              <w:rPr>
                <w:rFonts w:asciiTheme="majorHAnsi" w:hAnsiTheme="majorHAnsi"/>
                <w:color w:val="auto"/>
                <w:sz w:val="18"/>
              </w:rPr>
              <w:t>Rritja e përdorimit të hekurudhës përmes modernizimit dhe rehabilitimit të linjave hekurudhore</w:t>
            </w:r>
          </w:p>
        </w:tc>
        <w:tc>
          <w:tcPr>
            <w:tcW w:w="533" w:type="dxa"/>
            <w:noWrap/>
          </w:tcPr>
          <w:p w14:paraId="311B7EBB" w14:textId="0CCF0479"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7C10D4DF" wp14:editId="2CC374D6">
                  <wp:extent cx="184826" cy="184826"/>
                  <wp:effectExtent l="0" t="0" r="5715" b="5715"/>
                  <wp:docPr id="1811085192" name="Grafik 181108519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06D99764" w14:textId="51CF8E3E"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61F30353" wp14:editId="42D37659">
                  <wp:extent cx="184826" cy="184826"/>
                  <wp:effectExtent l="0" t="0" r="5715" b="5715"/>
                  <wp:docPr id="1467548647" name="Grafik 1467548647"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6491876E" w14:textId="0C244651"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0F1AA7A0" wp14:editId="0C9D5BAD">
                  <wp:extent cx="184826" cy="184826"/>
                  <wp:effectExtent l="0" t="0" r="5715" b="5715"/>
                  <wp:docPr id="1200529954" name="Grafik 1200529954"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3E057854"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tcPr>
          <w:p w14:paraId="72E60189"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r>
      <w:tr w:rsidR="009E3529" w:rsidRPr="00976D33" w14:paraId="414D0935"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301FBC90" w14:textId="77777777" w:rsidR="009E3529" w:rsidRPr="00976D33" w:rsidRDefault="009E3529"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tcPr>
          <w:p w14:paraId="4C919E81" w14:textId="61001323" w:rsidR="009E3529" w:rsidRPr="00976D33" w:rsidRDefault="009E3529"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PM 40: Digjitalizimi i sistemeve të transportit dhe zbatimi i ITS-së në Rrjetin Kryesor të TEN-T në Kosovë</w:t>
            </w:r>
          </w:p>
        </w:tc>
        <w:tc>
          <w:tcPr>
            <w:tcW w:w="533" w:type="dxa"/>
            <w:noWrap/>
          </w:tcPr>
          <w:p w14:paraId="097AA291" w14:textId="52B0B9EE" w:rsidR="009E3529" w:rsidRPr="00976D33" w:rsidRDefault="004169A8"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60D9CAAF" wp14:editId="1E4172A5">
                  <wp:extent cx="184826" cy="184826"/>
                  <wp:effectExtent l="0" t="0" r="5715" b="5715"/>
                  <wp:docPr id="269663124" name="Grafik 269663124"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8"/>
                              </a:ext>
                            </a:extLst>
                          </a:blip>
                          <a:stretch>
                            <a:fillRect/>
                          </a:stretch>
                        </pic:blipFill>
                        <pic:spPr>
                          <a:xfrm>
                            <a:off x="0" y="0"/>
                            <a:ext cx="186192" cy="186192"/>
                          </a:xfrm>
                          <a:prstGeom prst="rect">
                            <a:avLst/>
                          </a:prstGeom>
                        </pic:spPr>
                      </pic:pic>
                    </a:graphicData>
                  </a:graphic>
                </wp:inline>
              </w:drawing>
            </w:r>
          </w:p>
        </w:tc>
        <w:tc>
          <w:tcPr>
            <w:tcW w:w="533" w:type="dxa"/>
            <w:noWrap/>
          </w:tcPr>
          <w:p w14:paraId="40BB5723" w14:textId="30ECE562" w:rsidR="009E3529" w:rsidRPr="00976D33" w:rsidRDefault="004169A8"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0B28A17E" wp14:editId="30C81DCA">
                  <wp:extent cx="184826" cy="184826"/>
                  <wp:effectExtent l="0" t="0" r="5715" b="5715"/>
                  <wp:docPr id="578964591" name="Grafik 578964591"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8"/>
                              </a:ext>
                            </a:extLst>
                          </a:blip>
                          <a:stretch>
                            <a:fillRect/>
                          </a:stretch>
                        </pic:blipFill>
                        <pic:spPr>
                          <a:xfrm>
                            <a:off x="0" y="0"/>
                            <a:ext cx="186192" cy="186192"/>
                          </a:xfrm>
                          <a:prstGeom prst="rect">
                            <a:avLst/>
                          </a:prstGeom>
                        </pic:spPr>
                      </pic:pic>
                    </a:graphicData>
                  </a:graphic>
                </wp:inline>
              </w:drawing>
            </w:r>
          </w:p>
        </w:tc>
        <w:tc>
          <w:tcPr>
            <w:tcW w:w="533" w:type="dxa"/>
            <w:noWrap/>
          </w:tcPr>
          <w:p w14:paraId="6E0AB7F9" w14:textId="77777777" w:rsidR="009E3529" w:rsidRPr="00976D33" w:rsidRDefault="009E3529"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p>
        </w:tc>
        <w:tc>
          <w:tcPr>
            <w:tcW w:w="533" w:type="dxa"/>
            <w:noWrap/>
            <w:vAlign w:val="center"/>
          </w:tcPr>
          <w:p w14:paraId="2C40B8A1" w14:textId="77777777" w:rsidR="009E3529" w:rsidRPr="00976D33" w:rsidRDefault="009E3529"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tcPr>
          <w:p w14:paraId="49F7C4FD" w14:textId="77777777" w:rsidR="009E3529" w:rsidRPr="00976D33" w:rsidRDefault="009E3529"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47950ECC"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3079A759"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tcPr>
          <w:p w14:paraId="4615DADF" w14:textId="234137D0"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41: Elektrifikimi i hekurudhave</w:t>
            </w:r>
          </w:p>
        </w:tc>
        <w:tc>
          <w:tcPr>
            <w:tcW w:w="533" w:type="dxa"/>
            <w:noWrap/>
          </w:tcPr>
          <w:p w14:paraId="4F7A792C" w14:textId="1309F4FB"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20123F9A" wp14:editId="771EB2A9">
                  <wp:extent cx="184826" cy="184826"/>
                  <wp:effectExtent l="0" t="0" r="5715" b="5715"/>
                  <wp:docPr id="1469591021" name="Grafik 1469591021"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288776DC" w14:textId="76BDE856"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744D1D24" wp14:editId="4D63DA59">
                  <wp:extent cx="184826" cy="184826"/>
                  <wp:effectExtent l="0" t="0" r="5715" b="5715"/>
                  <wp:docPr id="468548629" name="Grafik 46854862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6FE7A2A5" w14:textId="118ED10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2DF5C54E" wp14:editId="489F1EEC">
                  <wp:extent cx="184826" cy="184826"/>
                  <wp:effectExtent l="0" t="0" r="5715" b="5715"/>
                  <wp:docPr id="1148476543" name="Grafik 1148476543"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24579425"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tcPr>
          <w:p w14:paraId="4EDB2130"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799A99F7"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3C657237"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tcPr>
          <w:p w14:paraId="1ADB741C" w14:textId="48EEECEF"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42: Rritja e pjesës së automjeteve me karburant alternativ</w:t>
            </w:r>
          </w:p>
        </w:tc>
        <w:tc>
          <w:tcPr>
            <w:tcW w:w="533" w:type="dxa"/>
            <w:noWrap/>
          </w:tcPr>
          <w:p w14:paraId="70021EA0" w14:textId="04F536A1"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258F97A5" wp14:editId="10B96618">
                  <wp:extent cx="184826" cy="184826"/>
                  <wp:effectExtent l="0" t="0" r="5715" b="5715"/>
                  <wp:docPr id="855802169" name="Grafik 85580216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1C5DD2C5" w14:textId="01A62848"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7AC6A45B" wp14:editId="319C36F6">
                  <wp:extent cx="184826" cy="184826"/>
                  <wp:effectExtent l="0" t="0" r="5715" b="5715"/>
                  <wp:docPr id="707433697" name="Grafik 707433697"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566B7FBF" w14:textId="34190D3A"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0324CABE" wp14:editId="3582959E">
                  <wp:extent cx="184826" cy="184826"/>
                  <wp:effectExtent l="0" t="0" r="5715" b="5715"/>
                  <wp:docPr id="543106259" name="Grafik 54310625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7510945B"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tcPr>
          <w:p w14:paraId="18185C53" w14:textId="1835B334"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3B62CF8A" wp14:editId="58C0A64A">
                  <wp:extent cx="184826" cy="184826"/>
                  <wp:effectExtent l="0" t="0" r="5715" b="5715"/>
                  <wp:docPr id="138112" name="Grafik 13811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r>
      <w:tr w:rsidR="009A7A8D" w:rsidRPr="00976D33" w14:paraId="617EB0A6"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3B119350"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tcPr>
          <w:p w14:paraId="2C4D4432" w14:textId="0DFFF803"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43: Ndryshimi i flotës së automjeteve</w:t>
            </w:r>
          </w:p>
        </w:tc>
        <w:tc>
          <w:tcPr>
            <w:tcW w:w="533" w:type="dxa"/>
            <w:noWrap/>
          </w:tcPr>
          <w:p w14:paraId="2B3E0DBA" w14:textId="27175418"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75863496" wp14:editId="389C4DFC">
                  <wp:extent cx="184826" cy="184826"/>
                  <wp:effectExtent l="0" t="0" r="5715" b="5715"/>
                  <wp:docPr id="577142110" name="Grafik 577142110"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06A17110" w14:textId="3EFEA71A"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6F2E9FC9" wp14:editId="6AB4D0FC">
                  <wp:extent cx="184826" cy="184826"/>
                  <wp:effectExtent l="0" t="0" r="5715" b="5715"/>
                  <wp:docPr id="11586629" name="Grafik 1158662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7A7B3A24" w14:textId="6192A3EF"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7A2C51FD" wp14:editId="11523FBD">
                  <wp:extent cx="184826" cy="184826"/>
                  <wp:effectExtent l="0" t="0" r="5715" b="5715"/>
                  <wp:docPr id="879227950" name="Grafik 879227950"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64727448"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tcPr>
          <w:p w14:paraId="15E3DC14"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0F529B2C"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544BB1C9"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tcPr>
          <w:p w14:paraId="76F051EB" w14:textId="62D2D005"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44: Zhvendosja modale për udhëtime në distanca të shkurtra</w:t>
            </w:r>
          </w:p>
        </w:tc>
        <w:tc>
          <w:tcPr>
            <w:tcW w:w="533" w:type="dxa"/>
            <w:noWrap/>
          </w:tcPr>
          <w:p w14:paraId="7C83A5C5" w14:textId="18B5AEC0"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4BFC1303" wp14:editId="207247DD">
                  <wp:extent cx="184826" cy="184826"/>
                  <wp:effectExtent l="0" t="0" r="5715" b="5715"/>
                  <wp:docPr id="847340013" name="Grafik 847340013"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617B6B14" w14:textId="1FC287B2"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7B24FDA5" wp14:editId="552389F8">
                  <wp:extent cx="184826" cy="184826"/>
                  <wp:effectExtent l="0" t="0" r="5715" b="5715"/>
                  <wp:docPr id="1662458924" name="Grafik 1662458924"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56C7C97D" w14:textId="73509119"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63A02DA0" wp14:editId="130341CC">
                  <wp:extent cx="184826" cy="184826"/>
                  <wp:effectExtent l="0" t="0" r="5715" b="5715"/>
                  <wp:docPr id="503267973" name="Grafik 503267973"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4989977A"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tcPr>
          <w:p w14:paraId="3E84FFB5" w14:textId="7CBC6F12"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6D93B646" wp14:editId="56C484B4">
                  <wp:extent cx="184826" cy="184826"/>
                  <wp:effectExtent l="0" t="0" r="5715" b="5715"/>
                  <wp:docPr id="1518429757" name="Grafik 1518429757"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r>
      <w:tr w:rsidR="009A7A8D" w:rsidRPr="00976D33" w14:paraId="68379B41" w14:textId="77777777" w:rsidTr="00024D7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35" w:type="dxa"/>
            <w:vMerge/>
          </w:tcPr>
          <w:p w14:paraId="6F17A758"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tcPr>
          <w:p w14:paraId="797BDC4B" w14:textId="5F326015"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45: Planet Komunale të Veprimit për Energji dhe Klimë</w:t>
            </w:r>
          </w:p>
        </w:tc>
        <w:tc>
          <w:tcPr>
            <w:tcW w:w="533" w:type="dxa"/>
            <w:noWrap/>
          </w:tcPr>
          <w:p w14:paraId="1FBF16DE" w14:textId="268BB65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19920FA9" wp14:editId="136F8530">
                  <wp:extent cx="184826" cy="184826"/>
                  <wp:effectExtent l="0" t="0" r="5715" b="5715"/>
                  <wp:docPr id="1046296469" name="Grafik 104629646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00DD129A" w14:textId="34FDB781"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3374DA89" wp14:editId="24F07916">
                  <wp:extent cx="184826" cy="184826"/>
                  <wp:effectExtent l="0" t="0" r="5715" b="5715"/>
                  <wp:docPr id="1631358479" name="Grafik 163135847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3C1F4A27" w14:textId="26AEA421"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3B45336A" wp14:editId="68D22CDE">
                  <wp:extent cx="184826" cy="184826"/>
                  <wp:effectExtent l="0" t="0" r="5715" b="5715"/>
                  <wp:docPr id="716992336" name="Grafik 716992336"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176C9A74"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tcPr>
          <w:p w14:paraId="3C6E22BE"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717700EC"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384BEA59"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tcPr>
          <w:p w14:paraId="536A3B16" w14:textId="5F19118F"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PM 46: Modernizimi i rrjeteve dhe reduktimi i humbjeve në rrjet</w:t>
            </w:r>
          </w:p>
        </w:tc>
        <w:tc>
          <w:tcPr>
            <w:tcW w:w="533" w:type="dxa"/>
            <w:noWrap/>
          </w:tcPr>
          <w:p w14:paraId="2D69A445" w14:textId="1B000182"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49275845" wp14:editId="0572240A">
                  <wp:extent cx="184826" cy="184826"/>
                  <wp:effectExtent l="0" t="0" r="5715" b="5715"/>
                  <wp:docPr id="635670814" name="Grafik 635670814"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48CFA669" w14:textId="10D84FD3"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71E11022" wp14:editId="6234EAF3">
                  <wp:extent cx="184826" cy="184826"/>
                  <wp:effectExtent l="0" t="0" r="5715" b="5715"/>
                  <wp:docPr id="456151338" name="Grafik 456151338"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612FDE96" w14:textId="51965BB4"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11D216BE" wp14:editId="43BF26C1">
                  <wp:extent cx="184826" cy="184826"/>
                  <wp:effectExtent l="0" t="0" r="5715" b="5715"/>
                  <wp:docPr id="1733461483" name="Grafik 1733461483"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047B1589"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tcPr>
          <w:p w14:paraId="00F5D19C"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37F076C7"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val="restart"/>
            <w:textDirection w:val="btLr"/>
          </w:tcPr>
          <w:p w14:paraId="7D6B40DD" w14:textId="77777777" w:rsidR="009A7A8D" w:rsidRPr="00976D33" w:rsidRDefault="009A7A8D" w:rsidP="009A7A8D">
            <w:pPr>
              <w:spacing w:after="0"/>
              <w:ind w:left="113" w:right="113"/>
              <w:contextualSpacing/>
              <w:jc w:val="center"/>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Siguria energjetike</w:t>
            </w:r>
          </w:p>
        </w:tc>
        <w:tc>
          <w:tcPr>
            <w:tcW w:w="6364" w:type="dxa"/>
            <w:noWrap/>
            <w:hideMark/>
          </w:tcPr>
          <w:p w14:paraId="16A44FA8" w14:textId="68C036EA"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47: Rehabilitimi i TC Kosova B</w:t>
            </w:r>
          </w:p>
        </w:tc>
        <w:tc>
          <w:tcPr>
            <w:tcW w:w="533" w:type="dxa"/>
            <w:noWrap/>
            <w:vAlign w:val="center"/>
            <w:hideMark/>
          </w:tcPr>
          <w:p w14:paraId="38908CC4"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p>
        </w:tc>
        <w:tc>
          <w:tcPr>
            <w:tcW w:w="533" w:type="dxa"/>
            <w:noWrap/>
            <w:vAlign w:val="center"/>
            <w:hideMark/>
          </w:tcPr>
          <w:p w14:paraId="1C74FF8A" w14:textId="0A51126C"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72DC3F4A" wp14:editId="0674FB10">
                  <wp:extent cx="184826" cy="184826"/>
                  <wp:effectExtent l="0" t="0" r="5715" b="5715"/>
                  <wp:docPr id="138119" name="Grafik 13811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4F7C1DC9" w14:textId="1878EB51"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50D04DFB" wp14:editId="624C86B9">
                  <wp:extent cx="184826" cy="184826"/>
                  <wp:effectExtent l="0" t="0" r="5715" b="5715"/>
                  <wp:docPr id="138120" name="Grafik 138120"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678F7AE3" w14:textId="0E835B0F"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2CD960AB" wp14:editId="2A5E4475">
                  <wp:extent cx="184826" cy="184826"/>
                  <wp:effectExtent l="0" t="0" r="5715" b="5715"/>
                  <wp:docPr id="138121" name="Grafik 138121"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066A52A0"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1E027665"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1F09820B"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4ACE99FE" w14:textId="0C445A0A"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48: Rehabilitimi i një deri në dy njësive në TC Kosova A</w:t>
            </w:r>
          </w:p>
        </w:tc>
        <w:tc>
          <w:tcPr>
            <w:tcW w:w="533" w:type="dxa"/>
            <w:noWrap/>
            <w:vAlign w:val="center"/>
            <w:hideMark/>
          </w:tcPr>
          <w:p w14:paraId="72F66F60"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p>
        </w:tc>
        <w:tc>
          <w:tcPr>
            <w:tcW w:w="533" w:type="dxa"/>
            <w:noWrap/>
            <w:vAlign w:val="center"/>
            <w:hideMark/>
          </w:tcPr>
          <w:p w14:paraId="731BA85D" w14:textId="713503BC"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7D750927" wp14:editId="0DED1668">
                  <wp:extent cx="184826" cy="184826"/>
                  <wp:effectExtent l="0" t="0" r="5715" b="5715"/>
                  <wp:docPr id="138122" name="Grafik 13812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0716E69C" w14:textId="31759423"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5B81435C" wp14:editId="09020761">
                  <wp:extent cx="184826" cy="184826"/>
                  <wp:effectExtent l="0" t="0" r="5715" b="5715"/>
                  <wp:docPr id="138123" name="Grafik 138123"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149994AA" w14:textId="59EFE0DC"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2DE1B762" wp14:editId="4744E558">
                  <wp:extent cx="184826" cy="184826"/>
                  <wp:effectExtent l="0" t="0" r="5715" b="5715"/>
                  <wp:docPr id="138124" name="Grafik 138124"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62E8F4C1"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6BE8A23B"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5F84B1D8"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00A78B4E" w14:textId="4727C905"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49: Përmirësimi i sigurisë kibernetike në sektorin energjetik</w:t>
            </w:r>
          </w:p>
        </w:tc>
        <w:tc>
          <w:tcPr>
            <w:tcW w:w="533" w:type="dxa"/>
            <w:noWrap/>
            <w:vAlign w:val="center"/>
            <w:hideMark/>
          </w:tcPr>
          <w:p w14:paraId="3697EF07"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p>
        </w:tc>
        <w:tc>
          <w:tcPr>
            <w:tcW w:w="533" w:type="dxa"/>
            <w:noWrap/>
            <w:vAlign w:val="center"/>
            <w:hideMark/>
          </w:tcPr>
          <w:p w14:paraId="7DB9A227"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558EA9D4" w14:textId="27EC8A35"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426B95A9" wp14:editId="345943D2">
                  <wp:extent cx="184826" cy="184826"/>
                  <wp:effectExtent l="0" t="0" r="5715" b="5715"/>
                  <wp:docPr id="138126" name="Grafik 138126"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5D160700"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311774CD"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2076098E"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56A48F65"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021DE724" w14:textId="0F8DDA86"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50: Rritja e sasisë së kapacitetit të BER-ve që rrjeti është në gjendje të trajtojë/integrojë</w:t>
            </w:r>
          </w:p>
        </w:tc>
        <w:tc>
          <w:tcPr>
            <w:tcW w:w="533" w:type="dxa"/>
            <w:noWrap/>
            <w:vAlign w:val="center"/>
            <w:hideMark/>
          </w:tcPr>
          <w:p w14:paraId="50391490" w14:textId="73A13055"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0D5D3DC2" wp14:editId="4D16F2D9">
                  <wp:extent cx="184826" cy="184826"/>
                  <wp:effectExtent l="0" t="0" r="5715" b="5715"/>
                  <wp:docPr id="199497474" name="Grafik 199497474"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38D6B2E7"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1F9A298D" w14:textId="297DDD91"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0A245FDD" wp14:editId="307E506B">
                  <wp:extent cx="184826" cy="184826"/>
                  <wp:effectExtent l="0" t="0" r="5715" b="5715"/>
                  <wp:docPr id="138129" name="Grafik 13812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7838D3B2"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371E4CD3" w14:textId="38D164DB"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78DFD602" wp14:editId="3E221352">
                  <wp:extent cx="184826" cy="184826"/>
                  <wp:effectExtent l="0" t="0" r="5715" b="5715"/>
                  <wp:docPr id="138130" name="Grafik 138130"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r>
      <w:tr w:rsidR="009A7A8D" w:rsidRPr="00976D33" w14:paraId="2D1795FB"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6B594A53"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tcPr>
          <w:p w14:paraId="5B8545C4" w14:textId="6D3F3CB2"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51: Instalimi i sistemit të ruajtjes së energjisë përmes baterive</w:t>
            </w:r>
          </w:p>
        </w:tc>
        <w:tc>
          <w:tcPr>
            <w:tcW w:w="533" w:type="dxa"/>
            <w:noWrap/>
            <w:vAlign w:val="center"/>
          </w:tcPr>
          <w:p w14:paraId="22D25489"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p>
        </w:tc>
        <w:tc>
          <w:tcPr>
            <w:tcW w:w="533" w:type="dxa"/>
            <w:noWrap/>
            <w:vAlign w:val="center"/>
          </w:tcPr>
          <w:p w14:paraId="7A01C78F"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tcPr>
          <w:p w14:paraId="3151B734" w14:textId="520D2BF1"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7E2AF62C" wp14:editId="5132E481">
                  <wp:extent cx="184826" cy="184826"/>
                  <wp:effectExtent l="0" t="0" r="5715" b="5715"/>
                  <wp:docPr id="423122369" name="Grafik 42312236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26EE2247"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tcPr>
          <w:p w14:paraId="18A5D636" w14:textId="1937679B"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596EF65B" wp14:editId="10EDE4DE">
                  <wp:extent cx="184826" cy="184826"/>
                  <wp:effectExtent l="0" t="0" r="5715" b="5715"/>
                  <wp:docPr id="1192915388" name="Grafik 1192915388"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r>
      <w:tr w:rsidR="009A7A8D" w:rsidRPr="00976D33" w14:paraId="3E3F6233"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6C506E86"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tcPr>
          <w:p w14:paraId="64ACFEBE" w14:textId="15203943"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PM 52: Gatishmëria ndaj rrezikut në sektorin e energjisë elektrike (RpR)</w:t>
            </w:r>
          </w:p>
        </w:tc>
        <w:tc>
          <w:tcPr>
            <w:tcW w:w="533" w:type="dxa"/>
            <w:noWrap/>
            <w:vAlign w:val="center"/>
          </w:tcPr>
          <w:p w14:paraId="5BB5A6CC"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p>
        </w:tc>
        <w:tc>
          <w:tcPr>
            <w:tcW w:w="533" w:type="dxa"/>
            <w:noWrap/>
            <w:vAlign w:val="center"/>
          </w:tcPr>
          <w:p w14:paraId="62CCCFE7"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tcPr>
          <w:p w14:paraId="6650AB0E" w14:textId="1986F180"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68EB7831" wp14:editId="2C6ECE96">
                  <wp:extent cx="184826" cy="184826"/>
                  <wp:effectExtent l="0" t="0" r="5715" b="5715"/>
                  <wp:docPr id="1311717255" name="Grafik 1311717255"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8"/>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3FBF25A2" w14:textId="3F4C86C6"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75DB30D8" wp14:editId="74EDC347">
                  <wp:extent cx="184826" cy="184826"/>
                  <wp:effectExtent l="0" t="0" r="5715" b="5715"/>
                  <wp:docPr id="777017776" name="Grafik 777017776"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8"/>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231380C2"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p>
        </w:tc>
      </w:tr>
      <w:tr w:rsidR="009A7A8D" w:rsidRPr="00976D33" w14:paraId="43716E36"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4B934CBB"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tcPr>
          <w:p w14:paraId="6CF373D4" w14:textId="4DA51734"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PM 53: Përmirësimi dhe modernizimi i udhëzuesve për operacionet e sistemit (OS) dhe kodet e rrjetit</w:t>
            </w:r>
          </w:p>
        </w:tc>
        <w:tc>
          <w:tcPr>
            <w:tcW w:w="533" w:type="dxa"/>
            <w:noWrap/>
            <w:vAlign w:val="center"/>
          </w:tcPr>
          <w:p w14:paraId="52AF7A4F"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p>
        </w:tc>
        <w:tc>
          <w:tcPr>
            <w:tcW w:w="533" w:type="dxa"/>
            <w:noWrap/>
            <w:vAlign w:val="center"/>
          </w:tcPr>
          <w:p w14:paraId="30F410ED"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tcPr>
          <w:p w14:paraId="1E3A20FA" w14:textId="792F1C8A"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1F66E44E" wp14:editId="495135B7">
                  <wp:extent cx="184826" cy="184826"/>
                  <wp:effectExtent l="0" t="0" r="5715" b="5715"/>
                  <wp:docPr id="851619373" name="Grafik 851619373"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8"/>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370FD83C" w14:textId="5676A7D6"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21119E27" wp14:editId="3BECF6BD">
                  <wp:extent cx="184826" cy="184826"/>
                  <wp:effectExtent l="0" t="0" r="5715" b="5715"/>
                  <wp:docPr id="2047488888" name="Grafik 2047488888"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8"/>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75E73F39"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p>
        </w:tc>
      </w:tr>
      <w:tr w:rsidR="009A7A8D" w:rsidRPr="00976D33" w14:paraId="6EADA21C"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6E18C776" w14:textId="77777777" w:rsidR="009A7A8D" w:rsidRPr="00976D33" w:rsidRDefault="009A7A8D" w:rsidP="009A7A8D">
            <w:pPr>
              <w:spacing w:after="0"/>
              <w:contextualSpacing/>
              <w:jc w:val="center"/>
              <w:rPr>
                <w:rFonts w:asciiTheme="majorHAnsi" w:eastAsia="Times New Roman" w:hAnsiTheme="majorHAnsi" w:cstheme="majorHAnsi"/>
                <w:color w:val="FFFFFF" w:themeColor="background1"/>
                <w:sz w:val="18"/>
                <w:szCs w:val="18"/>
              </w:rPr>
            </w:pPr>
          </w:p>
        </w:tc>
        <w:tc>
          <w:tcPr>
            <w:tcW w:w="6364" w:type="dxa"/>
            <w:noWrap/>
          </w:tcPr>
          <w:p w14:paraId="47A8E1DE" w14:textId="04C56D29"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PM 54: Përcaktimi i procedurave për lirimin e rezervave emergjente të naftës</w:t>
            </w:r>
          </w:p>
        </w:tc>
        <w:tc>
          <w:tcPr>
            <w:tcW w:w="533" w:type="dxa"/>
            <w:noWrap/>
            <w:vAlign w:val="center"/>
          </w:tcPr>
          <w:p w14:paraId="34EDDFFC"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p>
        </w:tc>
        <w:tc>
          <w:tcPr>
            <w:tcW w:w="533" w:type="dxa"/>
            <w:noWrap/>
            <w:vAlign w:val="center"/>
          </w:tcPr>
          <w:p w14:paraId="24B69453"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tcPr>
          <w:p w14:paraId="0B64FC76" w14:textId="1D87FBC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04D2C27C" wp14:editId="247BC393">
                  <wp:extent cx="184826" cy="184826"/>
                  <wp:effectExtent l="0" t="0" r="5715" b="5715"/>
                  <wp:docPr id="186336122" name="Grafik 18633612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8"/>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3C35F935" w14:textId="4765EC2C"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2C222EF3" wp14:editId="366FE763">
                  <wp:extent cx="184826" cy="184826"/>
                  <wp:effectExtent l="0" t="0" r="5715" b="5715"/>
                  <wp:docPr id="389706568" name="Grafik 389706568"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8"/>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7DA644E3"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p>
        </w:tc>
      </w:tr>
      <w:tr w:rsidR="009A7A8D" w:rsidRPr="00976D33" w14:paraId="679A0C38"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val="restart"/>
            <w:textDirection w:val="btLr"/>
          </w:tcPr>
          <w:p w14:paraId="7CE19925" w14:textId="6AEA67CE" w:rsidR="009A7A8D" w:rsidRPr="00976D33" w:rsidRDefault="009A7A8D" w:rsidP="009A7A8D">
            <w:pPr>
              <w:spacing w:after="0"/>
              <w:ind w:left="113" w:right="113"/>
              <w:contextualSpacing/>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Tregu i brendshëm energjetik</w:t>
            </w:r>
          </w:p>
        </w:tc>
        <w:tc>
          <w:tcPr>
            <w:tcW w:w="6364" w:type="dxa"/>
            <w:noWrap/>
            <w:hideMark/>
          </w:tcPr>
          <w:p w14:paraId="75BD0DE9" w14:textId="0F70E758"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55: Përmirësimi i disponueshmërisë komerciale të kapaciteteve transmetuese ndërkufitare</w:t>
            </w:r>
          </w:p>
        </w:tc>
        <w:tc>
          <w:tcPr>
            <w:tcW w:w="533" w:type="dxa"/>
            <w:noWrap/>
            <w:vAlign w:val="center"/>
            <w:hideMark/>
          </w:tcPr>
          <w:p w14:paraId="70CB8C04"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p>
        </w:tc>
        <w:tc>
          <w:tcPr>
            <w:tcW w:w="533" w:type="dxa"/>
            <w:noWrap/>
            <w:vAlign w:val="center"/>
            <w:hideMark/>
          </w:tcPr>
          <w:p w14:paraId="4BC776B4" w14:textId="70A510E6"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2F34E2DA" wp14:editId="1AEF8689">
                  <wp:extent cx="184826" cy="184826"/>
                  <wp:effectExtent l="0" t="0" r="5715" b="5715"/>
                  <wp:docPr id="138132" name="Grafik 13813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3E21BDF8" w14:textId="32484DB0"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7208F83A" wp14:editId="5D27CDB1">
                  <wp:extent cx="184826" cy="184826"/>
                  <wp:effectExtent l="0" t="0" r="5715" b="5715"/>
                  <wp:docPr id="138133" name="Grafik 138133"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2F81A01F" w14:textId="50D00FC0"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5B0AEC9F" wp14:editId="4D246A20">
                  <wp:extent cx="184826" cy="184826"/>
                  <wp:effectExtent l="0" t="0" r="5715" b="5715"/>
                  <wp:docPr id="138134" name="Grafik 138134"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1AE8949D"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4E2E4239"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extDirection w:val="btLr"/>
          </w:tcPr>
          <w:p w14:paraId="1BD3C199" w14:textId="61452C5C" w:rsidR="009A7A8D" w:rsidRPr="00976D33" w:rsidRDefault="009A7A8D" w:rsidP="009A7A8D">
            <w:pPr>
              <w:spacing w:after="0"/>
              <w:ind w:left="113" w:right="113"/>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25B6CAB9" w14:textId="1EE63766"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56: Udhërrëfyesi për konkurrencën e tregut me pakicë</w:t>
            </w:r>
          </w:p>
        </w:tc>
        <w:tc>
          <w:tcPr>
            <w:tcW w:w="533" w:type="dxa"/>
            <w:noWrap/>
            <w:vAlign w:val="center"/>
            <w:hideMark/>
          </w:tcPr>
          <w:p w14:paraId="708BE143"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p>
        </w:tc>
        <w:tc>
          <w:tcPr>
            <w:tcW w:w="533" w:type="dxa"/>
            <w:noWrap/>
            <w:vAlign w:val="center"/>
            <w:hideMark/>
          </w:tcPr>
          <w:p w14:paraId="414DC12C" w14:textId="46EB1C8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6116A4EB" wp14:editId="3CC1B95E">
                  <wp:extent cx="184826" cy="184826"/>
                  <wp:effectExtent l="0" t="0" r="5715" b="5715"/>
                  <wp:docPr id="138137" name="Grafik 138137"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5EF89C4F" w14:textId="11946E89"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6EF1177F" wp14:editId="321F66DD">
                  <wp:extent cx="184826" cy="184826"/>
                  <wp:effectExtent l="0" t="0" r="5715" b="5715"/>
                  <wp:docPr id="138138" name="Grafik 138138"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02916F0D" w14:textId="0BAE7FA5"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79B9EC58" wp14:editId="6CACF7C8">
                  <wp:extent cx="184826" cy="184826"/>
                  <wp:effectExtent l="0" t="0" r="5715" b="5715"/>
                  <wp:docPr id="138139" name="Grafik 13813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205DEBDD"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53607D59"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textDirection w:val="btLr"/>
          </w:tcPr>
          <w:p w14:paraId="5FAF5361" w14:textId="2E4A9A83" w:rsidR="009A7A8D" w:rsidRPr="00976D33" w:rsidRDefault="009A7A8D" w:rsidP="009A7A8D">
            <w:pPr>
              <w:spacing w:after="0"/>
              <w:ind w:left="113" w:right="113"/>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641EA5CD" w14:textId="5F96DC7D"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57: Adresimi i koncentrimit të tregut</w:t>
            </w:r>
          </w:p>
        </w:tc>
        <w:tc>
          <w:tcPr>
            <w:tcW w:w="533" w:type="dxa"/>
            <w:noWrap/>
            <w:vAlign w:val="center"/>
            <w:hideMark/>
          </w:tcPr>
          <w:p w14:paraId="06CB8317"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p>
        </w:tc>
        <w:tc>
          <w:tcPr>
            <w:tcW w:w="533" w:type="dxa"/>
            <w:noWrap/>
            <w:vAlign w:val="center"/>
            <w:hideMark/>
          </w:tcPr>
          <w:p w14:paraId="4870C61F" w14:textId="58655924"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22187B8B" wp14:editId="2048431D">
                  <wp:extent cx="184826" cy="184826"/>
                  <wp:effectExtent l="0" t="0" r="5715" b="5715"/>
                  <wp:docPr id="138141" name="Grafik 138141"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296D7904" w14:textId="12A575AE"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0F436B2E" wp14:editId="28738DAB">
                  <wp:extent cx="184826" cy="184826"/>
                  <wp:effectExtent l="0" t="0" r="5715" b="5715"/>
                  <wp:docPr id="138142" name="Grafik 13814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67C85B8D" w14:textId="7ED2FAD5"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740E974F" wp14:editId="6ECFA8C2">
                  <wp:extent cx="184826" cy="184826"/>
                  <wp:effectExtent l="0" t="0" r="5715" b="5715"/>
                  <wp:docPr id="138143" name="Grafik 138143"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0C6D2CE8"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2D9077D5"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extDirection w:val="btLr"/>
          </w:tcPr>
          <w:p w14:paraId="37B59A98" w14:textId="0F1B026B" w:rsidR="009A7A8D" w:rsidRPr="00976D33" w:rsidRDefault="009A7A8D" w:rsidP="009A7A8D">
            <w:pPr>
              <w:spacing w:after="0"/>
              <w:ind w:left="113" w:right="113"/>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4CF89C33" w14:textId="39B9F84C"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58: Bashkimi i tregut me Shqipërinë</w:t>
            </w:r>
          </w:p>
        </w:tc>
        <w:tc>
          <w:tcPr>
            <w:tcW w:w="533" w:type="dxa"/>
            <w:noWrap/>
            <w:vAlign w:val="center"/>
            <w:hideMark/>
          </w:tcPr>
          <w:p w14:paraId="788D2857"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p>
        </w:tc>
        <w:tc>
          <w:tcPr>
            <w:tcW w:w="533" w:type="dxa"/>
            <w:noWrap/>
            <w:vAlign w:val="center"/>
            <w:hideMark/>
          </w:tcPr>
          <w:p w14:paraId="5A518D50"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05A70BB6" w14:textId="1497131E"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2F8A0C72" wp14:editId="5E0C2F87">
                  <wp:extent cx="184826" cy="184826"/>
                  <wp:effectExtent l="0" t="0" r="5715" b="5715"/>
                  <wp:docPr id="138176" name="Grafik 138176"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7478E9D4" w14:textId="7C039842"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14883E23" wp14:editId="49C4945D">
                  <wp:extent cx="184826" cy="184826"/>
                  <wp:effectExtent l="0" t="0" r="5715" b="5715"/>
                  <wp:docPr id="138177" name="Grafik 138177"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5DAF6A5E" w14:textId="437462F3"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157C90D9" wp14:editId="66CD9F3C">
                  <wp:extent cx="184826" cy="184826"/>
                  <wp:effectExtent l="0" t="0" r="5715" b="5715"/>
                  <wp:docPr id="138178" name="Grafik 138178"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r>
      <w:tr w:rsidR="009A7A8D" w:rsidRPr="00976D33" w14:paraId="2652F0C5"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textDirection w:val="btLr"/>
          </w:tcPr>
          <w:p w14:paraId="1A51FE7F" w14:textId="57D8C38D" w:rsidR="009A7A8D" w:rsidRPr="00976D33" w:rsidRDefault="009A7A8D" w:rsidP="009A7A8D">
            <w:pPr>
              <w:spacing w:after="0"/>
              <w:ind w:left="113" w:right="113"/>
              <w:contextualSpacing/>
              <w:jc w:val="center"/>
              <w:rPr>
                <w:rFonts w:asciiTheme="majorHAnsi" w:eastAsia="Times New Roman" w:hAnsiTheme="majorHAnsi" w:cstheme="majorHAnsi"/>
                <w:color w:val="FFFFFF" w:themeColor="background1"/>
                <w:sz w:val="18"/>
                <w:szCs w:val="18"/>
              </w:rPr>
            </w:pPr>
          </w:p>
        </w:tc>
        <w:tc>
          <w:tcPr>
            <w:tcW w:w="6364" w:type="dxa"/>
            <w:noWrap/>
          </w:tcPr>
          <w:p w14:paraId="569D18FD" w14:textId="5A616A7C"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59: Bashkimi i tregut me vend</w:t>
            </w:r>
            <w:r w:rsidR="0037748E">
              <w:rPr>
                <w:sz w:val="18"/>
              </w:rPr>
              <w:t>et e tjera</w:t>
            </w:r>
            <w:r>
              <w:rPr>
                <w:sz w:val="18"/>
              </w:rPr>
              <w:t xml:space="preserve"> fqinje</w:t>
            </w:r>
          </w:p>
        </w:tc>
        <w:tc>
          <w:tcPr>
            <w:tcW w:w="533" w:type="dxa"/>
            <w:noWrap/>
            <w:vAlign w:val="center"/>
          </w:tcPr>
          <w:p w14:paraId="63D48D5B"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p>
        </w:tc>
        <w:tc>
          <w:tcPr>
            <w:tcW w:w="533" w:type="dxa"/>
            <w:noWrap/>
            <w:vAlign w:val="center"/>
          </w:tcPr>
          <w:p w14:paraId="6C3FC807"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tcPr>
          <w:p w14:paraId="65E9AAED" w14:textId="534BDF3F"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40BD706C" wp14:editId="3E8EAD63">
                  <wp:extent cx="184826" cy="184826"/>
                  <wp:effectExtent l="0" t="0" r="5715" b="5715"/>
                  <wp:docPr id="1631652294" name="Grafik 1631652294"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504F4600" w14:textId="435A6904"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6920B6C7" wp14:editId="2710D90B">
                  <wp:extent cx="184826" cy="184826"/>
                  <wp:effectExtent l="0" t="0" r="5715" b="5715"/>
                  <wp:docPr id="1944476169" name="Grafik 194447616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0C3D4A2A"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p>
        </w:tc>
      </w:tr>
      <w:tr w:rsidR="009A7A8D" w:rsidRPr="00976D33" w14:paraId="38CCD365"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extDirection w:val="btLr"/>
          </w:tcPr>
          <w:p w14:paraId="56EB824B" w14:textId="29F01367" w:rsidR="009A7A8D" w:rsidRPr="00976D33" w:rsidRDefault="009A7A8D" w:rsidP="009A7A8D">
            <w:pPr>
              <w:spacing w:after="0"/>
              <w:ind w:left="113" w:right="113"/>
              <w:contextualSpacing/>
              <w:jc w:val="center"/>
              <w:rPr>
                <w:rFonts w:asciiTheme="majorHAnsi" w:eastAsia="Times New Roman" w:hAnsiTheme="majorHAnsi" w:cstheme="majorHAnsi"/>
                <w:color w:val="FFFFFF" w:themeColor="background1"/>
                <w:sz w:val="18"/>
                <w:szCs w:val="18"/>
              </w:rPr>
            </w:pPr>
          </w:p>
        </w:tc>
        <w:tc>
          <w:tcPr>
            <w:tcW w:w="6364" w:type="dxa"/>
            <w:noWrap/>
          </w:tcPr>
          <w:p w14:paraId="23F25116" w14:textId="217B9650"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60: Anëtarësimi në platformat balancuese të BE-së</w:t>
            </w:r>
          </w:p>
        </w:tc>
        <w:tc>
          <w:tcPr>
            <w:tcW w:w="533" w:type="dxa"/>
            <w:noWrap/>
            <w:vAlign w:val="center"/>
          </w:tcPr>
          <w:p w14:paraId="221D8AAB"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p>
        </w:tc>
        <w:tc>
          <w:tcPr>
            <w:tcW w:w="533" w:type="dxa"/>
            <w:noWrap/>
            <w:vAlign w:val="center"/>
          </w:tcPr>
          <w:p w14:paraId="625D7525"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tcPr>
          <w:p w14:paraId="36640108" w14:textId="21E793AA"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0C1DE3E6" wp14:editId="71BCA181">
                  <wp:extent cx="184826" cy="184826"/>
                  <wp:effectExtent l="0" t="0" r="5715" b="5715"/>
                  <wp:docPr id="1825045068" name="Grafik 1825045068"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35885BA9" w14:textId="43F8647A"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3A24944D" wp14:editId="285A30A8">
                  <wp:extent cx="184826" cy="184826"/>
                  <wp:effectExtent l="0" t="0" r="5715" b="5715"/>
                  <wp:docPr id="1434680051" name="Grafik 1434680051"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4B312E5F"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p>
        </w:tc>
      </w:tr>
      <w:tr w:rsidR="009A7A8D" w:rsidRPr="00976D33" w14:paraId="56A99A05"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textDirection w:val="btLr"/>
          </w:tcPr>
          <w:p w14:paraId="24D69E36" w14:textId="7C8DC7DF" w:rsidR="009A7A8D" w:rsidRPr="00976D33" w:rsidRDefault="009A7A8D" w:rsidP="009A7A8D">
            <w:pPr>
              <w:spacing w:after="0"/>
              <w:ind w:left="113" w:right="113"/>
              <w:contextualSpacing/>
              <w:jc w:val="center"/>
              <w:rPr>
                <w:rFonts w:asciiTheme="majorHAnsi" w:eastAsia="Times New Roman" w:hAnsiTheme="majorHAnsi" w:cstheme="majorHAnsi"/>
                <w:color w:val="FFFFFF" w:themeColor="background1"/>
                <w:sz w:val="18"/>
                <w:szCs w:val="18"/>
              </w:rPr>
            </w:pPr>
          </w:p>
        </w:tc>
        <w:tc>
          <w:tcPr>
            <w:tcW w:w="6364" w:type="dxa"/>
            <w:noWrap/>
          </w:tcPr>
          <w:p w14:paraId="58805342" w14:textId="1075E4FF"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61: Studimi i fizibilitetit dhe pilotimi i mundshëm i energjisë për ngrohje</w:t>
            </w:r>
          </w:p>
        </w:tc>
        <w:tc>
          <w:tcPr>
            <w:tcW w:w="533" w:type="dxa"/>
            <w:noWrap/>
            <w:vAlign w:val="center"/>
          </w:tcPr>
          <w:p w14:paraId="4E06FC6B" w14:textId="56F63554"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24048157" wp14:editId="5BE2AAB7">
                  <wp:extent cx="184826" cy="184826"/>
                  <wp:effectExtent l="0" t="0" r="5715" b="5715"/>
                  <wp:docPr id="2033126012" name="Grafik 203312601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7D0E6EDB"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tcPr>
          <w:p w14:paraId="2DBFCD88" w14:textId="5D6685FE"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1567AC34" wp14:editId="4545F832">
                  <wp:extent cx="184826" cy="184826"/>
                  <wp:effectExtent l="0" t="0" r="5715" b="5715"/>
                  <wp:docPr id="1894583388" name="Grafik 1894583388"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323CAB8E" w14:textId="10EF81EB"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44FAA2E4" wp14:editId="5E47EE67">
                  <wp:extent cx="184826" cy="184826"/>
                  <wp:effectExtent l="0" t="0" r="5715" b="5715"/>
                  <wp:docPr id="1901927902" name="Grafik 190192790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5C8E358F" w14:textId="699C69AC"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3ABA3E51" wp14:editId="15F57196">
                  <wp:extent cx="184826" cy="184826"/>
                  <wp:effectExtent l="0" t="0" r="5715" b="5715"/>
                  <wp:docPr id="1363390062" name="Grafik 136339006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r>
      <w:tr w:rsidR="009A7A8D" w:rsidRPr="00976D33" w14:paraId="61C4B11D"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extDirection w:val="btLr"/>
          </w:tcPr>
          <w:p w14:paraId="4386A14F" w14:textId="4E191AC0" w:rsidR="009A7A8D" w:rsidRPr="00976D33" w:rsidRDefault="009A7A8D" w:rsidP="009A7A8D">
            <w:pPr>
              <w:spacing w:after="0"/>
              <w:ind w:left="113" w:right="113"/>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1EE73855" w14:textId="1D52AEA8"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62: Largimi i plotë i MFSH-së dhe shqyrtimi i vënies në funksion të kontratës për ndryshimin</w:t>
            </w:r>
          </w:p>
        </w:tc>
        <w:tc>
          <w:tcPr>
            <w:tcW w:w="533" w:type="dxa"/>
            <w:noWrap/>
            <w:vAlign w:val="center"/>
            <w:hideMark/>
          </w:tcPr>
          <w:p w14:paraId="2768C62F"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p>
        </w:tc>
        <w:tc>
          <w:tcPr>
            <w:tcW w:w="533" w:type="dxa"/>
            <w:noWrap/>
            <w:vAlign w:val="center"/>
            <w:hideMark/>
          </w:tcPr>
          <w:p w14:paraId="7987C07A"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67F00C7E" w14:textId="68293601"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69037B43" wp14:editId="459CAEFA">
                  <wp:extent cx="184826" cy="184826"/>
                  <wp:effectExtent l="0" t="0" r="5715" b="5715"/>
                  <wp:docPr id="138180" name="Grafik 138180"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7F1C277E" w14:textId="0D3DB4E9"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26F18D68" wp14:editId="1BCA876E">
                  <wp:extent cx="184826" cy="184826"/>
                  <wp:effectExtent l="0" t="0" r="5715" b="5715"/>
                  <wp:docPr id="138181" name="Grafik 138181"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76241849"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46E89D05"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textDirection w:val="btLr"/>
          </w:tcPr>
          <w:p w14:paraId="6DDB80D9" w14:textId="77777777" w:rsidR="009A7A8D" w:rsidRPr="00976D33" w:rsidRDefault="009A7A8D" w:rsidP="009A7A8D">
            <w:pPr>
              <w:spacing w:after="0"/>
              <w:ind w:left="113" w:right="113"/>
              <w:contextualSpacing/>
              <w:jc w:val="center"/>
              <w:rPr>
                <w:rFonts w:asciiTheme="majorHAnsi" w:eastAsia="Times New Roman" w:hAnsiTheme="majorHAnsi" w:cstheme="majorHAnsi"/>
                <w:color w:val="FFFFFF" w:themeColor="background1"/>
                <w:sz w:val="18"/>
                <w:szCs w:val="18"/>
              </w:rPr>
            </w:pPr>
          </w:p>
        </w:tc>
        <w:tc>
          <w:tcPr>
            <w:tcW w:w="6364" w:type="dxa"/>
            <w:noWrap/>
          </w:tcPr>
          <w:p w14:paraId="18EB0590" w14:textId="7D885C99"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PM 63: Transpozimi i Pakos për Energji të Pastër</w:t>
            </w:r>
          </w:p>
        </w:tc>
        <w:tc>
          <w:tcPr>
            <w:tcW w:w="533" w:type="dxa"/>
            <w:noWrap/>
          </w:tcPr>
          <w:p w14:paraId="0B411B31" w14:textId="733CE413"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0206B401" wp14:editId="56342AA8">
                  <wp:extent cx="184826" cy="184826"/>
                  <wp:effectExtent l="0" t="0" r="5715" b="5715"/>
                  <wp:docPr id="441265530" name="Grafik 13818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5BBCCAEA" w14:textId="2A5553E4"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268008AD" wp14:editId="18D9AD31">
                  <wp:extent cx="184826" cy="184826"/>
                  <wp:effectExtent l="0" t="0" r="5715" b="5715"/>
                  <wp:docPr id="2099931556" name="Grafik 13818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74C161F9" w14:textId="71D5EA31"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36865F40" wp14:editId="5C00E10E">
                  <wp:extent cx="184826" cy="184826"/>
                  <wp:effectExtent l="0" t="0" r="5715" b="5715"/>
                  <wp:docPr id="288533146" name="Grafik 13818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39D88E09" w14:textId="28C6C8E1"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6D151DB4" wp14:editId="5E21648C">
                  <wp:extent cx="184826" cy="184826"/>
                  <wp:effectExtent l="0" t="0" r="5715" b="5715"/>
                  <wp:docPr id="966211057" name="Grafik 13818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43CDBD6B"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5C1A2F0D"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extDirection w:val="btLr"/>
          </w:tcPr>
          <w:p w14:paraId="51CB8478" w14:textId="1158BB62" w:rsidR="009A7A8D" w:rsidRPr="00976D33" w:rsidRDefault="009A7A8D" w:rsidP="009A7A8D">
            <w:pPr>
              <w:spacing w:after="0"/>
              <w:ind w:left="113" w:right="113"/>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07A5CEC2" w14:textId="29B064CE"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64: Sigurimi i disponueshmërisë së kontratave dinamike të çmimit të energjisë elektrike në përputhje me Direktivën (BE) 2019/944 për stimuluar fleksibilitetin e kërkesës</w:t>
            </w:r>
          </w:p>
        </w:tc>
        <w:tc>
          <w:tcPr>
            <w:tcW w:w="533" w:type="dxa"/>
            <w:noWrap/>
            <w:vAlign w:val="center"/>
            <w:hideMark/>
          </w:tcPr>
          <w:p w14:paraId="7EF98FCF"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p>
        </w:tc>
        <w:tc>
          <w:tcPr>
            <w:tcW w:w="533" w:type="dxa"/>
            <w:noWrap/>
            <w:vAlign w:val="center"/>
            <w:hideMark/>
          </w:tcPr>
          <w:p w14:paraId="470F0643"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2670212B" w14:textId="4795A52F"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6EDCF4E1" wp14:editId="2DAB410B">
                  <wp:extent cx="184826" cy="184826"/>
                  <wp:effectExtent l="0" t="0" r="5715" b="5715"/>
                  <wp:docPr id="138184" name="Grafik 138184"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36B52685" w14:textId="00038FA2"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1DEB0CA7" wp14:editId="5D512B59">
                  <wp:extent cx="184826" cy="184826"/>
                  <wp:effectExtent l="0" t="0" r="5715" b="5715"/>
                  <wp:docPr id="138185" name="Grafik 138185"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5E93831F"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73C60B43"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textDirection w:val="btLr"/>
          </w:tcPr>
          <w:p w14:paraId="738BEA0C" w14:textId="6B37EAD0" w:rsidR="009A7A8D" w:rsidRPr="00976D33" w:rsidRDefault="009A7A8D" w:rsidP="009A7A8D">
            <w:pPr>
              <w:spacing w:after="0"/>
              <w:ind w:left="113" w:right="113"/>
              <w:contextualSpacing/>
              <w:jc w:val="center"/>
              <w:rPr>
                <w:rFonts w:asciiTheme="majorHAnsi" w:eastAsia="Times New Roman" w:hAnsiTheme="majorHAnsi" w:cstheme="majorHAnsi"/>
                <w:color w:val="FFFFFF" w:themeColor="background1"/>
                <w:sz w:val="18"/>
                <w:szCs w:val="18"/>
              </w:rPr>
            </w:pPr>
          </w:p>
        </w:tc>
        <w:tc>
          <w:tcPr>
            <w:tcW w:w="6364" w:type="dxa"/>
            <w:noWrap/>
            <w:hideMark/>
          </w:tcPr>
          <w:p w14:paraId="599ED6E1" w14:textId="08661DA1"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FFFFFF" w:themeColor="background1"/>
                <w:sz w:val="18"/>
                <w:szCs w:val="18"/>
              </w:rPr>
            </w:pPr>
            <w:r>
              <w:rPr>
                <w:sz w:val="18"/>
              </w:rPr>
              <w:t>PM 65: Zhvillimi i një përkufizimi ligjor për konsumatorët e cenueshëm dhe krijimi i një regjistri gjithëpërfshirës bazuar në këtë përkufizim.</w:t>
            </w:r>
          </w:p>
        </w:tc>
        <w:tc>
          <w:tcPr>
            <w:tcW w:w="533" w:type="dxa"/>
            <w:noWrap/>
            <w:vAlign w:val="center"/>
            <w:hideMark/>
          </w:tcPr>
          <w:p w14:paraId="3DA64DC8"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p>
        </w:tc>
        <w:tc>
          <w:tcPr>
            <w:tcW w:w="533" w:type="dxa"/>
            <w:noWrap/>
            <w:vAlign w:val="center"/>
            <w:hideMark/>
          </w:tcPr>
          <w:p w14:paraId="3002B58B"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hideMark/>
          </w:tcPr>
          <w:p w14:paraId="72FB5EB3" w14:textId="2FE3BB3C"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0DF8D684" wp14:editId="1E4A4FFC">
                  <wp:extent cx="184826" cy="184826"/>
                  <wp:effectExtent l="0" t="0" r="5715" b="5715"/>
                  <wp:docPr id="138186" name="Grafik 138186"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306CE4A0" w14:textId="4DE63B2D"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23EB3BB5" wp14:editId="125E5B55">
                  <wp:extent cx="184826" cy="184826"/>
                  <wp:effectExtent l="0" t="0" r="5715" b="5715"/>
                  <wp:docPr id="138187" name="Grafik 138187"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hideMark/>
          </w:tcPr>
          <w:p w14:paraId="5C8BA1AB"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7AF40A21"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extDirection w:val="btLr"/>
          </w:tcPr>
          <w:p w14:paraId="6E91B722" w14:textId="5C971975" w:rsidR="009A7A8D" w:rsidRPr="00976D33" w:rsidRDefault="009A7A8D" w:rsidP="009A7A8D">
            <w:pPr>
              <w:spacing w:after="0"/>
              <w:ind w:left="113" w:right="113"/>
              <w:contextualSpacing/>
              <w:jc w:val="center"/>
              <w:rPr>
                <w:rFonts w:asciiTheme="majorHAnsi" w:eastAsia="Times New Roman" w:hAnsiTheme="majorHAnsi" w:cstheme="majorHAnsi"/>
                <w:color w:val="FFFFFF" w:themeColor="background1"/>
                <w:sz w:val="18"/>
                <w:szCs w:val="18"/>
              </w:rPr>
            </w:pPr>
          </w:p>
        </w:tc>
        <w:tc>
          <w:tcPr>
            <w:tcW w:w="6364" w:type="dxa"/>
            <w:noWrap/>
          </w:tcPr>
          <w:p w14:paraId="672B8EC2" w14:textId="0B01DDDC"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PM 66: Zbatimi i skemave të reja mbështetëse të dedikuara për konsumatorët e cenueshëm të energjisë</w:t>
            </w:r>
          </w:p>
        </w:tc>
        <w:tc>
          <w:tcPr>
            <w:tcW w:w="533" w:type="dxa"/>
            <w:noWrap/>
            <w:vAlign w:val="center"/>
          </w:tcPr>
          <w:p w14:paraId="0D10889D"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p>
        </w:tc>
        <w:tc>
          <w:tcPr>
            <w:tcW w:w="533" w:type="dxa"/>
            <w:noWrap/>
            <w:vAlign w:val="center"/>
          </w:tcPr>
          <w:p w14:paraId="4E55A43C"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tcPr>
          <w:p w14:paraId="468A6A4A" w14:textId="2806F7C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2E5C433E" wp14:editId="248C72F9">
                  <wp:extent cx="184826" cy="184826"/>
                  <wp:effectExtent l="0" t="0" r="5715" b="5715"/>
                  <wp:docPr id="808750998" name="Grafik 808750998"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8"/>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471C6037" w14:textId="022C97D8"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03C9E142" wp14:editId="72D365C3">
                  <wp:extent cx="184826" cy="184826"/>
                  <wp:effectExtent l="0" t="0" r="5715" b="5715"/>
                  <wp:docPr id="1329694530" name="Grafik 1329694530"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8"/>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26A3F4D3"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r>
      <w:tr w:rsidR="009A7A8D" w:rsidRPr="00976D33" w14:paraId="30DCA881"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val="restart"/>
            <w:textDirection w:val="btLr"/>
          </w:tcPr>
          <w:p w14:paraId="0FAB09FF" w14:textId="77777777" w:rsidR="009A7A8D" w:rsidRPr="00976D33" w:rsidRDefault="009A7A8D" w:rsidP="009A7A8D">
            <w:pPr>
              <w:spacing w:after="0"/>
              <w:ind w:left="113" w:right="113"/>
              <w:contextualSpacing/>
              <w:jc w:val="center"/>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lastRenderedPageBreak/>
              <w:t>R&amp;I&amp;C</w:t>
            </w:r>
          </w:p>
        </w:tc>
        <w:tc>
          <w:tcPr>
            <w:tcW w:w="6364" w:type="dxa"/>
            <w:noWrap/>
          </w:tcPr>
          <w:p w14:paraId="2FAB2A78" w14:textId="278717D1"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FFFFFF" w:themeColor="background1"/>
                <w:sz w:val="18"/>
                <w:szCs w:val="18"/>
              </w:rPr>
            </w:pPr>
            <w:r>
              <w:rPr>
                <w:sz w:val="18"/>
              </w:rPr>
              <w:t>PM 67: Ndërtimi i kapaciteteve moderne hulumtuese dhe inovative</w:t>
            </w:r>
          </w:p>
        </w:tc>
        <w:tc>
          <w:tcPr>
            <w:tcW w:w="533" w:type="dxa"/>
            <w:noWrap/>
            <w:vAlign w:val="center"/>
          </w:tcPr>
          <w:p w14:paraId="54890539"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p>
        </w:tc>
        <w:tc>
          <w:tcPr>
            <w:tcW w:w="533" w:type="dxa"/>
            <w:noWrap/>
            <w:vAlign w:val="center"/>
          </w:tcPr>
          <w:p w14:paraId="279A4E6D"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p>
        </w:tc>
        <w:tc>
          <w:tcPr>
            <w:tcW w:w="533" w:type="dxa"/>
            <w:noWrap/>
            <w:vAlign w:val="center"/>
          </w:tcPr>
          <w:p w14:paraId="65BF6298"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p>
        </w:tc>
        <w:tc>
          <w:tcPr>
            <w:tcW w:w="533" w:type="dxa"/>
            <w:noWrap/>
            <w:vAlign w:val="center"/>
          </w:tcPr>
          <w:p w14:paraId="7A36477E"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p>
        </w:tc>
        <w:tc>
          <w:tcPr>
            <w:tcW w:w="533" w:type="dxa"/>
            <w:noWrap/>
            <w:vAlign w:val="center"/>
          </w:tcPr>
          <w:p w14:paraId="0F61AAA8" w14:textId="7A889A69"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48E297C8" wp14:editId="37E5AD92">
                  <wp:extent cx="184826" cy="184826"/>
                  <wp:effectExtent l="0" t="0" r="5715" b="5715"/>
                  <wp:docPr id="138188" name="Grafik 138188"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r>
      <w:tr w:rsidR="009A7A8D" w:rsidRPr="00976D33" w14:paraId="2C247803"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1C391C8E" w14:textId="77777777" w:rsidR="009A7A8D" w:rsidRPr="00976D33" w:rsidRDefault="009A7A8D" w:rsidP="009A7A8D">
            <w:pPr>
              <w:spacing w:after="0"/>
              <w:contextualSpacing/>
              <w:jc w:val="left"/>
              <w:rPr>
                <w:rFonts w:asciiTheme="majorHAnsi" w:eastAsia="Times New Roman" w:hAnsiTheme="majorHAnsi" w:cstheme="majorHAnsi"/>
                <w:color w:val="FFFFFF" w:themeColor="background1"/>
                <w:sz w:val="18"/>
                <w:szCs w:val="18"/>
              </w:rPr>
            </w:pPr>
          </w:p>
        </w:tc>
        <w:tc>
          <w:tcPr>
            <w:tcW w:w="6364" w:type="dxa"/>
            <w:noWrap/>
          </w:tcPr>
          <w:p w14:paraId="56093632" w14:textId="75A6EA41"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sz w:val="18"/>
                <w:szCs w:val="18"/>
              </w:rPr>
            </w:pPr>
            <w:r>
              <w:rPr>
                <w:sz w:val="18"/>
              </w:rPr>
              <w:t>PM 68: Studimi analitik lidhur me potencialin e hidrogjenit për dekarbonizimin e sektorit të industrisë dhe transportit</w:t>
            </w:r>
          </w:p>
        </w:tc>
        <w:tc>
          <w:tcPr>
            <w:tcW w:w="533" w:type="dxa"/>
            <w:noWrap/>
          </w:tcPr>
          <w:p w14:paraId="3A71085C" w14:textId="639DBB3A"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014092AF" wp14:editId="2547F27B">
                  <wp:extent cx="184826" cy="184826"/>
                  <wp:effectExtent l="0" t="0" r="5715" b="5715"/>
                  <wp:docPr id="138189" name="Grafik 13818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1D5A965A" w14:textId="2EBADF31"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542E2749" wp14:editId="09A5EF41">
                  <wp:extent cx="184826" cy="184826"/>
                  <wp:effectExtent l="0" t="0" r="5715" b="5715"/>
                  <wp:docPr id="138190" name="Grafik 138190"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3746C7DF" w14:textId="33FCF39B"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3DD85699" wp14:editId="2F7EF816">
                  <wp:extent cx="184826" cy="184826"/>
                  <wp:effectExtent l="0" t="0" r="5715" b="5715"/>
                  <wp:docPr id="138191" name="Grafik 138191"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316E934C" w14:textId="584BFD7F"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350028ED" wp14:editId="622EEA22">
                  <wp:extent cx="184826" cy="184826"/>
                  <wp:effectExtent l="0" t="0" r="5715" b="5715"/>
                  <wp:docPr id="138192" name="Grafik 13819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vAlign w:val="center"/>
          </w:tcPr>
          <w:p w14:paraId="7A15A9EA" w14:textId="785F6366"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noProof/>
                <w:color w:val="000000"/>
                <w:sz w:val="18"/>
                <w:lang w:val="en-US"/>
              </w:rPr>
              <w:drawing>
                <wp:inline distT="0" distB="0" distL="0" distR="0" wp14:anchorId="3CD8F29E" wp14:editId="69E07030">
                  <wp:extent cx="184826" cy="184826"/>
                  <wp:effectExtent l="0" t="0" r="5715" b="5715"/>
                  <wp:docPr id="138193" name="Grafik 138193"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r>
      <w:tr w:rsidR="009A7A8D" w:rsidRPr="00976D33" w14:paraId="23DDD37B" w14:textId="77777777" w:rsidTr="00024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0E1CC443" w14:textId="77777777" w:rsidR="009A7A8D" w:rsidRPr="00976D33" w:rsidRDefault="009A7A8D" w:rsidP="009A7A8D">
            <w:pPr>
              <w:spacing w:after="0"/>
              <w:contextualSpacing/>
              <w:jc w:val="left"/>
              <w:rPr>
                <w:rFonts w:asciiTheme="majorHAnsi" w:eastAsia="Times New Roman" w:hAnsiTheme="majorHAnsi" w:cstheme="majorHAnsi"/>
                <w:color w:val="FFFFFF" w:themeColor="background1"/>
                <w:sz w:val="18"/>
                <w:szCs w:val="18"/>
              </w:rPr>
            </w:pPr>
          </w:p>
        </w:tc>
        <w:tc>
          <w:tcPr>
            <w:tcW w:w="6364" w:type="dxa"/>
            <w:noWrap/>
          </w:tcPr>
          <w:p w14:paraId="00A20886" w14:textId="00166BAA" w:rsidR="009A7A8D" w:rsidRPr="00976D33" w:rsidRDefault="009A7A8D" w:rsidP="009A7A8D">
            <w:pPr>
              <w:spacing w:after="0"/>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FFFFFF" w:themeColor="background1"/>
                <w:sz w:val="18"/>
                <w:szCs w:val="18"/>
              </w:rPr>
            </w:pPr>
            <w:r>
              <w:rPr>
                <w:sz w:val="18"/>
              </w:rPr>
              <w:t>PM 69: Edukim dhe aftësimi i punëtorëve të kualifikuar në fushën e teknologjive të energjisë së qëndrueshme</w:t>
            </w:r>
          </w:p>
        </w:tc>
        <w:tc>
          <w:tcPr>
            <w:tcW w:w="533" w:type="dxa"/>
            <w:noWrap/>
          </w:tcPr>
          <w:p w14:paraId="632DA969" w14:textId="1D2EC60D"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4A38A5F9" wp14:editId="7A442ABA">
                  <wp:extent cx="184826" cy="184826"/>
                  <wp:effectExtent l="0" t="0" r="5715" b="5715"/>
                  <wp:docPr id="2010176746" name="Grafik 2010176746"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69C90BD7"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p>
        </w:tc>
        <w:tc>
          <w:tcPr>
            <w:tcW w:w="533" w:type="dxa"/>
            <w:noWrap/>
          </w:tcPr>
          <w:p w14:paraId="60D83595"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p>
        </w:tc>
        <w:tc>
          <w:tcPr>
            <w:tcW w:w="533" w:type="dxa"/>
            <w:noWrap/>
          </w:tcPr>
          <w:p w14:paraId="618C8658" w14:textId="77777777"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p>
        </w:tc>
        <w:tc>
          <w:tcPr>
            <w:tcW w:w="533" w:type="dxa"/>
            <w:noWrap/>
            <w:vAlign w:val="center"/>
          </w:tcPr>
          <w:p w14:paraId="670AC96A" w14:textId="188E715F" w:rsidR="009A7A8D" w:rsidRPr="00976D33" w:rsidRDefault="009A7A8D" w:rsidP="009A7A8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5DCFC607" wp14:editId="06ECED43">
                  <wp:extent cx="184826" cy="184826"/>
                  <wp:effectExtent l="0" t="0" r="5715" b="5715"/>
                  <wp:docPr id="91864169" name="Grafik 9186416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r>
      <w:tr w:rsidR="009A7A8D" w:rsidRPr="00976D33" w14:paraId="2EF4AF7D" w14:textId="77777777" w:rsidTr="00024D75">
        <w:trPr>
          <w:trHeight w:val="300"/>
        </w:trPr>
        <w:tc>
          <w:tcPr>
            <w:cnfStyle w:val="001000000000" w:firstRow="0" w:lastRow="0" w:firstColumn="1" w:lastColumn="0" w:oddVBand="0" w:evenVBand="0" w:oddHBand="0" w:evenHBand="0" w:firstRowFirstColumn="0" w:firstRowLastColumn="0" w:lastRowFirstColumn="0" w:lastRowLastColumn="0"/>
            <w:tcW w:w="535" w:type="dxa"/>
            <w:vMerge/>
          </w:tcPr>
          <w:p w14:paraId="1006E5B6" w14:textId="77777777" w:rsidR="009A7A8D" w:rsidRPr="00976D33" w:rsidRDefault="009A7A8D" w:rsidP="009A7A8D">
            <w:pPr>
              <w:spacing w:after="0"/>
              <w:contextualSpacing/>
              <w:jc w:val="left"/>
              <w:rPr>
                <w:rFonts w:asciiTheme="majorHAnsi" w:eastAsia="Times New Roman" w:hAnsiTheme="majorHAnsi" w:cstheme="majorHAnsi"/>
                <w:color w:val="FFFFFF" w:themeColor="background1"/>
                <w:sz w:val="18"/>
                <w:szCs w:val="18"/>
              </w:rPr>
            </w:pPr>
          </w:p>
        </w:tc>
        <w:tc>
          <w:tcPr>
            <w:tcW w:w="6364" w:type="dxa"/>
            <w:noWrap/>
          </w:tcPr>
          <w:p w14:paraId="73A72A4A" w14:textId="0DBA25F5" w:rsidR="009A7A8D" w:rsidRPr="00976D33" w:rsidRDefault="009A7A8D" w:rsidP="009A7A8D">
            <w:pPr>
              <w:spacing w:after="0"/>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sz w:val="18"/>
                <w:szCs w:val="18"/>
              </w:rPr>
            </w:pPr>
            <w:r>
              <w:rPr>
                <w:sz w:val="18"/>
              </w:rPr>
              <w:t>PM 70: Krijimi i aleancave industriale për të nxitur inovacionin</w:t>
            </w:r>
          </w:p>
        </w:tc>
        <w:tc>
          <w:tcPr>
            <w:tcW w:w="533" w:type="dxa"/>
            <w:noWrap/>
          </w:tcPr>
          <w:p w14:paraId="6F0E5B68" w14:textId="02E1A972"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2A35C77F" wp14:editId="6C332EFF">
                  <wp:extent cx="184826" cy="184826"/>
                  <wp:effectExtent l="0" t="0" r="5715" b="5715"/>
                  <wp:docPr id="1763108629" name="Grafik 176310862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c>
          <w:tcPr>
            <w:tcW w:w="533" w:type="dxa"/>
            <w:noWrap/>
          </w:tcPr>
          <w:p w14:paraId="14D58ECF"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p>
        </w:tc>
        <w:tc>
          <w:tcPr>
            <w:tcW w:w="533" w:type="dxa"/>
            <w:noWrap/>
          </w:tcPr>
          <w:p w14:paraId="5FD44F93"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p>
        </w:tc>
        <w:tc>
          <w:tcPr>
            <w:tcW w:w="533" w:type="dxa"/>
            <w:noWrap/>
          </w:tcPr>
          <w:p w14:paraId="6EFD92F7" w14:textId="77777777"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p>
        </w:tc>
        <w:tc>
          <w:tcPr>
            <w:tcW w:w="533" w:type="dxa"/>
            <w:noWrap/>
            <w:vAlign w:val="center"/>
          </w:tcPr>
          <w:p w14:paraId="10FC0266" w14:textId="77F2F826" w:rsidR="009A7A8D" w:rsidRPr="00976D33" w:rsidRDefault="009A7A8D" w:rsidP="009A7A8D">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noProof/>
                <w:color w:val="000000"/>
                <w:sz w:val="18"/>
                <w:lang w:val="en-US"/>
              </w:rPr>
              <w:drawing>
                <wp:inline distT="0" distB="0" distL="0" distR="0" wp14:anchorId="36CC53C8" wp14:editId="57B6DE5F">
                  <wp:extent cx="184826" cy="184826"/>
                  <wp:effectExtent l="0" t="0" r="5715" b="5715"/>
                  <wp:docPr id="199347020" name="Grafik 199347020"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up sign"/>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186192" cy="186192"/>
                          </a:xfrm>
                          <a:prstGeom prst="rect">
                            <a:avLst/>
                          </a:prstGeom>
                        </pic:spPr>
                      </pic:pic>
                    </a:graphicData>
                  </a:graphic>
                </wp:inline>
              </w:drawing>
            </w:r>
          </w:p>
        </w:tc>
      </w:tr>
    </w:tbl>
    <w:p w14:paraId="73C2B2A5" w14:textId="77777777" w:rsidR="00B13BFF" w:rsidRPr="00976D33" w:rsidRDefault="00B13BFF" w:rsidP="00CC47F0">
      <w:pPr>
        <w:pStyle w:val="Caption"/>
      </w:pPr>
      <w:bookmarkStart w:id="10" w:name="_Ref71271017"/>
      <w:bookmarkStart w:id="11" w:name="_Toc46216309"/>
    </w:p>
    <w:p w14:paraId="385763EF" w14:textId="3070E28E" w:rsidR="0027589E" w:rsidRPr="00976D33" w:rsidRDefault="00CC47F0" w:rsidP="00CC47F0">
      <w:pPr>
        <w:pStyle w:val="Caption"/>
      </w:pPr>
      <w:bookmarkStart w:id="12" w:name="_Toc181867295"/>
      <w:r>
        <w:t xml:space="preserve">Tabela </w:t>
      </w:r>
      <w:r w:rsidRPr="00976D33">
        <w:fldChar w:fldCharType="begin"/>
      </w:r>
      <w:r w:rsidRPr="00976D33">
        <w:instrText>SEQ Table \* ARABIC</w:instrText>
      </w:r>
      <w:r w:rsidRPr="00976D33">
        <w:fldChar w:fldCharType="separate"/>
      </w:r>
      <w:r w:rsidR="003B7FFA">
        <w:rPr>
          <w:noProof/>
        </w:rPr>
        <w:t>2</w:t>
      </w:r>
      <w:r w:rsidRPr="00976D33">
        <w:fldChar w:fldCharType="end"/>
      </w:r>
      <w:bookmarkEnd w:id="10"/>
      <w:r>
        <w:t>. Caqet dhe objektivat kryesore</w:t>
      </w:r>
      <w:bookmarkEnd w:id="11"/>
      <w:bookmarkEnd w:id="12"/>
    </w:p>
    <w:tbl>
      <w:tblPr>
        <w:tblStyle w:val="GridTable5Dark-Accent1"/>
        <w:tblW w:w="5000" w:type="pct"/>
        <w:tblLook w:val="0000" w:firstRow="0" w:lastRow="0" w:firstColumn="0" w:lastColumn="0" w:noHBand="0" w:noVBand="0"/>
      </w:tblPr>
      <w:tblGrid>
        <w:gridCol w:w="1789"/>
        <w:gridCol w:w="7775"/>
      </w:tblGrid>
      <w:tr w:rsidR="00CC47F0" w:rsidRPr="00976D33" w14:paraId="1C5D1D37" w14:textId="77777777" w:rsidTr="00CC47F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 w:type="pct"/>
            <w:shd w:val="clear" w:color="auto" w:fill="024F75" w:themeFill="accent1"/>
            <w:vAlign w:val="center"/>
          </w:tcPr>
          <w:p w14:paraId="0BA19946" w14:textId="77777777" w:rsidR="00CC47F0" w:rsidRPr="00976D33" w:rsidRDefault="00CC47F0" w:rsidP="00CC47F0">
            <w:pPr>
              <w:spacing w:after="0"/>
              <w:contextualSpacing/>
              <w:jc w:val="left"/>
              <w:rPr>
                <w:rFonts w:asciiTheme="majorHAnsi" w:hAnsiTheme="majorHAnsi" w:cstheme="majorHAnsi"/>
                <w:b/>
                <w:color w:val="FFFFFF" w:themeColor="background1"/>
                <w:sz w:val="18"/>
                <w:szCs w:val="18"/>
              </w:rPr>
            </w:pPr>
          </w:p>
          <w:p w14:paraId="5181D6EA" w14:textId="77777777" w:rsidR="00CC47F0" w:rsidRPr="00976D33" w:rsidRDefault="00CC47F0" w:rsidP="00CC47F0">
            <w:pPr>
              <w:spacing w:after="0"/>
              <w:contextualSpacing/>
              <w:jc w:val="left"/>
              <w:rPr>
                <w:rFonts w:asciiTheme="majorHAnsi" w:hAnsiTheme="majorHAnsi" w:cstheme="majorHAnsi"/>
                <w:b/>
                <w:color w:val="FFFFFF" w:themeColor="background1"/>
                <w:sz w:val="18"/>
                <w:szCs w:val="18"/>
              </w:rPr>
            </w:pPr>
          </w:p>
        </w:tc>
        <w:tc>
          <w:tcPr>
            <w:tcW w:w="4136" w:type="pct"/>
            <w:shd w:val="clear" w:color="auto" w:fill="024F75" w:themeFill="accent1"/>
          </w:tcPr>
          <w:p w14:paraId="7D1EA998" w14:textId="77777777" w:rsidR="00CC47F0" w:rsidRPr="00976D33" w:rsidRDefault="00CC47F0" w:rsidP="00CC47F0">
            <w:pPr>
              <w:spacing w:after="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FFFFFF" w:themeColor="background1"/>
                <w:sz w:val="18"/>
                <w:szCs w:val="18"/>
              </w:rPr>
            </w:pPr>
            <w:r>
              <w:rPr>
                <w:rFonts w:asciiTheme="majorHAnsi" w:hAnsiTheme="majorHAnsi"/>
                <w:b/>
                <w:color w:val="FFFFFF" w:themeColor="background1"/>
                <w:sz w:val="18"/>
              </w:rPr>
              <w:t>Objektivi/caku kryesor (në vitin 2030)</w:t>
            </w:r>
          </w:p>
        </w:tc>
      </w:tr>
      <w:tr w:rsidR="00CC47F0" w:rsidRPr="00976D33" w14:paraId="673A3EF6" w14:textId="77777777" w:rsidTr="00CC47F0">
        <w:trPr>
          <w:trHeight w:val="331"/>
        </w:trPr>
        <w:tc>
          <w:tcPr>
            <w:cnfStyle w:val="000010000000" w:firstRow="0" w:lastRow="0" w:firstColumn="0" w:lastColumn="0" w:oddVBand="1" w:evenVBand="0" w:oddHBand="0" w:evenHBand="0" w:firstRowFirstColumn="0" w:firstRowLastColumn="0" w:lastRowFirstColumn="0" w:lastRowLastColumn="0"/>
            <w:tcW w:w="864" w:type="pct"/>
            <w:vMerge w:val="restart"/>
            <w:shd w:val="clear" w:color="auto" w:fill="024F75" w:themeFill="accent1"/>
            <w:vAlign w:val="center"/>
          </w:tcPr>
          <w:p w14:paraId="3B367729" w14:textId="18B0F931" w:rsidR="00CC47F0" w:rsidRPr="00976D33" w:rsidRDefault="000C7E97" w:rsidP="00CC47F0">
            <w:pPr>
              <w:spacing w:after="0"/>
              <w:ind w:left="2"/>
              <w:contextualSpacing/>
              <w:jc w:val="left"/>
              <w:rPr>
                <w:rFonts w:asciiTheme="majorHAnsi" w:eastAsia="Times New Roman" w:hAnsiTheme="majorHAnsi" w:cstheme="majorHAnsi"/>
                <w:b/>
                <w:bCs/>
                <w:color w:val="FFFFFF" w:themeColor="background1"/>
                <w:sz w:val="18"/>
                <w:szCs w:val="18"/>
              </w:rPr>
            </w:pPr>
            <w:r>
              <w:rPr>
                <w:rFonts w:asciiTheme="majorHAnsi" w:hAnsiTheme="majorHAnsi"/>
                <w:b/>
                <w:color w:val="FFFFFF" w:themeColor="background1"/>
                <w:sz w:val="18"/>
              </w:rPr>
              <w:t>Dekarbonizimi</w:t>
            </w:r>
          </w:p>
          <w:p w14:paraId="338631DE" w14:textId="77777777" w:rsidR="00CC47F0" w:rsidRPr="00976D33" w:rsidRDefault="00CC47F0" w:rsidP="00CC47F0">
            <w:pPr>
              <w:spacing w:after="0"/>
              <w:ind w:left="2"/>
              <w:contextualSpacing/>
              <w:jc w:val="left"/>
              <w:rPr>
                <w:rFonts w:asciiTheme="majorHAnsi" w:eastAsia="Times New Roman" w:hAnsiTheme="majorHAnsi" w:cstheme="majorHAnsi"/>
                <w:b/>
                <w:bCs/>
                <w:color w:val="FFFFFF" w:themeColor="background1"/>
                <w:sz w:val="18"/>
                <w:szCs w:val="18"/>
              </w:rPr>
            </w:pPr>
            <w:r>
              <w:rPr>
                <w:rFonts w:asciiTheme="majorHAnsi" w:hAnsiTheme="majorHAnsi"/>
                <w:b/>
                <w:color w:val="FFFFFF" w:themeColor="background1"/>
                <w:sz w:val="18"/>
              </w:rPr>
              <w:t>(Emetimet dhe heqjet e GS)*</w:t>
            </w:r>
          </w:p>
        </w:tc>
        <w:tc>
          <w:tcPr>
            <w:tcW w:w="4136" w:type="pct"/>
          </w:tcPr>
          <w:p w14:paraId="3E33E08C" w14:textId="77777777" w:rsidR="00CC47F0" w:rsidRPr="00976D33" w:rsidRDefault="009E4DB4" w:rsidP="00CC47F0">
            <w:pPr>
              <w:spacing w:after="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Pr>
                <w:rFonts w:asciiTheme="majorHAnsi" w:hAnsiTheme="majorHAnsi"/>
                <w:b/>
                <w:sz w:val="18"/>
              </w:rPr>
              <w:t xml:space="preserve">16.3% reduktim i emetimeve të GS-ve në krahasim me nivelin e vitit 2016 </w:t>
            </w:r>
          </w:p>
        </w:tc>
      </w:tr>
      <w:tr w:rsidR="00CC47F0" w:rsidRPr="00976D33" w14:paraId="6ADC06DF" w14:textId="77777777" w:rsidTr="49F6BC57">
        <w:trPr>
          <w:cnfStyle w:val="000000100000" w:firstRow="0" w:lastRow="0" w:firstColumn="0" w:lastColumn="0" w:oddVBand="0" w:evenVBand="0" w:oddHBand="1" w:evenHBand="0" w:firstRowFirstColumn="0" w:firstRowLastColumn="0" w:lastRowFirstColumn="0" w:lastRowLastColumn="0"/>
          <w:trHeight w:val="331"/>
        </w:trPr>
        <w:tc>
          <w:tcPr>
            <w:cnfStyle w:val="000010000000" w:firstRow="0" w:lastRow="0" w:firstColumn="0" w:lastColumn="0" w:oddVBand="1" w:evenVBand="0" w:oddHBand="0" w:evenHBand="0" w:firstRowFirstColumn="0" w:firstRowLastColumn="0" w:lastRowFirstColumn="0" w:lastRowLastColumn="0"/>
            <w:tcW w:w="864" w:type="pct"/>
            <w:vMerge/>
            <w:vAlign w:val="center"/>
          </w:tcPr>
          <w:p w14:paraId="408E56FB" w14:textId="77777777" w:rsidR="00CC47F0" w:rsidRPr="00976D33" w:rsidRDefault="00CC47F0" w:rsidP="00CC47F0">
            <w:pPr>
              <w:spacing w:after="0"/>
              <w:ind w:left="2"/>
              <w:contextualSpacing/>
              <w:jc w:val="left"/>
              <w:rPr>
                <w:rFonts w:asciiTheme="majorHAnsi" w:eastAsia="Times New Roman" w:hAnsiTheme="majorHAnsi" w:cstheme="majorHAnsi"/>
                <w:b/>
                <w:bCs/>
                <w:color w:val="FFFFFF" w:themeColor="background1"/>
                <w:sz w:val="18"/>
                <w:szCs w:val="18"/>
              </w:rPr>
            </w:pPr>
          </w:p>
        </w:tc>
        <w:tc>
          <w:tcPr>
            <w:tcW w:w="4136" w:type="pct"/>
          </w:tcPr>
          <w:p w14:paraId="2FABBF70" w14:textId="77777777" w:rsidR="00CC47F0" w:rsidRPr="00976D33" w:rsidRDefault="009E4DB4" w:rsidP="00CC47F0">
            <w:pPr>
              <w:spacing w:after="0"/>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Pr>
                <w:rFonts w:asciiTheme="majorHAnsi" w:hAnsiTheme="majorHAnsi"/>
                <w:b/>
                <w:sz w:val="18"/>
              </w:rPr>
              <w:t>8.95 Mt CO2-eq</w:t>
            </w:r>
          </w:p>
        </w:tc>
      </w:tr>
      <w:tr w:rsidR="00CC47F0" w:rsidRPr="00976D33" w14:paraId="77DD478D" w14:textId="77777777" w:rsidTr="00CC47F0">
        <w:trPr>
          <w:trHeight w:val="331"/>
        </w:trPr>
        <w:tc>
          <w:tcPr>
            <w:cnfStyle w:val="000010000000" w:firstRow="0" w:lastRow="0" w:firstColumn="0" w:lastColumn="0" w:oddVBand="1" w:evenVBand="0" w:oddHBand="0" w:evenHBand="0" w:firstRowFirstColumn="0" w:firstRowLastColumn="0" w:lastRowFirstColumn="0" w:lastRowLastColumn="0"/>
            <w:tcW w:w="864" w:type="pct"/>
            <w:vMerge w:val="restart"/>
            <w:shd w:val="clear" w:color="auto" w:fill="024F75" w:themeFill="accent1"/>
            <w:vAlign w:val="center"/>
          </w:tcPr>
          <w:p w14:paraId="16009B64" w14:textId="5854884B" w:rsidR="00CC47F0" w:rsidRPr="00976D33" w:rsidRDefault="000C7E97" w:rsidP="00CC47F0">
            <w:pPr>
              <w:spacing w:after="0"/>
              <w:ind w:left="2"/>
              <w:contextualSpacing/>
              <w:jc w:val="left"/>
              <w:rPr>
                <w:rFonts w:asciiTheme="majorHAnsi" w:eastAsia="Times New Roman" w:hAnsiTheme="majorHAnsi" w:cstheme="majorHAnsi"/>
                <w:b/>
                <w:bCs/>
                <w:color w:val="FFFFFF" w:themeColor="background1"/>
                <w:sz w:val="18"/>
                <w:szCs w:val="18"/>
              </w:rPr>
            </w:pPr>
            <w:r>
              <w:rPr>
                <w:rFonts w:asciiTheme="majorHAnsi" w:hAnsiTheme="majorHAnsi"/>
                <w:b/>
                <w:color w:val="FFFFFF" w:themeColor="background1"/>
                <w:sz w:val="18"/>
              </w:rPr>
              <w:t>Dekarbonizimi</w:t>
            </w:r>
          </w:p>
          <w:p w14:paraId="305600E7" w14:textId="77777777" w:rsidR="00CC47F0" w:rsidRPr="00976D33" w:rsidRDefault="00CC47F0" w:rsidP="00CC47F0">
            <w:pPr>
              <w:spacing w:after="0"/>
              <w:ind w:left="2"/>
              <w:contextualSpacing/>
              <w:jc w:val="left"/>
              <w:rPr>
                <w:rFonts w:asciiTheme="majorHAnsi" w:eastAsia="Times New Roman" w:hAnsiTheme="majorHAnsi" w:cstheme="majorHAnsi"/>
                <w:b/>
                <w:bCs/>
                <w:color w:val="FFFFFF" w:themeColor="background1"/>
                <w:sz w:val="18"/>
                <w:szCs w:val="18"/>
              </w:rPr>
            </w:pPr>
            <w:r>
              <w:rPr>
                <w:rFonts w:asciiTheme="majorHAnsi" w:hAnsiTheme="majorHAnsi"/>
                <w:b/>
                <w:color w:val="FFFFFF" w:themeColor="background1"/>
                <w:sz w:val="18"/>
              </w:rPr>
              <w:t>(Energjia e ripërtëritshme)</w:t>
            </w:r>
          </w:p>
        </w:tc>
        <w:tc>
          <w:tcPr>
            <w:tcW w:w="4136" w:type="pct"/>
          </w:tcPr>
          <w:p w14:paraId="6E6D72E2" w14:textId="77777777" w:rsidR="00CC47F0" w:rsidRPr="00976D33" w:rsidRDefault="001D5FB0" w:rsidP="00CC47F0">
            <w:pPr>
              <w:spacing w:after="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sz w:val="18"/>
                <w:szCs w:val="18"/>
              </w:rPr>
            </w:pPr>
            <w:r>
              <w:rPr>
                <w:rFonts w:asciiTheme="majorHAnsi" w:hAnsiTheme="majorHAnsi"/>
                <w:b/>
                <w:sz w:val="18"/>
              </w:rPr>
              <w:t>32% pjesëmarrja e BRE-ve në bruto konsumin final të energjisë; për të arritur këtë, nevojiten pjesëmarrjet e mëposhtme të BRE-ve:</w:t>
            </w:r>
          </w:p>
        </w:tc>
      </w:tr>
      <w:tr w:rsidR="009E4DB4" w:rsidRPr="00976D33" w14:paraId="1B94BCEF" w14:textId="77777777" w:rsidTr="49F6BC57">
        <w:trPr>
          <w:cnfStyle w:val="000000100000" w:firstRow="0" w:lastRow="0" w:firstColumn="0" w:lastColumn="0" w:oddVBand="0" w:evenVBand="0" w:oddHBand="1" w:evenHBand="0" w:firstRowFirstColumn="0" w:firstRowLastColumn="0" w:lastRowFirstColumn="0" w:lastRowLastColumn="0"/>
          <w:trHeight w:val="331"/>
        </w:trPr>
        <w:tc>
          <w:tcPr>
            <w:cnfStyle w:val="000010000000" w:firstRow="0" w:lastRow="0" w:firstColumn="0" w:lastColumn="0" w:oddVBand="1" w:evenVBand="0" w:oddHBand="0" w:evenHBand="0" w:firstRowFirstColumn="0" w:firstRowLastColumn="0" w:lastRowFirstColumn="0" w:lastRowLastColumn="0"/>
            <w:tcW w:w="864" w:type="pct"/>
            <w:vMerge/>
            <w:vAlign w:val="center"/>
          </w:tcPr>
          <w:p w14:paraId="7F0EEB5F" w14:textId="77777777" w:rsidR="009E4DB4" w:rsidRPr="00976D33" w:rsidRDefault="009E4DB4" w:rsidP="009E4DB4">
            <w:pPr>
              <w:spacing w:after="0"/>
              <w:ind w:left="2"/>
              <w:contextualSpacing/>
              <w:jc w:val="left"/>
              <w:rPr>
                <w:rFonts w:asciiTheme="majorHAnsi" w:eastAsia="Times New Roman" w:hAnsiTheme="majorHAnsi" w:cstheme="majorHAnsi"/>
                <w:b/>
                <w:bCs/>
                <w:color w:val="FFFFFF" w:themeColor="background1"/>
                <w:sz w:val="18"/>
                <w:szCs w:val="18"/>
              </w:rPr>
            </w:pPr>
          </w:p>
        </w:tc>
        <w:tc>
          <w:tcPr>
            <w:tcW w:w="4136" w:type="pct"/>
          </w:tcPr>
          <w:p w14:paraId="7A68A527" w14:textId="5E3B8237" w:rsidR="009E4DB4" w:rsidRPr="00976D33" w:rsidRDefault="00B873B4" w:rsidP="009E4DB4">
            <w:pPr>
              <w:spacing w:after="0"/>
              <w:ind w:left="720"/>
              <w:contextualSpacing/>
              <w:cnfStyle w:val="000000100000" w:firstRow="0" w:lastRow="0" w:firstColumn="0" w:lastColumn="0" w:oddVBand="0" w:evenVBand="0" w:oddHBand="1" w:evenHBand="0" w:firstRowFirstColumn="0" w:firstRowLastColumn="0" w:lastRowFirstColumn="0" w:lastRowLastColumn="0"/>
              <w:rPr>
                <w:rStyle w:val="fontstyle01"/>
                <w:rFonts w:asciiTheme="minorHAnsi" w:hAnsiTheme="minorHAnsi"/>
                <w:sz w:val="18"/>
                <w:szCs w:val="18"/>
              </w:rPr>
            </w:pPr>
            <w:r>
              <w:rPr>
                <w:rStyle w:val="fontstyle01"/>
                <w:rFonts w:asciiTheme="minorHAnsi" w:hAnsiTheme="minorHAnsi"/>
                <w:b/>
                <w:sz w:val="18"/>
              </w:rPr>
              <w:t>50.5% në ngrohje dhe ftohje,</w:t>
            </w:r>
          </w:p>
        </w:tc>
      </w:tr>
      <w:tr w:rsidR="009E4DB4" w:rsidRPr="00976D33" w14:paraId="557ECAB0" w14:textId="77777777" w:rsidTr="49F6BC57">
        <w:trPr>
          <w:trHeight w:val="331"/>
        </w:trPr>
        <w:tc>
          <w:tcPr>
            <w:cnfStyle w:val="000010000000" w:firstRow="0" w:lastRow="0" w:firstColumn="0" w:lastColumn="0" w:oddVBand="1" w:evenVBand="0" w:oddHBand="0" w:evenHBand="0" w:firstRowFirstColumn="0" w:firstRowLastColumn="0" w:lastRowFirstColumn="0" w:lastRowLastColumn="0"/>
            <w:tcW w:w="864" w:type="pct"/>
            <w:vMerge/>
            <w:vAlign w:val="center"/>
          </w:tcPr>
          <w:p w14:paraId="3420E8BA" w14:textId="77777777" w:rsidR="009E4DB4" w:rsidRPr="00976D33" w:rsidRDefault="009E4DB4" w:rsidP="009E4DB4">
            <w:pPr>
              <w:spacing w:after="0"/>
              <w:ind w:left="2"/>
              <w:contextualSpacing/>
              <w:jc w:val="left"/>
              <w:rPr>
                <w:rFonts w:asciiTheme="majorHAnsi" w:eastAsia="Times New Roman" w:hAnsiTheme="majorHAnsi" w:cstheme="majorHAnsi"/>
                <w:b/>
                <w:bCs/>
                <w:color w:val="FFFFFF" w:themeColor="background1"/>
                <w:sz w:val="18"/>
                <w:szCs w:val="18"/>
              </w:rPr>
            </w:pPr>
          </w:p>
        </w:tc>
        <w:tc>
          <w:tcPr>
            <w:tcW w:w="4136" w:type="pct"/>
          </w:tcPr>
          <w:p w14:paraId="6D8D017B" w14:textId="0DDB45F6" w:rsidR="009E4DB4" w:rsidRPr="00976D33" w:rsidRDefault="00516514" w:rsidP="003529AF">
            <w:pPr>
              <w:spacing w:after="0"/>
              <w:ind w:left="720"/>
              <w:contextualSpacing/>
              <w:cnfStyle w:val="000000000000" w:firstRow="0" w:lastRow="0" w:firstColumn="0" w:lastColumn="0" w:oddVBand="0" w:evenVBand="0" w:oddHBand="0" w:evenHBand="0" w:firstRowFirstColumn="0" w:firstRowLastColumn="0" w:lastRowFirstColumn="0" w:lastRowLastColumn="0"/>
              <w:rPr>
                <w:rStyle w:val="fontstyle01"/>
                <w:rFonts w:asciiTheme="minorHAnsi" w:hAnsiTheme="minorHAnsi"/>
                <w:sz w:val="18"/>
                <w:szCs w:val="18"/>
              </w:rPr>
            </w:pPr>
            <w:r>
              <w:rPr>
                <w:rStyle w:val="fontstyle01"/>
                <w:rFonts w:asciiTheme="minorHAnsi" w:hAnsiTheme="minorHAnsi"/>
                <w:b/>
                <w:sz w:val="18"/>
              </w:rPr>
              <w:t>51 në energji elektrike,</w:t>
            </w:r>
          </w:p>
        </w:tc>
      </w:tr>
      <w:tr w:rsidR="009E4DB4" w:rsidRPr="00976D33" w14:paraId="7A8AF5D4" w14:textId="77777777" w:rsidTr="49F6BC57">
        <w:trPr>
          <w:cnfStyle w:val="000000100000" w:firstRow="0" w:lastRow="0" w:firstColumn="0" w:lastColumn="0" w:oddVBand="0" w:evenVBand="0" w:oddHBand="1" w:evenHBand="0" w:firstRowFirstColumn="0" w:firstRowLastColumn="0" w:lastRowFirstColumn="0" w:lastRowLastColumn="0"/>
          <w:trHeight w:val="331"/>
        </w:trPr>
        <w:tc>
          <w:tcPr>
            <w:cnfStyle w:val="000010000000" w:firstRow="0" w:lastRow="0" w:firstColumn="0" w:lastColumn="0" w:oddVBand="1" w:evenVBand="0" w:oddHBand="0" w:evenHBand="0" w:firstRowFirstColumn="0" w:firstRowLastColumn="0" w:lastRowFirstColumn="0" w:lastRowLastColumn="0"/>
            <w:tcW w:w="864" w:type="pct"/>
            <w:vMerge/>
            <w:vAlign w:val="center"/>
          </w:tcPr>
          <w:p w14:paraId="7C329747" w14:textId="77777777" w:rsidR="009E4DB4" w:rsidRPr="00976D33" w:rsidRDefault="009E4DB4" w:rsidP="009E4DB4">
            <w:pPr>
              <w:spacing w:after="0"/>
              <w:ind w:left="2"/>
              <w:contextualSpacing/>
              <w:jc w:val="left"/>
              <w:rPr>
                <w:rFonts w:asciiTheme="majorHAnsi" w:eastAsia="Times New Roman" w:hAnsiTheme="majorHAnsi" w:cstheme="majorHAnsi"/>
                <w:b/>
                <w:bCs/>
                <w:color w:val="FFFFFF" w:themeColor="background1"/>
                <w:sz w:val="18"/>
                <w:szCs w:val="18"/>
              </w:rPr>
            </w:pPr>
          </w:p>
        </w:tc>
        <w:tc>
          <w:tcPr>
            <w:tcW w:w="4136" w:type="pct"/>
          </w:tcPr>
          <w:p w14:paraId="3BE27ABA" w14:textId="22FC46D0" w:rsidR="009E4DB4" w:rsidRPr="00976D33" w:rsidRDefault="00C4494D" w:rsidP="009E4DB4">
            <w:pPr>
              <w:spacing w:after="0"/>
              <w:ind w:left="720"/>
              <w:contextualSpacing/>
              <w:cnfStyle w:val="000000100000" w:firstRow="0" w:lastRow="0" w:firstColumn="0" w:lastColumn="0" w:oddVBand="0" w:evenVBand="0" w:oddHBand="1" w:evenHBand="0" w:firstRowFirstColumn="0" w:firstRowLastColumn="0" w:lastRowFirstColumn="0" w:lastRowLastColumn="0"/>
              <w:rPr>
                <w:rStyle w:val="fontstyle01"/>
                <w:rFonts w:asciiTheme="minorHAnsi" w:hAnsiTheme="minorHAnsi"/>
                <w:sz w:val="18"/>
                <w:szCs w:val="18"/>
              </w:rPr>
            </w:pPr>
            <w:r>
              <w:rPr>
                <w:rStyle w:val="fontstyle01"/>
                <w:rFonts w:asciiTheme="minorHAnsi" w:hAnsiTheme="minorHAnsi"/>
                <w:b/>
                <w:sz w:val="18"/>
              </w:rPr>
              <w:t>3.7% në transport</w:t>
            </w:r>
          </w:p>
        </w:tc>
      </w:tr>
      <w:tr w:rsidR="00CC47F0" w:rsidRPr="00976D33" w14:paraId="798501FE" w14:textId="77777777" w:rsidTr="00CC47F0">
        <w:trPr>
          <w:trHeight w:val="331"/>
        </w:trPr>
        <w:tc>
          <w:tcPr>
            <w:cnfStyle w:val="000010000000" w:firstRow="0" w:lastRow="0" w:firstColumn="0" w:lastColumn="0" w:oddVBand="1" w:evenVBand="0" w:oddHBand="0" w:evenHBand="0" w:firstRowFirstColumn="0" w:firstRowLastColumn="0" w:lastRowFirstColumn="0" w:lastRowLastColumn="0"/>
            <w:tcW w:w="864" w:type="pct"/>
            <w:vMerge w:val="restart"/>
            <w:shd w:val="clear" w:color="auto" w:fill="024F75" w:themeFill="accent1"/>
            <w:vAlign w:val="center"/>
          </w:tcPr>
          <w:p w14:paraId="4005B210" w14:textId="77777777" w:rsidR="00CC47F0" w:rsidRPr="00976D33" w:rsidRDefault="00CC47F0" w:rsidP="00CC47F0">
            <w:pPr>
              <w:spacing w:after="0"/>
              <w:ind w:left="2"/>
              <w:contextualSpacing/>
              <w:jc w:val="left"/>
              <w:rPr>
                <w:rFonts w:asciiTheme="majorHAnsi" w:eastAsia="Times New Roman" w:hAnsiTheme="majorHAnsi" w:cstheme="majorHAnsi"/>
                <w:b/>
                <w:bCs/>
                <w:color w:val="FFFFFF" w:themeColor="background1"/>
                <w:sz w:val="18"/>
                <w:szCs w:val="18"/>
              </w:rPr>
            </w:pPr>
            <w:r>
              <w:rPr>
                <w:rFonts w:asciiTheme="majorHAnsi" w:hAnsiTheme="majorHAnsi"/>
                <w:b/>
                <w:color w:val="FFFFFF" w:themeColor="background1"/>
                <w:sz w:val="18"/>
              </w:rPr>
              <w:t>Efiçienca e energjisë</w:t>
            </w:r>
          </w:p>
        </w:tc>
        <w:tc>
          <w:tcPr>
            <w:tcW w:w="4136" w:type="pct"/>
          </w:tcPr>
          <w:p w14:paraId="358CE6F4" w14:textId="77777777" w:rsidR="00CC47F0" w:rsidRPr="00976D33" w:rsidRDefault="009E4DB4" w:rsidP="00CC47F0">
            <w:pPr>
              <w:spacing w:after="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Pr>
                <w:rFonts w:asciiTheme="majorHAnsi" w:hAnsiTheme="majorHAnsi"/>
                <w:b/>
                <w:sz w:val="18"/>
              </w:rPr>
              <w:t>2.7 Konsumi primar i energjisë në Mtoe</w:t>
            </w:r>
          </w:p>
        </w:tc>
      </w:tr>
      <w:tr w:rsidR="00CC47F0" w:rsidRPr="00976D33" w14:paraId="4C25D7B3" w14:textId="77777777" w:rsidTr="49F6BC57">
        <w:trPr>
          <w:cnfStyle w:val="000000100000" w:firstRow="0" w:lastRow="0" w:firstColumn="0" w:lastColumn="0" w:oddVBand="0" w:evenVBand="0" w:oddHBand="1" w:evenHBand="0" w:firstRowFirstColumn="0" w:firstRowLastColumn="0" w:lastRowFirstColumn="0" w:lastRowLastColumn="0"/>
          <w:trHeight w:val="331"/>
        </w:trPr>
        <w:tc>
          <w:tcPr>
            <w:cnfStyle w:val="000010000000" w:firstRow="0" w:lastRow="0" w:firstColumn="0" w:lastColumn="0" w:oddVBand="1" w:evenVBand="0" w:oddHBand="0" w:evenHBand="0" w:firstRowFirstColumn="0" w:firstRowLastColumn="0" w:lastRowFirstColumn="0" w:lastRowLastColumn="0"/>
            <w:tcW w:w="864" w:type="pct"/>
            <w:vMerge/>
            <w:vAlign w:val="center"/>
          </w:tcPr>
          <w:p w14:paraId="7EAA67ED" w14:textId="77777777" w:rsidR="00CC47F0" w:rsidRPr="00976D33" w:rsidRDefault="00CC47F0" w:rsidP="00CC47F0">
            <w:pPr>
              <w:spacing w:after="0"/>
              <w:ind w:left="2"/>
              <w:contextualSpacing/>
              <w:jc w:val="left"/>
              <w:rPr>
                <w:rFonts w:asciiTheme="majorHAnsi" w:eastAsia="Times New Roman" w:hAnsiTheme="majorHAnsi" w:cstheme="majorHAnsi"/>
                <w:b/>
                <w:bCs/>
                <w:color w:val="FFFFFF" w:themeColor="background1"/>
                <w:sz w:val="18"/>
                <w:szCs w:val="18"/>
              </w:rPr>
            </w:pPr>
          </w:p>
        </w:tc>
        <w:tc>
          <w:tcPr>
            <w:tcW w:w="4136" w:type="pct"/>
          </w:tcPr>
          <w:p w14:paraId="6A61FCA3" w14:textId="77777777" w:rsidR="00CC47F0" w:rsidRPr="00976D33" w:rsidRDefault="009E4DB4" w:rsidP="00CC47F0">
            <w:pPr>
              <w:spacing w:after="0"/>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Pr>
                <w:rFonts w:asciiTheme="majorHAnsi" w:hAnsiTheme="majorHAnsi"/>
                <w:b/>
                <w:sz w:val="18"/>
              </w:rPr>
              <w:t>1.8 Konsumi përfundimtar i energjisë në Mtoe</w:t>
            </w:r>
          </w:p>
        </w:tc>
      </w:tr>
      <w:tr w:rsidR="31EB3AD4" w:rsidRPr="00976D33" w14:paraId="7DFAF3AD" w14:textId="77777777" w:rsidTr="31EB3AD4">
        <w:trPr>
          <w:trHeight w:val="331"/>
        </w:trPr>
        <w:tc>
          <w:tcPr>
            <w:cnfStyle w:val="000010000000" w:firstRow="0" w:lastRow="0" w:firstColumn="0" w:lastColumn="0" w:oddVBand="1" w:evenVBand="0" w:oddHBand="0" w:evenHBand="0" w:firstRowFirstColumn="0" w:firstRowLastColumn="0" w:lastRowFirstColumn="0" w:lastRowLastColumn="0"/>
            <w:tcW w:w="1653" w:type="dxa"/>
            <w:vMerge/>
            <w:vAlign w:val="center"/>
          </w:tcPr>
          <w:p w14:paraId="4637B7E2" w14:textId="77777777" w:rsidR="00A9590F" w:rsidRPr="00976D33" w:rsidRDefault="00A9590F"/>
        </w:tc>
        <w:tc>
          <w:tcPr>
            <w:tcW w:w="7911" w:type="dxa"/>
          </w:tcPr>
          <w:p w14:paraId="311DCB5B" w14:textId="2023011A" w:rsidR="2290B421" w:rsidRPr="00976D33" w:rsidRDefault="2290B421" w:rsidP="31EB3AD4">
            <w:pPr>
              <w:spacing w:after="0"/>
              <w:ind w:left="72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Pr>
                <w:rFonts w:asciiTheme="majorHAnsi" w:hAnsiTheme="majorHAnsi"/>
                <w:sz w:val="18"/>
              </w:rPr>
              <w:t xml:space="preserve">Miratimi i Ligjit për Efiçiencë të Energjisë </w:t>
            </w:r>
          </w:p>
        </w:tc>
      </w:tr>
      <w:tr w:rsidR="00CC47F0" w:rsidRPr="00976D33" w14:paraId="48D2B772" w14:textId="77777777" w:rsidTr="49F6BC57">
        <w:trPr>
          <w:cnfStyle w:val="000000100000" w:firstRow="0" w:lastRow="0" w:firstColumn="0" w:lastColumn="0" w:oddVBand="0" w:evenVBand="0" w:oddHBand="1" w:evenHBand="0" w:firstRowFirstColumn="0" w:firstRowLastColumn="0" w:lastRowFirstColumn="0" w:lastRowLastColumn="0"/>
          <w:trHeight w:val="331"/>
        </w:trPr>
        <w:tc>
          <w:tcPr>
            <w:cnfStyle w:val="000010000000" w:firstRow="0" w:lastRow="0" w:firstColumn="0" w:lastColumn="0" w:oddVBand="1" w:evenVBand="0" w:oddHBand="0" w:evenHBand="0" w:firstRowFirstColumn="0" w:firstRowLastColumn="0" w:lastRowFirstColumn="0" w:lastRowLastColumn="0"/>
            <w:tcW w:w="864" w:type="pct"/>
            <w:vMerge/>
            <w:vAlign w:val="center"/>
          </w:tcPr>
          <w:p w14:paraId="62D0C9BD" w14:textId="77777777" w:rsidR="00CC47F0" w:rsidRPr="00976D33" w:rsidRDefault="00CC47F0" w:rsidP="00CC47F0">
            <w:pPr>
              <w:spacing w:after="0"/>
              <w:ind w:left="2"/>
              <w:contextualSpacing/>
              <w:jc w:val="left"/>
              <w:rPr>
                <w:rFonts w:asciiTheme="majorHAnsi" w:eastAsia="Times New Roman" w:hAnsiTheme="majorHAnsi" w:cstheme="majorHAnsi"/>
                <w:b/>
                <w:bCs/>
                <w:color w:val="FFFFFF" w:themeColor="background1"/>
                <w:sz w:val="18"/>
                <w:szCs w:val="18"/>
              </w:rPr>
            </w:pPr>
          </w:p>
        </w:tc>
        <w:tc>
          <w:tcPr>
            <w:tcW w:w="4136" w:type="pct"/>
          </w:tcPr>
          <w:p w14:paraId="7ED83E15" w14:textId="77777777" w:rsidR="00CC47F0" w:rsidRPr="00976D33" w:rsidRDefault="00CC47F0" w:rsidP="00CC47F0">
            <w:pPr>
              <w:spacing w:after="0"/>
              <w:ind w:left="720"/>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Obligimi për efiçiencës të energjisë prej 0.8% të konsumit bazë</w:t>
            </w:r>
          </w:p>
        </w:tc>
      </w:tr>
      <w:tr w:rsidR="00A87B2C" w:rsidRPr="00976D33" w14:paraId="50D961F8" w14:textId="77777777" w:rsidTr="49F6BC57">
        <w:trPr>
          <w:trHeight w:val="331"/>
        </w:trPr>
        <w:tc>
          <w:tcPr>
            <w:cnfStyle w:val="000010000000" w:firstRow="0" w:lastRow="0" w:firstColumn="0" w:lastColumn="0" w:oddVBand="1" w:evenVBand="0" w:oddHBand="0" w:evenHBand="0" w:firstRowFirstColumn="0" w:firstRowLastColumn="0" w:lastRowFirstColumn="0" w:lastRowLastColumn="0"/>
            <w:tcW w:w="864" w:type="pct"/>
            <w:vMerge/>
            <w:vAlign w:val="center"/>
          </w:tcPr>
          <w:p w14:paraId="56D46827" w14:textId="77777777" w:rsidR="00A87B2C" w:rsidRPr="00976D33" w:rsidRDefault="00A87B2C" w:rsidP="00CC47F0">
            <w:pPr>
              <w:spacing w:after="0"/>
              <w:ind w:left="2"/>
              <w:contextualSpacing/>
              <w:jc w:val="left"/>
              <w:rPr>
                <w:rFonts w:asciiTheme="majorHAnsi" w:eastAsia="Times New Roman" w:hAnsiTheme="majorHAnsi" w:cstheme="majorHAnsi"/>
                <w:b/>
                <w:bCs/>
                <w:color w:val="FFFFFF" w:themeColor="background1"/>
                <w:sz w:val="18"/>
                <w:szCs w:val="18"/>
              </w:rPr>
            </w:pPr>
          </w:p>
        </w:tc>
        <w:tc>
          <w:tcPr>
            <w:tcW w:w="4136" w:type="pct"/>
          </w:tcPr>
          <w:p w14:paraId="2DAC94E8" w14:textId="77777777" w:rsidR="00A87B2C" w:rsidRPr="00976D33" w:rsidRDefault="00A87B2C" w:rsidP="00CC47F0">
            <w:pPr>
              <w:spacing w:after="0"/>
              <w:ind w:left="72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Pr>
                <w:rFonts w:asciiTheme="majorHAnsi" w:hAnsiTheme="majorHAnsi"/>
                <w:sz w:val="18"/>
              </w:rPr>
              <w:t>Reduktimi i humbjeve teknike dhe komerciale në rrjetin e distribuimit</w:t>
            </w:r>
          </w:p>
        </w:tc>
      </w:tr>
      <w:tr w:rsidR="00CC47F0" w:rsidRPr="00976D33" w14:paraId="0C08BDCE" w14:textId="77777777" w:rsidTr="49F6BC57">
        <w:trPr>
          <w:cnfStyle w:val="000000100000" w:firstRow="0" w:lastRow="0" w:firstColumn="0" w:lastColumn="0" w:oddVBand="0" w:evenVBand="0" w:oddHBand="1" w:evenHBand="0" w:firstRowFirstColumn="0" w:firstRowLastColumn="0" w:lastRowFirstColumn="0" w:lastRowLastColumn="0"/>
          <w:trHeight w:val="331"/>
        </w:trPr>
        <w:tc>
          <w:tcPr>
            <w:cnfStyle w:val="000010000000" w:firstRow="0" w:lastRow="0" w:firstColumn="0" w:lastColumn="0" w:oddVBand="1" w:evenVBand="0" w:oddHBand="0" w:evenHBand="0" w:firstRowFirstColumn="0" w:firstRowLastColumn="0" w:lastRowFirstColumn="0" w:lastRowLastColumn="0"/>
            <w:tcW w:w="864" w:type="pct"/>
            <w:vMerge/>
            <w:vAlign w:val="center"/>
          </w:tcPr>
          <w:p w14:paraId="3E905131" w14:textId="77777777" w:rsidR="00CC47F0" w:rsidRPr="00976D33" w:rsidRDefault="00CC47F0" w:rsidP="00CC47F0">
            <w:pPr>
              <w:spacing w:after="0"/>
              <w:ind w:left="2"/>
              <w:contextualSpacing/>
              <w:jc w:val="left"/>
              <w:rPr>
                <w:rFonts w:asciiTheme="majorHAnsi" w:eastAsia="Times New Roman" w:hAnsiTheme="majorHAnsi" w:cstheme="majorHAnsi"/>
                <w:b/>
                <w:bCs/>
                <w:color w:val="FFFFFF" w:themeColor="background1"/>
                <w:sz w:val="18"/>
                <w:szCs w:val="18"/>
              </w:rPr>
            </w:pPr>
          </w:p>
        </w:tc>
        <w:tc>
          <w:tcPr>
            <w:tcW w:w="4136" w:type="pct"/>
          </w:tcPr>
          <w:p w14:paraId="4187A66F" w14:textId="77777777" w:rsidR="00CC47F0" w:rsidRPr="00976D33" w:rsidRDefault="009E4DB4" w:rsidP="00CC47F0">
            <w:pPr>
              <w:spacing w:after="0"/>
              <w:ind w:left="720"/>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sz w:val="18"/>
                <w:szCs w:val="18"/>
              </w:rPr>
            </w:pPr>
            <w:r>
              <w:rPr>
                <w:rFonts w:asciiTheme="majorHAnsi" w:hAnsiTheme="majorHAnsi"/>
                <w:sz w:val="18"/>
              </w:rPr>
              <w:t>Miratimi i strategjisë për rinovim të ndërtesave</w:t>
            </w:r>
          </w:p>
        </w:tc>
      </w:tr>
      <w:tr w:rsidR="00DB51E5" w:rsidRPr="00976D33" w14:paraId="68B84CF6" w14:textId="77777777" w:rsidTr="00CC47F0">
        <w:trPr>
          <w:trHeight w:val="331"/>
        </w:trPr>
        <w:tc>
          <w:tcPr>
            <w:cnfStyle w:val="000010000000" w:firstRow="0" w:lastRow="0" w:firstColumn="0" w:lastColumn="0" w:oddVBand="1" w:evenVBand="0" w:oddHBand="0" w:evenHBand="0" w:firstRowFirstColumn="0" w:firstRowLastColumn="0" w:lastRowFirstColumn="0" w:lastRowLastColumn="0"/>
            <w:tcW w:w="864" w:type="pct"/>
            <w:vMerge w:val="restart"/>
            <w:shd w:val="clear" w:color="auto" w:fill="024F75" w:themeFill="accent1"/>
            <w:vAlign w:val="center"/>
          </w:tcPr>
          <w:p w14:paraId="46663445" w14:textId="77777777" w:rsidR="00DB51E5" w:rsidRPr="00976D33" w:rsidRDefault="00DB51E5" w:rsidP="00CC47F0">
            <w:pPr>
              <w:spacing w:after="0"/>
              <w:ind w:left="2"/>
              <w:contextualSpacing/>
              <w:jc w:val="left"/>
              <w:rPr>
                <w:rFonts w:asciiTheme="majorHAnsi" w:eastAsia="Times New Roman" w:hAnsiTheme="majorHAnsi" w:cstheme="majorHAnsi"/>
                <w:b/>
                <w:bCs/>
                <w:color w:val="FFFFFF" w:themeColor="background1"/>
                <w:sz w:val="18"/>
                <w:szCs w:val="18"/>
              </w:rPr>
            </w:pPr>
            <w:r>
              <w:rPr>
                <w:rFonts w:asciiTheme="majorHAnsi" w:hAnsiTheme="majorHAnsi"/>
                <w:b/>
                <w:color w:val="FFFFFF" w:themeColor="background1"/>
                <w:sz w:val="18"/>
              </w:rPr>
              <w:t>Siguria energjetike</w:t>
            </w:r>
          </w:p>
        </w:tc>
        <w:tc>
          <w:tcPr>
            <w:tcW w:w="4136" w:type="pct"/>
          </w:tcPr>
          <w:p w14:paraId="59F009E4" w14:textId="47ECEA37" w:rsidR="00DB51E5" w:rsidRPr="00976D33" w:rsidRDefault="00DB51E5" w:rsidP="003529AF">
            <w:pPr>
              <w:spacing w:after="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Pr>
                <w:rFonts w:asciiTheme="majorHAnsi" w:hAnsiTheme="majorHAnsi"/>
                <w:sz w:val="18"/>
              </w:rPr>
              <w:t>Monitorimi i sigurisë së furnizimit duke përditësuar rregullisht deklaratat e sigurisë së furnizimit</w:t>
            </w:r>
          </w:p>
        </w:tc>
      </w:tr>
      <w:tr w:rsidR="00DB51E5" w:rsidRPr="00976D33" w14:paraId="28630CDD" w14:textId="77777777" w:rsidTr="448B0CCA">
        <w:trPr>
          <w:cnfStyle w:val="000000100000" w:firstRow="0" w:lastRow="0" w:firstColumn="0" w:lastColumn="0" w:oddVBand="0" w:evenVBand="0" w:oddHBand="1" w:evenHBand="0" w:firstRowFirstColumn="0" w:firstRowLastColumn="0" w:lastRowFirstColumn="0" w:lastRowLastColumn="0"/>
          <w:trHeight w:val="331"/>
        </w:trPr>
        <w:tc>
          <w:tcPr>
            <w:cnfStyle w:val="000010000000" w:firstRow="0" w:lastRow="0" w:firstColumn="0" w:lastColumn="0" w:oddVBand="1" w:evenVBand="0" w:oddHBand="0" w:evenHBand="0" w:firstRowFirstColumn="0" w:firstRowLastColumn="0" w:lastRowFirstColumn="0" w:lastRowLastColumn="0"/>
            <w:tcW w:w="864" w:type="pct"/>
            <w:vMerge/>
            <w:vAlign w:val="center"/>
          </w:tcPr>
          <w:p w14:paraId="016D711B" w14:textId="77777777" w:rsidR="00DB51E5" w:rsidRPr="00976D33" w:rsidRDefault="00DB51E5" w:rsidP="00CC47F0">
            <w:pPr>
              <w:spacing w:after="0"/>
              <w:ind w:left="2"/>
              <w:contextualSpacing/>
              <w:jc w:val="left"/>
              <w:rPr>
                <w:rFonts w:asciiTheme="majorHAnsi" w:eastAsia="Times New Roman" w:hAnsiTheme="majorHAnsi" w:cstheme="majorHAnsi"/>
                <w:b/>
                <w:bCs/>
                <w:color w:val="FFFFFF" w:themeColor="background1"/>
                <w:sz w:val="18"/>
                <w:szCs w:val="18"/>
              </w:rPr>
            </w:pPr>
          </w:p>
        </w:tc>
        <w:tc>
          <w:tcPr>
            <w:tcW w:w="4136" w:type="pct"/>
          </w:tcPr>
          <w:p w14:paraId="5E98D653" w14:textId="66E21CF7" w:rsidR="00DB51E5" w:rsidRPr="00976D33" w:rsidRDefault="00DB51E5">
            <w:pPr>
              <w:spacing w:after="0"/>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Garantimi i kapaciteteve operacionale dhe mbështetja në kapacitetet ekzistuese prodhuese</w:t>
            </w:r>
          </w:p>
        </w:tc>
      </w:tr>
      <w:tr w:rsidR="00DB51E5" w:rsidRPr="00976D33" w14:paraId="3B2A7A17" w14:textId="77777777" w:rsidTr="49F6BC57">
        <w:trPr>
          <w:trHeight w:val="331"/>
        </w:trPr>
        <w:tc>
          <w:tcPr>
            <w:cnfStyle w:val="000010000000" w:firstRow="0" w:lastRow="0" w:firstColumn="0" w:lastColumn="0" w:oddVBand="1" w:evenVBand="0" w:oddHBand="0" w:evenHBand="0" w:firstRowFirstColumn="0" w:firstRowLastColumn="0" w:lastRowFirstColumn="0" w:lastRowLastColumn="0"/>
            <w:tcW w:w="864" w:type="pct"/>
            <w:vMerge/>
            <w:vAlign w:val="center"/>
          </w:tcPr>
          <w:p w14:paraId="7AF15000" w14:textId="77777777" w:rsidR="00DB51E5" w:rsidRPr="00976D33" w:rsidRDefault="00DB51E5" w:rsidP="00CC47F0">
            <w:pPr>
              <w:spacing w:after="0"/>
              <w:ind w:left="2"/>
              <w:contextualSpacing/>
              <w:jc w:val="left"/>
              <w:rPr>
                <w:rFonts w:asciiTheme="majorHAnsi" w:eastAsia="Times New Roman" w:hAnsiTheme="majorHAnsi" w:cstheme="majorHAnsi"/>
                <w:b/>
                <w:bCs/>
                <w:color w:val="FFFFFF" w:themeColor="background1"/>
                <w:sz w:val="18"/>
                <w:szCs w:val="18"/>
              </w:rPr>
            </w:pPr>
          </w:p>
        </w:tc>
        <w:tc>
          <w:tcPr>
            <w:tcW w:w="4136" w:type="pct"/>
          </w:tcPr>
          <w:p w14:paraId="1697086A" w14:textId="77777777" w:rsidR="00DB51E5" w:rsidRPr="00976D33" w:rsidRDefault="00DB51E5" w:rsidP="00CC47F0">
            <w:pPr>
              <w:spacing w:after="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Sigurimi i standardeve të sigurisë kibernetike</w:t>
            </w:r>
          </w:p>
        </w:tc>
      </w:tr>
      <w:tr w:rsidR="00DB51E5" w:rsidRPr="00976D33" w14:paraId="2BA246FB" w14:textId="77777777" w:rsidTr="49F6BC57">
        <w:trPr>
          <w:cnfStyle w:val="000000100000" w:firstRow="0" w:lastRow="0" w:firstColumn="0" w:lastColumn="0" w:oddVBand="0" w:evenVBand="0" w:oddHBand="1" w:evenHBand="0" w:firstRowFirstColumn="0" w:firstRowLastColumn="0" w:lastRowFirstColumn="0" w:lastRowLastColumn="0"/>
          <w:trHeight w:val="331"/>
        </w:trPr>
        <w:tc>
          <w:tcPr>
            <w:cnfStyle w:val="000010000000" w:firstRow="0" w:lastRow="0" w:firstColumn="0" w:lastColumn="0" w:oddVBand="1" w:evenVBand="0" w:oddHBand="0" w:evenHBand="0" w:firstRowFirstColumn="0" w:firstRowLastColumn="0" w:lastRowFirstColumn="0" w:lastRowLastColumn="0"/>
            <w:tcW w:w="864" w:type="pct"/>
            <w:vMerge/>
            <w:vAlign w:val="center"/>
          </w:tcPr>
          <w:p w14:paraId="679A84F1" w14:textId="77777777" w:rsidR="00DB51E5" w:rsidRPr="00976D33" w:rsidRDefault="00DB51E5" w:rsidP="00CC47F0">
            <w:pPr>
              <w:spacing w:after="0"/>
              <w:ind w:left="2"/>
              <w:contextualSpacing/>
              <w:jc w:val="left"/>
              <w:rPr>
                <w:rFonts w:asciiTheme="majorHAnsi" w:eastAsia="Times New Roman" w:hAnsiTheme="majorHAnsi" w:cstheme="majorHAnsi"/>
                <w:b/>
                <w:bCs/>
                <w:color w:val="FFFFFF" w:themeColor="background1"/>
                <w:sz w:val="18"/>
                <w:szCs w:val="18"/>
              </w:rPr>
            </w:pPr>
          </w:p>
        </w:tc>
        <w:tc>
          <w:tcPr>
            <w:tcW w:w="4136" w:type="pct"/>
          </w:tcPr>
          <w:p w14:paraId="2DEB016C" w14:textId="77777777" w:rsidR="00DB51E5" w:rsidRPr="00976D33" w:rsidDel="003511DD" w:rsidRDefault="00DB51E5" w:rsidP="00CC47F0">
            <w:pPr>
              <w:spacing w:after="0"/>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Diversifikim më i madh i burimeve të energjisë</w:t>
            </w:r>
          </w:p>
        </w:tc>
      </w:tr>
      <w:tr w:rsidR="00DB51E5" w:rsidRPr="00976D33" w14:paraId="3D0B0DD3" w14:textId="77777777" w:rsidTr="49F6BC57">
        <w:trPr>
          <w:trHeight w:val="331"/>
        </w:trPr>
        <w:tc>
          <w:tcPr>
            <w:cnfStyle w:val="000010000000" w:firstRow="0" w:lastRow="0" w:firstColumn="0" w:lastColumn="0" w:oddVBand="1" w:evenVBand="0" w:oddHBand="0" w:evenHBand="0" w:firstRowFirstColumn="0" w:firstRowLastColumn="0" w:lastRowFirstColumn="0" w:lastRowLastColumn="0"/>
            <w:tcW w:w="864" w:type="pct"/>
            <w:vMerge/>
            <w:vAlign w:val="center"/>
          </w:tcPr>
          <w:p w14:paraId="0B89CE3F" w14:textId="77777777" w:rsidR="00DB51E5" w:rsidRPr="00976D33" w:rsidRDefault="00DB51E5" w:rsidP="00CC47F0">
            <w:pPr>
              <w:spacing w:after="0"/>
              <w:ind w:left="2"/>
              <w:contextualSpacing/>
              <w:jc w:val="left"/>
              <w:rPr>
                <w:rFonts w:asciiTheme="majorHAnsi" w:eastAsia="Times New Roman" w:hAnsiTheme="majorHAnsi" w:cstheme="majorHAnsi"/>
                <w:b/>
                <w:bCs/>
                <w:color w:val="FFFFFF" w:themeColor="background1"/>
                <w:sz w:val="18"/>
                <w:szCs w:val="18"/>
              </w:rPr>
            </w:pPr>
          </w:p>
        </w:tc>
        <w:tc>
          <w:tcPr>
            <w:tcW w:w="4136" w:type="pct"/>
          </w:tcPr>
          <w:p w14:paraId="40BA102B" w14:textId="77777777" w:rsidR="00DB51E5" w:rsidRPr="00976D33" w:rsidRDefault="00DB51E5" w:rsidP="00CC47F0">
            <w:pPr>
              <w:spacing w:after="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Reduktimi i varësisë nga importi</w:t>
            </w:r>
          </w:p>
        </w:tc>
      </w:tr>
      <w:tr w:rsidR="00DB51E5" w:rsidRPr="00976D33" w14:paraId="06D9F015" w14:textId="77777777" w:rsidTr="49F6BC57">
        <w:trPr>
          <w:cnfStyle w:val="000000100000" w:firstRow="0" w:lastRow="0" w:firstColumn="0" w:lastColumn="0" w:oddVBand="0" w:evenVBand="0" w:oddHBand="1" w:evenHBand="0" w:firstRowFirstColumn="0" w:firstRowLastColumn="0" w:lastRowFirstColumn="0" w:lastRowLastColumn="0"/>
          <w:trHeight w:val="331"/>
        </w:trPr>
        <w:tc>
          <w:tcPr>
            <w:cnfStyle w:val="000010000000" w:firstRow="0" w:lastRow="0" w:firstColumn="0" w:lastColumn="0" w:oddVBand="1" w:evenVBand="0" w:oddHBand="0" w:evenHBand="0" w:firstRowFirstColumn="0" w:firstRowLastColumn="0" w:lastRowFirstColumn="0" w:lastRowLastColumn="0"/>
            <w:tcW w:w="864" w:type="pct"/>
            <w:vMerge/>
            <w:vAlign w:val="center"/>
          </w:tcPr>
          <w:p w14:paraId="6C1E2713" w14:textId="77777777" w:rsidR="00DB51E5" w:rsidRPr="00976D33" w:rsidRDefault="00DB51E5" w:rsidP="00CC47F0">
            <w:pPr>
              <w:spacing w:after="0"/>
              <w:ind w:left="2"/>
              <w:contextualSpacing/>
              <w:jc w:val="left"/>
              <w:rPr>
                <w:rFonts w:asciiTheme="majorHAnsi" w:eastAsia="Times New Roman" w:hAnsiTheme="majorHAnsi" w:cstheme="majorHAnsi"/>
                <w:b/>
                <w:bCs/>
                <w:color w:val="FFFFFF" w:themeColor="background1"/>
                <w:sz w:val="18"/>
                <w:szCs w:val="18"/>
              </w:rPr>
            </w:pPr>
          </w:p>
        </w:tc>
        <w:tc>
          <w:tcPr>
            <w:tcW w:w="4136" w:type="pct"/>
          </w:tcPr>
          <w:p w14:paraId="5BCDF26C" w14:textId="77777777" w:rsidR="00DB51E5" w:rsidRPr="00976D33" w:rsidRDefault="00DB51E5" w:rsidP="00CC47F0">
            <w:pPr>
              <w:spacing w:after="0"/>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Krijimi i një tregu me fleksibilitet që funksionon mirë</w:t>
            </w:r>
          </w:p>
        </w:tc>
      </w:tr>
      <w:tr w:rsidR="00CC47F0" w:rsidRPr="00976D33" w14:paraId="77124AEF" w14:textId="77777777" w:rsidTr="00CC47F0">
        <w:trPr>
          <w:trHeight w:val="141"/>
        </w:trPr>
        <w:tc>
          <w:tcPr>
            <w:cnfStyle w:val="000010000000" w:firstRow="0" w:lastRow="0" w:firstColumn="0" w:lastColumn="0" w:oddVBand="1" w:evenVBand="0" w:oddHBand="0" w:evenHBand="0" w:firstRowFirstColumn="0" w:firstRowLastColumn="0" w:lastRowFirstColumn="0" w:lastRowLastColumn="0"/>
            <w:tcW w:w="864" w:type="pct"/>
            <w:vMerge w:val="restart"/>
            <w:shd w:val="clear" w:color="auto" w:fill="024F75" w:themeFill="accent1"/>
            <w:vAlign w:val="center"/>
          </w:tcPr>
          <w:p w14:paraId="71DBF6BF" w14:textId="77777777" w:rsidR="00CC47F0" w:rsidRPr="00976D33" w:rsidRDefault="00CC47F0" w:rsidP="00CC47F0">
            <w:pPr>
              <w:spacing w:after="0"/>
              <w:ind w:left="2"/>
              <w:contextualSpacing/>
              <w:jc w:val="left"/>
              <w:rPr>
                <w:rFonts w:asciiTheme="majorHAnsi" w:eastAsia="Times New Roman" w:hAnsiTheme="majorHAnsi" w:cstheme="majorHAnsi"/>
                <w:b/>
                <w:bCs/>
                <w:color w:val="FFFFFF" w:themeColor="background1"/>
                <w:sz w:val="18"/>
                <w:szCs w:val="18"/>
              </w:rPr>
            </w:pPr>
            <w:r>
              <w:rPr>
                <w:rFonts w:asciiTheme="majorHAnsi" w:hAnsiTheme="majorHAnsi"/>
                <w:b/>
                <w:color w:val="FFFFFF" w:themeColor="background1"/>
                <w:sz w:val="18"/>
              </w:rPr>
              <w:t>Tregu i brendshëm i energjisë</w:t>
            </w:r>
          </w:p>
        </w:tc>
        <w:tc>
          <w:tcPr>
            <w:tcW w:w="4136" w:type="pct"/>
          </w:tcPr>
          <w:p w14:paraId="1E95E22B" w14:textId="0B7E1988" w:rsidR="00CC47F0" w:rsidRPr="00976D33" w:rsidRDefault="00042962" w:rsidP="00CC47F0">
            <w:pPr>
              <w:spacing w:after="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Sigurimi që infrastruktura e transmetimit të energjisë të pozicionohet për të mbështetur dekarbonizimin e ekonomisë</w:t>
            </w:r>
          </w:p>
        </w:tc>
      </w:tr>
      <w:tr w:rsidR="00CC47F0" w:rsidRPr="00976D33" w14:paraId="21887F21" w14:textId="77777777" w:rsidTr="49F6BC57">
        <w:trPr>
          <w:cnfStyle w:val="000000100000" w:firstRow="0" w:lastRow="0" w:firstColumn="0" w:lastColumn="0" w:oddVBand="0" w:evenVBand="0" w:oddHBand="1" w:evenHBand="0" w:firstRowFirstColumn="0" w:firstRowLastColumn="0" w:lastRowFirstColumn="0" w:lastRowLastColumn="0"/>
          <w:trHeight w:val="331"/>
        </w:trPr>
        <w:tc>
          <w:tcPr>
            <w:cnfStyle w:val="000010000000" w:firstRow="0" w:lastRow="0" w:firstColumn="0" w:lastColumn="0" w:oddVBand="1" w:evenVBand="0" w:oddHBand="0" w:evenHBand="0" w:firstRowFirstColumn="0" w:firstRowLastColumn="0" w:lastRowFirstColumn="0" w:lastRowLastColumn="0"/>
            <w:tcW w:w="864" w:type="pct"/>
            <w:vMerge/>
            <w:vAlign w:val="center"/>
          </w:tcPr>
          <w:p w14:paraId="13D19F53" w14:textId="77777777" w:rsidR="00CC47F0" w:rsidRPr="00976D33" w:rsidRDefault="00CC47F0" w:rsidP="00CC47F0">
            <w:pPr>
              <w:spacing w:after="0"/>
              <w:ind w:left="2"/>
              <w:contextualSpacing/>
              <w:jc w:val="left"/>
              <w:rPr>
                <w:rFonts w:asciiTheme="majorHAnsi" w:hAnsiTheme="majorHAnsi" w:cstheme="majorHAnsi"/>
                <w:b/>
                <w:bCs/>
                <w:color w:val="FFFFFF" w:themeColor="background1"/>
                <w:sz w:val="18"/>
                <w:szCs w:val="18"/>
              </w:rPr>
            </w:pPr>
          </w:p>
        </w:tc>
        <w:tc>
          <w:tcPr>
            <w:tcW w:w="4136" w:type="pct"/>
          </w:tcPr>
          <w:p w14:paraId="6BD9E73A" w14:textId="77777777" w:rsidR="00CC47F0" w:rsidRPr="00976D33" w:rsidRDefault="00B81C15" w:rsidP="00CC47F0">
            <w:pPr>
              <w:spacing w:after="0"/>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Rritja e fleksibilitetit të sistemit me stimuj adekuat për pjesëmarrësit e tregut</w:t>
            </w:r>
          </w:p>
        </w:tc>
      </w:tr>
      <w:tr w:rsidR="00CC47F0" w:rsidRPr="00976D33" w14:paraId="2737EDE0" w14:textId="77777777" w:rsidTr="49F6BC57">
        <w:trPr>
          <w:trHeight w:val="331"/>
        </w:trPr>
        <w:tc>
          <w:tcPr>
            <w:cnfStyle w:val="000010000000" w:firstRow="0" w:lastRow="0" w:firstColumn="0" w:lastColumn="0" w:oddVBand="1" w:evenVBand="0" w:oddHBand="0" w:evenHBand="0" w:firstRowFirstColumn="0" w:firstRowLastColumn="0" w:lastRowFirstColumn="0" w:lastRowLastColumn="0"/>
            <w:tcW w:w="864" w:type="pct"/>
            <w:vMerge/>
            <w:vAlign w:val="center"/>
          </w:tcPr>
          <w:p w14:paraId="0C81CD90" w14:textId="77777777" w:rsidR="00CC47F0" w:rsidRPr="00976D33" w:rsidRDefault="00CC47F0" w:rsidP="00CC47F0">
            <w:pPr>
              <w:spacing w:after="0"/>
              <w:ind w:left="2"/>
              <w:contextualSpacing/>
              <w:jc w:val="left"/>
              <w:rPr>
                <w:rFonts w:asciiTheme="majorHAnsi" w:hAnsiTheme="majorHAnsi" w:cstheme="majorHAnsi"/>
                <w:b/>
                <w:bCs/>
                <w:color w:val="FFFFFF" w:themeColor="background1"/>
                <w:sz w:val="18"/>
                <w:szCs w:val="18"/>
              </w:rPr>
            </w:pPr>
          </w:p>
        </w:tc>
        <w:tc>
          <w:tcPr>
            <w:tcW w:w="4136" w:type="pct"/>
          </w:tcPr>
          <w:p w14:paraId="6AB7C61B" w14:textId="77777777" w:rsidR="00CC47F0" w:rsidRPr="00976D33" w:rsidRDefault="00AD6CF4" w:rsidP="00CC47F0">
            <w:pPr>
              <w:spacing w:after="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Integrimi i mëtejshëm në tregun rajonal dhe evropian</w:t>
            </w:r>
          </w:p>
        </w:tc>
      </w:tr>
      <w:tr w:rsidR="00AD6CF4" w:rsidRPr="00976D33" w14:paraId="73C5B4CF" w14:textId="77777777" w:rsidTr="49F6BC57">
        <w:trPr>
          <w:cnfStyle w:val="000000100000" w:firstRow="0" w:lastRow="0" w:firstColumn="0" w:lastColumn="0" w:oddVBand="0" w:evenVBand="0" w:oddHBand="1" w:evenHBand="0" w:firstRowFirstColumn="0" w:firstRowLastColumn="0" w:lastRowFirstColumn="0" w:lastRowLastColumn="0"/>
          <w:trHeight w:val="331"/>
        </w:trPr>
        <w:tc>
          <w:tcPr>
            <w:cnfStyle w:val="000010000000" w:firstRow="0" w:lastRow="0" w:firstColumn="0" w:lastColumn="0" w:oddVBand="1" w:evenVBand="0" w:oddHBand="0" w:evenHBand="0" w:firstRowFirstColumn="0" w:firstRowLastColumn="0" w:lastRowFirstColumn="0" w:lastRowLastColumn="0"/>
            <w:tcW w:w="864" w:type="pct"/>
            <w:vMerge/>
            <w:vAlign w:val="center"/>
          </w:tcPr>
          <w:p w14:paraId="27AD6BB7" w14:textId="77777777" w:rsidR="00AD6CF4" w:rsidRPr="00976D33" w:rsidRDefault="00AD6CF4" w:rsidP="00CC47F0">
            <w:pPr>
              <w:spacing w:after="0"/>
              <w:ind w:left="2"/>
              <w:contextualSpacing/>
              <w:jc w:val="left"/>
              <w:rPr>
                <w:rFonts w:asciiTheme="majorHAnsi" w:hAnsiTheme="majorHAnsi" w:cstheme="majorHAnsi"/>
                <w:b/>
                <w:bCs/>
                <w:color w:val="FFFFFF" w:themeColor="background1"/>
                <w:sz w:val="18"/>
                <w:szCs w:val="18"/>
              </w:rPr>
            </w:pPr>
          </w:p>
        </w:tc>
        <w:tc>
          <w:tcPr>
            <w:tcW w:w="4136" w:type="pct"/>
          </w:tcPr>
          <w:p w14:paraId="430A0DF1" w14:textId="77777777" w:rsidR="00AD6CF4" w:rsidRPr="00976D33" w:rsidDel="00995A80" w:rsidRDefault="00C8503D" w:rsidP="00CC47F0">
            <w:pPr>
              <w:spacing w:after="0"/>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Liberalizimi gradual i tregut me shumicë dhe pakicë</w:t>
            </w:r>
          </w:p>
        </w:tc>
      </w:tr>
      <w:tr w:rsidR="00CC47F0" w:rsidRPr="00976D33" w14:paraId="5FDD2963" w14:textId="77777777" w:rsidTr="49F6BC57">
        <w:trPr>
          <w:trHeight w:val="331"/>
        </w:trPr>
        <w:tc>
          <w:tcPr>
            <w:cnfStyle w:val="000010000000" w:firstRow="0" w:lastRow="0" w:firstColumn="0" w:lastColumn="0" w:oddVBand="1" w:evenVBand="0" w:oddHBand="0" w:evenHBand="0" w:firstRowFirstColumn="0" w:firstRowLastColumn="0" w:lastRowFirstColumn="0" w:lastRowLastColumn="0"/>
            <w:tcW w:w="864" w:type="pct"/>
            <w:vMerge/>
            <w:vAlign w:val="center"/>
          </w:tcPr>
          <w:p w14:paraId="02B65660" w14:textId="77777777" w:rsidR="00CC47F0" w:rsidRPr="00976D33" w:rsidRDefault="00CC47F0" w:rsidP="00CC47F0">
            <w:pPr>
              <w:spacing w:after="0"/>
              <w:ind w:left="2"/>
              <w:contextualSpacing/>
              <w:jc w:val="left"/>
              <w:rPr>
                <w:rFonts w:asciiTheme="majorHAnsi" w:hAnsiTheme="majorHAnsi" w:cstheme="majorHAnsi"/>
                <w:b/>
                <w:bCs/>
                <w:color w:val="FFFFFF" w:themeColor="background1"/>
                <w:sz w:val="18"/>
                <w:szCs w:val="18"/>
              </w:rPr>
            </w:pPr>
          </w:p>
        </w:tc>
        <w:tc>
          <w:tcPr>
            <w:tcW w:w="4136" w:type="pct"/>
          </w:tcPr>
          <w:p w14:paraId="281C4704" w14:textId="77777777" w:rsidR="00CC47F0" w:rsidRPr="00976D33" w:rsidRDefault="00995A80" w:rsidP="00CC47F0">
            <w:pPr>
              <w:spacing w:after="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Pjesëmarrja jodiskriminuese e energjisë së ripërtëritshme</w:t>
            </w:r>
          </w:p>
        </w:tc>
      </w:tr>
      <w:tr w:rsidR="00CC47F0" w:rsidRPr="00976D33" w14:paraId="10409EEE" w14:textId="77777777" w:rsidTr="49F6BC57">
        <w:trPr>
          <w:cnfStyle w:val="000000100000" w:firstRow="0" w:lastRow="0" w:firstColumn="0" w:lastColumn="0" w:oddVBand="0" w:evenVBand="0" w:oddHBand="1" w:evenHBand="0" w:firstRowFirstColumn="0" w:firstRowLastColumn="0" w:lastRowFirstColumn="0" w:lastRowLastColumn="0"/>
          <w:trHeight w:val="331"/>
        </w:trPr>
        <w:tc>
          <w:tcPr>
            <w:cnfStyle w:val="000010000000" w:firstRow="0" w:lastRow="0" w:firstColumn="0" w:lastColumn="0" w:oddVBand="1" w:evenVBand="0" w:oddHBand="0" w:evenHBand="0" w:firstRowFirstColumn="0" w:firstRowLastColumn="0" w:lastRowFirstColumn="0" w:lastRowLastColumn="0"/>
            <w:tcW w:w="864" w:type="pct"/>
            <w:vMerge/>
            <w:vAlign w:val="center"/>
          </w:tcPr>
          <w:p w14:paraId="4289B001" w14:textId="77777777" w:rsidR="00CC47F0" w:rsidRPr="00976D33" w:rsidRDefault="00CC47F0" w:rsidP="00CC47F0">
            <w:pPr>
              <w:spacing w:after="0"/>
              <w:ind w:left="2"/>
              <w:contextualSpacing/>
              <w:jc w:val="left"/>
              <w:rPr>
                <w:rFonts w:asciiTheme="majorHAnsi" w:hAnsiTheme="majorHAnsi" w:cstheme="majorHAnsi"/>
                <w:b/>
                <w:bCs/>
                <w:color w:val="FFFFFF" w:themeColor="background1"/>
                <w:sz w:val="18"/>
                <w:szCs w:val="18"/>
              </w:rPr>
            </w:pPr>
          </w:p>
        </w:tc>
        <w:tc>
          <w:tcPr>
            <w:tcW w:w="4136" w:type="pct"/>
          </w:tcPr>
          <w:p w14:paraId="3731E590" w14:textId="7FA63C29" w:rsidR="00CC47F0" w:rsidRPr="00976D33" w:rsidRDefault="005031A4" w:rsidP="00CC47F0">
            <w:pPr>
              <w:spacing w:after="0"/>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Sigurimi i përballueshmërisë së faturave të energjisë dhe mbrojtja e konsumatorëve të cenueshëm</w:t>
            </w:r>
          </w:p>
        </w:tc>
      </w:tr>
      <w:tr w:rsidR="00B61AED" w:rsidRPr="00976D33" w14:paraId="1B06DEC2" w14:textId="77777777" w:rsidTr="00CC47F0">
        <w:trPr>
          <w:trHeight w:val="331"/>
        </w:trPr>
        <w:tc>
          <w:tcPr>
            <w:cnfStyle w:val="000010000000" w:firstRow="0" w:lastRow="0" w:firstColumn="0" w:lastColumn="0" w:oddVBand="1" w:evenVBand="0" w:oddHBand="0" w:evenHBand="0" w:firstRowFirstColumn="0" w:firstRowLastColumn="0" w:lastRowFirstColumn="0" w:lastRowLastColumn="0"/>
            <w:tcW w:w="864" w:type="pct"/>
            <w:vMerge w:val="restart"/>
            <w:shd w:val="clear" w:color="auto" w:fill="024F75" w:themeFill="accent1"/>
            <w:vAlign w:val="center"/>
          </w:tcPr>
          <w:p w14:paraId="1A1DCD3B" w14:textId="77777777" w:rsidR="00B61AED" w:rsidRPr="00976D33" w:rsidRDefault="00B61AED" w:rsidP="00B61AED">
            <w:pPr>
              <w:spacing w:after="0"/>
              <w:ind w:left="2"/>
              <w:contextualSpacing/>
              <w:jc w:val="left"/>
              <w:rPr>
                <w:rFonts w:asciiTheme="majorHAnsi" w:hAnsiTheme="majorHAnsi" w:cstheme="majorHAnsi"/>
                <w:b/>
                <w:bCs/>
                <w:color w:val="FFFFFF" w:themeColor="background1"/>
                <w:sz w:val="18"/>
                <w:szCs w:val="18"/>
              </w:rPr>
            </w:pPr>
            <w:r>
              <w:rPr>
                <w:rFonts w:asciiTheme="majorHAnsi" w:hAnsiTheme="majorHAnsi"/>
                <w:b/>
                <w:color w:val="FFFFFF" w:themeColor="background1"/>
                <w:sz w:val="18"/>
              </w:rPr>
              <w:t>Hulumtimi, inovacioni dhe konkurrueshmëria</w:t>
            </w:r>
          </w:p>
        </w:tc>
        <w:tc>
          <w:tcPr>
            <w:tcW w:w="4136" w:type="pct"/>
          </w:tcPr>
          <w:p w14:paraId="04570FD4" w14:textId="77777777" w:rsidR="00B61AED" w:rsidRPr="00976D33" w:rsidRDefault="00B61AED" w:rsidP="006E6E51">
            <w:pPr>
              <w:spacing w:after="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 xml:space="preserve">Zhvillimi i një sistemi efektiv të hulumtimit shkencor dhe inovacionit  </w:t>
            </w:r>
          </w:p>
        </w:tc>
      </w:tr>
      <w:tr w:rsidR="00B61AED" w:rsidRPr="00976D33" w14:paraId="157702AB" w14:textId="77777777" w:rsidTr="49F6BC57">
        <w:trPr>
          <w:cnfStyle w:val="000000100000" w:firstRow="0" w:lastRow="0" w:firstColumn="0" w:lastColumn="0" w:oddVBand="0" w:evenVBand="0" w:oddHBand="1" w:evenHBand="0" w:firstRowFirstColumn="0" w:firstRowLastColumn="0" w:lastRowFirstColumn="0" w:lastRowLastColumn="0"/>
          <w:trHeight w:val="331"/>
        </w:trPr>
        <w:tc>
          <w:tcPr>
            <w:cnfStyle w:val="000010000000" w:firstRow="0" w:lastRow="0" w:firstColumn="0" w:lastColumn="0" w:oddVBand="1" w:evenVBand="0" w:oddHBand="0" w:evenHBand="0" w:firstRowFirstColumn="0" w:firstRowLastColumn="0" w:lastRowFirstColumn="0" w:lastRowLastColumn="0"/>
            <w:tcW w:w="864" w:type="pct"/>
            <w:vMerge/>
            <w:vAlign w:val="center"/>
          </w:tcPr>
          <w:p w14:paraId="719C686E" w14:textId="77777777" w:rsidR="00B61AED" w:rsidRPr="00976D33" w:rsidRDefault="00B61AED" w:rsidP="00B61AED">
            <w:pPr>
              <w:spacing w:after="0"/>
              <w:ind w:left="2"/>
              <w:contextualSpacing/>
              <w:jc w:val="left"/>
              <w:rPr>
                <w:rFonts w:asciiTheme="majorHAnsi" w:hAnsiTheme="majorHAnsi" w:cstheme="majorHAnsi"/>
                <w:b/>
                <w:bCs/>
                <w:color w:val="FFFFFF" w:themeColor="background1"/>
                <w:sz w:val="18"/>
                <w:szCs w:val="18"/>
              </w:rPr>
            </w:pPr>
          </w:p>
        </w:tc>
        <w:tc>
          <w:tcPr>
            <w:tcW w:w="4136" w:type="pct"/>
          </w:tcPr>
          <w:p w14:paraId="185F2765" w14:textId="77777777" w:rsidR="00B61AED" w:rsidRPr="00976D33" w:rsidRDefault="00B61AED" w:rsidP="006E6E51">
            <w:pPr>
              <w:spacing w:after="0"/>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Zhvillimi dhe ngritja e kapaciteteve njerëzore për veprimtari hulumtuese-shkencore</w:t>
            </w:r>
          </w:p>
        </w:tc>
      </w:tr>
      <w:tr w:rsidR="00B61AED" w:rsidRPr="00976D33" w14:paraId="76D11D7E" w14:textId="77777777" w:rsidTr="49F6BC57">
        <w:trPr>
          <w:trHeight w:val="331"/>
        </w:trPr>
        <w:tc>
          <w:tcPr>
            <w:cnfStyle w:val="000010000000" w:firstRow="0" w:lastRow="0" w:firstColumn="0" w:lastColumn="0" w:oddVBand="1" w:evenVBand="0" w:oddHBand="0" w:evenHBand="0" w:firstRowFirstColumn="0" w:firstRowLastColumn="0" w:lastRowFirstColumn="0" w:lastRowLastColumn="0"/>
            <w:tcW w:w="864" w:type="pct"/>
            <w:vMerge/>
            <w:vAlign w:val="center"/>
          </w:tcPr>
          <w:p w14:paraId="11AE1DB6" w14:textId="77777777" w:rsidR="00B61AED" w:rsidRPr="00976D33" w:rsidRDefault="00B61AED" w:rsidP="00B61AED">
            <w:pPr>
              <w:spacing w:after="0"/>
              <w:ind w:left="2"/>
              <w:contextualSpacing/>
              <w:jc w:val="left"/>
              <w:rPr>
                <w:rFonts w:asciiTheme="majorHAnsi" w:hAnsiTheme="majorHAnsi" w:cstheme="majorHAnsi"/>
                <w:b/>
                <w:bCs/>
                <w:color w:val="FFFFFF" w:themeColor="background1"/>
                <w:sz w:val="18"/>
                <w:szCs w:val="18"/>
              </w:rPr>
            </w:pPr>
          </w:p>
        </w:tc>
        <w:tc>
          <w:tcPr>
            <w:tcW w:w="4136" w:type="pct"/>
          </w:tcPr>
          <w:p w14:paraId="5FB67C72" w14:textId="77777777" w:rsidR="00B61AED" w:rsidRPr="00976D33" w:rsidRDefault="00B61AED" w:rsidP="006E6E51">
            <w:pPr>
              <w:spacing w:after="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Zhvillimi i infrastrukturës së hulumtimit shkencor</w:t>
            </w:r>
          </w:p>
        </w:tc>
      </w:tr>
      <w:tr w:rsidR="00B61AED" w:rsidRPr="00976D33" w14:paraId="725DF867" w14:textId="77777777" w:rsidTr="49F6BC57">
        <w:trPr>
          <w:cnfStyle w:val="000000100000" w:firstRow="0" w:lastRow="0" w:firstColumn="0" w:lastColumn="0" w:oddVBand="0" w:evenVBand="0" w:oddHBand="1" w:evenHBand="0" w:firstRowFirstColumn="0" w:firstRowLastColumn="0" w:lastRowFirstColumn="0" w:lastRowLastColumn="0"/>
          <w:trHeight w:val="331"/>
        </w:trPr>
        <w:tc>
          <w:tcPr>
            <w:cnfStyle w:val="000010000000" w:firstRow="0" w:lastRow="0" w:firstColumn="0" w:lastColumn="0" w:oddVBand="1" w:evenVBand="0" w:oddHBand="0" w:evenHBand="0" w:firstRowFirstColumn="0" w:firstRowLastColumn="0" w:lastRowFirstColumn="0" w:lastRowLastColumn="0"/>
            <w:tcW w:w="864" w:type="pct"/>
            <w:vMerge/>
            <w:vAlign w:val="center"/>
          </w:tcPr>
          <w:p w14:paraId="4F65632F" w14:textId="77777777" w:rsidR="00B61AED" w:rsidRPr="00976D33" w:rsidRDefault="00B61AED" w:rsidP="00B61AED">
            <w:pPr>
              <w:spacing w:after="0"/>
              <w:ind w:left="2"/>
              <w:contextualSpacing/>
              <w:jc w:val="left"/>
              <w:rPr>
                <w:rFonts w:asciiTheme="majorHAnsi" w:hAnsiTheme="majorHAnsi" w:cstheme="majorHAnsi"/>
                <w:b/>
                <w:bCs/>
                <w:color w:val="FFFFFF" w:themeColor="background1"/>
                <w:sz w:val="18"/>
                <w:szCs w:val="18"/>
              </w:rPr>
            </w:pPr>
          </w:p>
        </w:tc>
        <w:tc>
          <w:tcPr>
            <w:tcW w:w="4136" w:type="pct"/>
          </w:tcPr>
          <w:p w14:paraId="7F9AD803" w14:textId="77777777" w:rsidR="00B61AED" w:rsidRPr="00976D33" w:rsidRDefault="00B61AED" w:rsidP="006E6E51">
            <w:pPr>
              <w:spacing w:after="0"/>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Ndërkombëtarizimi i veprimtarive hulumtuese-shkencore</w:t>
            </w:r>
          </w:p>
        </w:tc>
      </w:tr>
      <w:tr w:rsidR="00B61AED" w:rsidRPr="00976D33" w14:paraId="0260F335" w14:textId="77777777" w:rsidTr="49F6BC57">
        <w:trPr>
          <w:trHeight w:val="331"/>
        </w:trPr>
        <w:tc>
          <w:tcPr>
            <w:cnfStyle w:val="000010000000" w:firstRow="0" w:lastRow="0" w:firstColumn="0" w:lastColumn="0" w:oddVBand="1" w:evenVBand="0" w:oddHBand="0" w:evenHBand="0" w:firstRowFirstColumn="0" w:firstRowLastColumn="0" w:lastRowFirstColumn="0" w:lastRowLastColumn="0"/>
            <w:tcW w:w="864" w:type="pct"/>
            <w:vMerge/>
            <w:vAlign w:val="center"/>
          </w:tcPr>
          <w:p w14:paraId="1A0F7770" w14:textId="77777777" w:rsidR="00B61AED" w:rsidRPr="00976D33" w:rsidRDefault="00B61AED" w:rsidP="00B61AED">
            <w:pPr>
              <w:spacing w:after="0"/>
              <w:ind w:left="2"/>
              <w:contextualSpacing/>
              <w:jc w:val="left"/>
              <w:rPr>
                <w:rFonts w:asciiTheme="majorHAnsi" w:hAnsiTheme="majorHAnsi" w:cstheme="majorHAnsi"/>
                <w:b/>
                <w:bCs/>
                <w:color w:val="FFFFFF" w:themeColor="background1"/>
                <w:sz w:val="18"/>
                <w:szCs w:val="18"/>
              </w:rPr>
            </w:pPr>
          </w:p>
        </w:tc>
        <w:tc>
          <w:tcPr>
            <w:tcW w:w="4136" w:type="pct"/>
          </w:tcPr>
          <w:p w14:paraId="5E65CC71" w14:textId="77777777" w:rsidR="00B61AED" w:rsidRPr="00976D33" w:rsidRDefault="4496EDF5" w:rsidP="006E6E51">
            <w:pPr>
              <w:spacing w:after="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Përmirësimi i marrëdhënieve ndërmjet shkencës, ekonomisë dhe shoqërisë</w:t>
            </w:r>
          </w:p>
        </w:tc>
      </w:tr>
      <w:tr w:rsidR="00B61AED" w:rsidRPr="00976D33" w14:paraId="62BFC1C8" w14:textId="77777777" w:rsidTr="49F6BC57">
        <w:trPr>
          <w:cnfStyle w:val="000000100000" w:firstRow="0" w:lastRow="0" w:firstColumn="0" w:lastColumn="0" w:oddVBand="0" w:evenVBand="0" w:oddHBand="1" w:evenHBand="0" w:firstRowFirstColumn="0" w:firstRowLastColumn="0" w:lastRowFirstColumn="0" w:lastRowLastColumn="0"/>
          <w:trHeight w:val="331"/>
        </w:trPr>
        <w:tc>
          <w:tcPr>
            <w:cnfStyle w:val="000010000000" w:firstRow="0" w:lastRow="0" w:firstColumn="0" w:lastColumn="0" w:oddVBand="1" w:evenVBand="0" w:oddHBand="0" w:evenHBand="0" w:firstRowFirstColumn="0" w:firstRowLastColumn="0" w:lastRowFirstColumn="0" w:lastRowLastColumn="0"/>
            <w:tcW w:w="864" w:type="pct"/>
            <w:vMerge/>
            <w:vAlign w:val="center"/>
          </w:tcPr>
          <w:p w14:paraId="5C5ED7CC" w14:textId="77777777" w:rsidR="00B61AED" w:rsidRPr="00976D33" w:rsidRDefault="00B61AED" w:rsidP="00B61AED">
            <w:pPr>
              <w:spacing w:after="0"/>
              <w:ind w:left="2"/>
              <w:contextualSpacing/>
              <w:jc w:val="left"/>
              <w:rPr>
                <w:rFonts w:asciiTheme="majorHAnsi" w:hAnsiTheme="majorHAnsi" w:cstheme="majorHAnsi"/>
                <w:b/>
                <w:bCs/>
                <w:color w:val="FFFFFF" w:themeColor="background1"/>
                <w:sz w:val="18"/>
                <w:szCs w:val="18"/>
              </w:rPr>
            </w:pPr>
          </w:p>
        </w:tc>
        <w:tc>
          <w:tcPr>
            <w:tcW w:w="4136" w:type="pct"/>
          </w:tcPr>
          <w:p w14:paraId="3D899902" w14:textId="77777777" w:rsidR="00B61AED" w:rsidRPr="00976D33" w:rsidRDefault="13C15E6D" w:rsidP="006E6E51">
            <w:pPr>
              <w:spacing w:after="0"/>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Arritja e përsosmërisë së hulumtimit shkencor në fusha specifike</w:t>
            </w:r>
          </w:p>
        </w:tc>
      </w:tr>
    </w:tbl>
    <w:p w14:paraId="0A24B872" w14:textId="77777777" w:rsidR="00B13BFF" w:rsidRPr="00976D33" w:rsidRDefault="00B13BFF" w:rsidP="0069102F">
      <w:pPr>
        <w:pStyle w:val="BodyText"/>
      </w:pPr>
    </w:p>
    <w:p w14:paraId="72DC33A5" w14:textId="09C52C97" w:rsidR="0088143A" w:rsidRPr="00976D33" w:rsidRDefault="0088143A" w:rsidP="00BD4E9E">
      <w:pPr>
        <w:pStyle w:val="Heading2"/>
      </w:pPr>
      <w:bookmarkStart w:id="13" w:name="_Toc182302248"/>
      <w:r>
        <w:lastRenderedPageBreak/>
        <w:t>Pasqyra e gjendjes aktuale të politi</w:t>
      </w:r>
      <w:r w:rsidR="007F1BB6">
        <w:t>kave</w:t>
      </w:r>
      <w:bookmarkEnd w:id="13"/>
      <w:r>
        <w:t xml:space="preserve"> </w:t>
      </w:r>
    </w:p>
    <w:p w14:paraId="04B62E44" w14:textId="2FDF0506" w:rsidR="00D07681" w:rsidRPr="00976D33" w:rsidRDefault="0088143A" w:rsidP="00AF7BBF">
      <w:pPr>
        <w:pStyle w:val="Heading3"/>
        <w:numPr>
          <w:ilvl w:val="0"/>
          <w:numId w:val="2"/>
        </w:numPr>
      </w:pPr>
      <w:bookmarkStart w:id="14" w:name="_Toc182302249"/>
      <w:r>
        <w:t>Sistemi energjetik kombëtar dhe i Komunitetit të Energjisë dhe konteksti i politikave të planit kombëtar</w:t>
      </w:r>
      <w:bookmarkEnd w:id="14"/>
      <w:r>
        <w:t xml:space="preserve"> </w:t>
      </w:r>
    </w:p>
    <w:p w14:paraId="5C199AC7" w14:textId="5D95DFC2" w:rsidR="00631947" w:rsidRPr="00976D33" w:rsidRDefault="003362C0" w:rsidP="003362C0">
      <w:r>
        <w:t xml:space="preserve">Me nënshkrimin e marrëveshjes për Komunitetin e Energjisë, Kosova është zotuar për përmbushjen e politikave, masave, dhe objektivave të caktuara. Në Raportin e fundit të Implementimit të vitit 2023, Kosova renditet në mesin e pesë palëve të para kontraktuese të Komunitetit të Energjisë, me rezultat prej 57% të performancës së implementimit, që është mbi mesataren e Komunitetit të Energjisë (53%) </w:t>
      </w:r>
    </w:p>
    <w:p w14:paraId="1334AC1E" w14:textId="77777777" w:rsidR="00B13BFF" w:rsidRPr="00976D33" w:rsidRDefault="00B13BFF" w:rsidP="003362C0"/>
    <w:p w14:paraId="5947242F" w14:textId="7E4F96B4" w:rsidR="003362C0" w:rsidRPr="00976D33" w:rsidRDefault="00B13BFF" w:rsidP="003362C0">
      <w:pPr>
        <w:pStyle w:val="Caption"/>
      </w:pPr>
      <w:bookmarkStart w:id="15" w:name="_Ref127744926"/>
      <w:bookmarkStart w:id="16" w:name="_Toc181867204"/>
      <w:r>
        <w:rPr>
          <w:noProof/>
          <w:lang w:val="en-US"/>
        </w:rPr>
        <w:drawing>
          <wp:anchor distT="0" distB="0" distL="114300" distR="114300" simplePos="0" relativeHeight="251658241" behindDoc="1" locked="0" layoutInCell="1" allowOverlap="1" wp14:anchorId="5E03D16F" wp14:editId="4678DA09">
            <wp:simplePos x="0" y="0"/>
            <wp:positionH relativeFrom="margin">
              <wp:align>right</wp:align>
            </wp:positionH>
            <wp:positionV relativeFrom="paragraph">
              <wp:posOffset>199934</wp:posOffset>
            </wp:positionV>
            <wp:extent cx="6071870" cy="2760980"/>
            <wp:effectExtent l="0" t="0" r="5080" b="1270"/>
            <wp:wrapTight wrapText="bothSides">
              <wp:wrapPolygon edited="0">
                <wp:start x="0" y="0"/>
                <wp:lineTo x="0" y="21461"/>
                <wp:lineTo x="21550" y="21461"/>
                <wp:lineTo x="21550" y="0"/>
                <wp:lineTo x="0" y="0"/>
              </wp:wrapPolygon>
            </wp:wrapTight>
            <wp:docPr id="3151789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1870" cy="2760980"/>
                    </a:xfrm>
                    <a:prstGeom prst="rect">
                      <a:avLst/>
                    </a:prstGeom>
                    <a:noFill/>
                    <a:ln>
                      <a:noFill/>
                    </a:ln>
                  </pic:spPr>
                </pic:pic>
              </a:graphicData>
            </a:graphic>
          </wp:anchor>
        </w:drawing>
      </w:r>
      <w:r>
        <w:t xml:space="preserve">Figura </w:t>
      </w:r>
      <w:r w:rsidR="003362C0" w:rsidRPr="00976D33">
        <w:fldChar w:fldCharType="begin"/>
      </w:r>
      <w:r w:rsidR="003362C0" w:rsidRPr="00976D33">
        <w:instrText>SEQ Figure \* ARABIC</w:instrText>
      </w:r>
      <w:r w:rsidR="003362C0" w:rsidRPr="00976D33">
        <w:fldChar w:fldCharType="separate"/>
      </w:r>
      <w:r w:rsidR="003B7FFA">
        <w:rPr>
          <w:noProof/>
        </w:rPr>
        <w:t>1</w:t>
      </w:r>
      <w:r w:rsidR="003362C0" w:rsidRPr="00976D33">
        <w:fldChar w:fldCharType="end"/>
      </w:r>
      <w:bookmarkEnd w:id="15"/>
      <w:r>
        <w:t>. Pasqyra e përgjithshme e performancës së implementimit nga palët kontraktuese</w:t>
      </w:r>
      <w:bookmarkEnd w:id="16"/>
    </w:p>
    <w:p w14:paraId="606332A9" w14:textId="380F285A" w:rsidR="003362C0" w:rsidRPr="00976D33" w:rsidRDefault="003362C0" w:rsidP="0005016C">
      <w:pPr>
        <w:spacing w:before="0" w:line="240" w:lineRule="auto"/>
        <w:rPr>
          <w:rFonts w:cs="Arial"/>
          <w:i/>
          <w:sz w:val="16"/>
          <w:szCs w:val="16"/>
        </w:rPr>
      </w:pPr>
      <w:r>
        <w:rPr>
          <w:i/>
          <w:sz w:val="16"/>
        </w:rPr>
        <w:t>Burimi: Raporti Vjetor i Implementimit i Sekretariati të Komunitetit të Energjisë, 2023</w:t>
      </w:r>
    </w:p>
    <w:p w14:paraId="031FAFD6" w14:textId="58D33E8D" w:rsidR="006F2C46" w:rsidRPr="00976D33" w:rsidRDefault="006B0E30" w:rsidP="006B0E30">
      <w:r>
        <w:t xml:space="preserve">Kosova ka një popullsi prej rreth 1.8 milionë banorë. Paga mesatare mujore bruto në vitin 2022 ishte rreth 521 euro.  Shkalla e papunësisë është ulur ndjeshëm gjatë viteve të fundit. Sipas të dhënave të Bankës Botërore për vitin 2022, ajo është rreth 12.1%. Pas një rritje të rimëkëmbjes pas pandemisë Covid në vitin 2021 me një normë reale të rritjes së BPV-së prej 10.7% (në vit), rritja ekonomike është ngadalësuar në vitin 2022 me 4.3% (në vit) dhe 2023 (2.3% në vit) dhe parashikohet të stabilizohet në rreth 3.8% në vitet në vijim. Në të njëjtën kohë, inflacioni ishte 5% në vit në 2023, duke treguar stabilitet pas rritjes së çmimeve globale të ushqimeve dhe energjisë në vitin 2021 dhe 2022.  </w:t>
      </w:r>
    </w:p>
    <w:p w14:paraId="71A96733" w14:textId="77777777" w:rsidR="007071EF" w:rsidRPr="00976D33" w:rsidRDefault="007071EF" w:rsidP="006B0E30"/>
    <w:tbl>
      <w:tblPr>
        <w:tblStyle w:val="TableGrid"/>
        <w:tblW w:w="0" w:type="auto"/>
        <w:tblBorders>
          <w:top w:val="none" w:sz="0" w:space="0" w:color="auto"/>
          <w:left w:val="none" w:sz="0" w:space="0" w:color="auto"/>
          <w:bottom w:val="none" w:sz="0" w:space="0" w:color="auto"/>
          <w:right w:val="none" w:sz="0" w:space="0" w:color="auto"/>
          <w:insideH w:val="single" w:sz="2" w:space="0" w:color="024F75" w:themeColor="accent1"/>
          <w:insideV w:val="single" w:sz="2" w:space="0" w:color="024F75" w:themeColor="accent1"/>
        </w:tblBorders>
        <w:tblLook w:val="04A0" w:firstRow="1" w:lastRow="0" w:firstColumn="1" w:lastColumn="0" w:noHBand="0" w:noVBand="1"/>
      </w:tblPr>
      <w:tblGrid>
        <w:gridCol w:w="3454"/>
        <w:gridCol w:w="3167"/>
        <w:gridCol w:w="2953"/>
      </w:tblGrid>
      <w:tr w:rsidR="006B0E30" w:rsidRPr="00976D33" w14:paraId="425549CE" w14:textId="77777777" w:rsidTr="00780EC7">
        <w:tc>
          <w:tcPr>
            <w:tcW w:w="3454" w:type="dxa"/>
          </w:tcPr>
          <w:p w14:paraId="0AE91428" w14:textId="11045642" w:rsidR="006B0E30" w:rsidRPr="00976D33" w:rsidRDefault="006B0E30">
            <w:pPr>
              <w:spacing w:after="0"/>
              <w:contextualSpacing/>
              <w:jc w:val="left"/>
              <w:rPr>
                <w:sz w:val="18"/>
                <w:szCs w:val="18"/>
              </w:rPr>
            </w:pPr>
            <w:r>
              <w:rPr>
                <w:noProof/>
                <w:sz w:val="18"/>
                <w:lang w:val="en-US"/>
              </w:rPr>
              <w:drawing>
                <wp:anchor distT="0" distB="0" distL="114300" distR="114300" simplePos="0" relativeHeight="251658244" behindDoc="1" locked="0" layoutInCell="1" allowOverlap="1" wp14:anchorId="708767F8" wp14:editId="15AC7BD3">
                  <wp:simplePos x="0" y="0"/>
                  <wp:positionH relativeFrom="column">
                    <wp:posOffset>3175</wp:posOffset>
                  </wp:positionH>
                  <wp:positionV relativeFrom="paragraph">
                    <wp:posOffset>46355</wp:posOffset>
                  </wp:positionV>
                  <wp:extent cx="406400" cy="406400"/>
                  <wp:effectExtent l="0" t="0" r="0" b="0"/>
                  <wp:wrapTight wrapText="bothSides">
                    <wp:wrapPolygon edited="0">
                      <wp:start x="3038" y="0"/>
                      <wp:lineTo x="0" y="11138"/>
                      <wp:lineTo x="0" y="20250"/>
                      <wp:lineTo x="20250" y="20250"/>
                      <wp:lineTo x="20250" y="12150"/>
                      <wp:lineTo x="16200" y="0"/>
                      <wp:lineTo x="3038" y="0"/>
                    </wp:wrapPolygon>
                  </wp:wrapTight>
                  <wp:docPr id="465" name="Grafik 465" descr="Group of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Graphic 465" descr="Group of people outline"/>
                          <pic:cNvPicPr/>
                        </pic:nvPicPr>
                        <pic:blipFill>
                          <a:blip r:embed="rId2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21"/>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Pr>
                <w:color w:val="C00000"/>
                <w:sz w:val="18"/>
              </w:rPr>
              <w:t xml:space="preserve"> </w:t>
            </w:r>
            <w:r>
              <w:rPr>
                <w:sz w:val="18"/>
              </w:rPr>
              <w:t>Popullsia prej 1,762,220 (2022)</w:t>
            </w:r>
          </w:p>
          <w:p w14:paraId="2AB6FA0E" w14:textId="77777777" w:rsidR="006B0E30" w:rsidRPr="00976D33" w:rsidRDefault="006B0E30">
            <w:pPr>
              <w:spacing w:after="0"/>
              <w:contextualSpacing/>
              <w:jc w:val="left"/>
              <w:rPr>
                <w:sz w:val="18"/>
                <w:szCs w:val="18"/>
              </w:rPr>
            </w:pPr>
          </w:p>
          <w:p w14:paraId="48A3B56A" w14:textId="77777777" w:rsidR="006B0E30" w:rsidRPr="00976D33" w:rsidRDefault="006B0E30">
            <w:pPr>
              <w:spacing w:after="0"/>
              <w:contextualSpacing/>
              <w:jc w:val="left"/>
              <w:rPr>
                <w:sz w:val="18"/>
                <w:szCs w:val="18"/>
              </w:rPr>
            </w:pPr>
          </w:p>
        </w:tc>
        <w:tc>
          <w:tcPr>
            <w:tcW w:w="3167" w:type="dxa"/>
          </w:tcPr>
          <w:p w14:paraId="4B73848A" w14:textId="77777777" w:rsidR="006B0E30" w:rsidRPr="00976D33" w:rsidRDefault="006B0E30">
            <w:pPr>
              <w:spacing w:after="0"/>
              <w:contextualSpacing/>
              <w:jc w:val="left"/>
              <w:rPr>
                <w:sz w:val="18"/>
                <w:szCs w:val="18"/>
              </w:rPr>
            </w:pPr>
            <w:r>
              <w:rPr>
                <w:noProof/>
                <w:sz w:val="18"/>
                <w:lang w:val="en-US"/>
              </w:rPr>
              <w:drawing>
                <wp:anchor distT="0" distB="0" distL="114300" distR="114300" simplePos="0" relativeHeight="251658243" behindDoc="0" locked="0" layoutInCell="1" allowOverlap="1" wp14:anchorId="15170254" wp14:editId="2EC11E98">
                  <wp:simplePos x="0" y="0"/>
                  <wp:positionH relativeFrom="column">
                    <wp:posOffset>16510</wp:posOffset>
                  </wp:positionH>
                  <wp:positionV relativeFrom="paragraph">
                    <wp:posOffset>60960</wp:posOffset>
                  </wp:positionV>
                  <wp:extent cx="406400" cy="406400"/>
                  <wp:effectExtent l="0" t="0" r="0" b="0"/>
                  <wp:wrapSquare wrapText="bothSides"/>
                  <wp:docPr id="466" name="Grafik 466"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Graphic 466" descr="Coins outline"/>
                          <pic:cNvPicPr/>
                        </pic:nvPicPr>
                        <pic:blipFill>
                          <a:blip r:embed="rId2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23"/>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Pr>
                <w:color w:val="024F75" w:themeColor="accent1"/>
                <w:sz w:val="18"/>
              </w:rPr>
              <w:t>Paga mesatare mujore totale 521 EUR (2022)</w:t>
            </w:r>
          </w:p>
          <w:p w14:paraId="29B08497" w14:textId="77777777" w:rsidR="006B0E30" w:rsidRPr="00976D33" w:rsidRDefault="006B0E30">
            <w:pPr>
              <w:spacing w:after="0"/>
              <w:contextualSpacing/>
              <w:jc w:val="left"/>
              <w:rPr>
                <w:sz w:val="18"/>
                <w:szCs w:val="18"/>
              </w:rPr>
            </w:pPr>
          </w:p>
        </w:tc>
        <w:tc>
          <w:tcPr>
            <w:tcW w:w="2953" w:type="dxa"/>
          </w:tcPr>
          <w:p w14:paraId="73DB6241" w14:textId="16945291" w:rsidR="006B0E30" w:rsidRPr="00976D33" w:rsidRDefault="006B0E30">
            <w:pPr>
              <w:spacing w:before="240" w:after="0"/>
              <w:contextualSpacing/>
              <w:jc w:val="left"/>
              <w:rPr>
                <w:sz w:val="18"/>
                <w:szCs w:val="18"/>
              </w:rPr>
            </w:pPr>
            <w:r>
              <w:rPr>
                <w:noProof/>
                <w:color w:val="auto"/>
                <w:sz w:val="18"/>
                <w:lang w:val="en-US"/>
              </w:rPr>
              <w:drawing>
                <wp:anchor distT="0" distB="0" distL="114300" distR="114300" simplePos="0" relativeHeight="251658245" behindDoc="0" locked="0" layoutInCell="1" allowOverlap="1" wp14:anchorId="41BF6B09" wp14:editId="677A0C7D">
                  <wp:simplePos x="0" y="0"/>
                  <wp:positionH relativeFrom="column">
                    <wp:posOffset>21590</wp:posOffset>
                  </wp:positionH>
                  <wp:positionV relativeFrom="paragraph">
                    <wp:posOffset>24130</wp:posOffset>
                  </wp:positionV>
                  <wp:extent cx="405130" cy="405130"/>
                  <wp:effectExtent l="0" t="0" r="0" b="0"/>
                  <wp:wrapSquare wrapText="bothSides"/>
                  <wp:docPr id="467" name="Grafik 467" descr="Work from home des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Graphic 467" descr="Work from home desk with solid fill"/>
                          <pic:cNvPicPr/>
                        </pic:nvPicPr>
                        <pic:blipFill>
                          <a:blip r:embed="rId2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25"/>
                              </a:ext>
                            </a:extLst>
                          </a:blip>
                          <a:stretch>
                            <a:fillRect/>
                          </a:stretch>
                        </pic:blipFill>
                        <pic:spPr>
                          <a:xfrm>
                            <a:off x="0" y="0"/>
                            <a:ext cx="405130" cy="405130"/>
                          </a:xfrm>
                          <a:prstGeom prst="rect">
                            <a:avLst/>
                          </a:prstGeom>
                        </pic:spPr>
                      </pic:pic>
                    </a:graphicData>
                  </a:graphic>
                  <wp14:sizeRelH relativeFrom="page">
                    <wp14:pctWidth>0</wp14:pctWidth>
                  </wp14:sizeRelH>
                  <wp14:sizeRelV relativeFrom="page">
                    <wp14:pctHeight>0</wp14:pctHeight>
                  </wp14:sizeRelV>
                </wp:anchor>
              </w:drawing>
            </w:r>
            <w:r>
              <w:t>Shkalla e papunësisë prej 11,5% (2023)</w:t>
            </w:r>
          </w:p>
        </w:tc>
      </w:tr>
      <w:tr w:rsidR="006B0E30" w:rsidRPr="00976D33" w14:paraId="12F7A4C5" w14:textId="77777777" w:rsidTr="00780EC7">
        <w:tc>
          <w:tcPr>
            <w:tcW w:w="3454" w:type="dxa"/>
          </w:tcPr>
          <w:p w14:paraId="5CFD36C8" w14:textId="79BD8CC7" w:rsidR="006B0E30" w:rsidRPr="00976D33" w:rsidRDefault="006B0E30">
            <w:pPr>
              <w:spacing w:beforeLines="60" w:before="144" w:after="0"/>
              <w:jc w:val="left"/>
              <w:rPr>
                <w:sz w:val="18"/>
                <w:szCs w:val="18"/>
              </w:rPr>
            </w:pPr>
            <w:r>
              <w:rPr>
                <w:noProof/>
                <w:sz w:val="18"/>
                <w:lang w:val="en-US"/>
              </w:rPr>
              <w:drawing>
                <wp:anchor distT="0" distB="0" distL="114300" distR="114300" simplePos="0" relativeHeight="251658246" behindDoc="0" locked="0" layoutInCell="1" allowOverlap="1" wp14:anchorId="503DF78B" wp14:editId="744E6B0E">
                  <wp:simplePos x="0" y="0"/>
                  <wp:positionH relativeFrom="column">
                    <wp:posOffset>18415</wp:posOffset>
                  </wp:positionH>
                  <wp:positionV relativeFrom="paragraph">
                    <wp:posOffset>25400</wp:posOffset>
                  </wp:positionV>
                  <wp:extent cx="406400" cy="406400"/>
                  <wp:effectExtent l="0" t="0" r="0" b="0"/>
                  <wp:wrapSquare wrapText="bothSides"/>
                  <wp:docPr id="468" name="Grafik 468" descr="Bar graph with up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Graphic 468" descr="Bar graph with upward trend with solid fill"/>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27"/>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Pr>
                <w:sz w:val="18"/>
              </w:rPr>
              <w:t>Rritja e BPV-së prej gati 4% (2024)</w:t>
            </w:r>
          </w:p>
        </w:tc>
        <w:tc>
          <w:tcPr>
            <w:tcW w:w="6120" w:type="dxa"/>
            <w:gridSpan w:val="2"/>
          </w:tcPr>
          <w:p w14:paraId="792B736A" w14:textId="5110631E" w:rsidR="006B0E30" w:rsidRPr="00976D33" w:rsidRDefault="006B0E30">
            <w:pPr>
              <w:spacing w:beforeLines="60" w:before="144" w:after="0"/>
              <w:jc w:val="left"/>
              <w:rPr>
                <w:sz w:val="18"/>
                <w:szCs w:val="18"/>
              </w:rPr>
            </w:pPr>
            <w:r>
              <w:rPr>
                <w:noProof/>
                <w:sz w:val="18"/>
                <w:lang w:val="en-US"/>
              </w:rPr>
              <w:drawing>
                <wp:anchor distT="0" distB="0" distL="114300" distR="114300" simplePos="0" relativeHeight="251658247" behindDoc="0" locked="0" layoutInCell="1" allowOverlap="1" wp14:anchorId="7F6DF6F0" wp14:editId="38A742F5">
                  <wp:simplePos x="0" y="0"/>
                  <wp:positionH relativeFrom="column">
                    <wp:posOffset>10795</wp:posOffset>
                  </wp:positionH>
                  <wp:positionV relativeFrom="paragraph">
                    <wp:posOffset>17780</wp:posOffset>
                  </wp:positionV>
                  <wp:extent cx="405130" cy="405130"/>
                  <wp:effectExtent l="0" t="0" r="0" b="0"/>
                  <wp:wrapSquare wrapText="bothSides"/>
                  <wp:docPr id="469" name="Grafik 469" descr="Bar graph with down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Graphic 469" descr="Bar graph with downward trend with solid fill"/>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29"/>
                              </a:ext>
                            </a:extLst>
                          </a:blip>
                          <a:stretch>
                            <a:fillRect/>
                          </a:stretch>
                        </pic:blipFill>
                        <pic:spPr>
                          <a:xfrm>
                            <a:off x="0" y="0"/>
                            <a:ext cx="405130" cy="405130"/>
                          </a:xfrm>
                          <a:prstGeom prst="rect">
                            <a:avLst/>
                          </a:prstGeom>
                        </pic:spPr>
                      </pic:pic>
                    </a:graphicData>
                  </a:graphic>
                  <wp14:sizeRelH relativeFrom="page">
                    <wp14:pctWidth>0</wp14:pctWidth>
                  </wp14:sizeRelH>
                  <wp14:sizeRelV relativeFrom="page">
                    <wp14:pctHeight>0</wp14:pctHeight>
                  </wp14:sizeRelV>
                </wp:anchor>
              </w:drawing>
            </w:r>
            <w:r>
              <w:t xml:space="preserve"> Norma e inflacionit 5% (2023)</w:t>
            </w:r>
          </w:p>
        </w:tc>
      </w:tr>
    </w:tbl>
    <w:p w14:paraId="4178C566" w14:textId="24315095" w:rsidR="006B0E30" w:rsidRPr="00976D33" w:rsidRDefault="006B0E30" w:rsidP="006B0E30">
      <w:pPr>
        <w:pStyle w:val="SourceNote"/>
        <w:rPr>
          <w:rFonts w:cs="Arial"/>
        </w:rPr>
      </w:pPr>
    </w:p>
    <w:p w14:paraId="77363CC7" w14:textId="2549136C" w:rsidR="009E2A73" w:rsidRPr="00976D33" w:rsidRDefault="006B0E30" w:rsidP="009E2A73">
      <w:r>
        <w:t>Bruto produkti vendor për kokë banori në periudhën 2009-2022 ka shënuar rritje të dukshme prej 84%  (</w:t>
      </w:r>
      <w:r w:rsidRPr="00976D33">
        <w:fldChar w:fldCharType="begin"/>
      </w:r>
      <w:r w:rsidRPr="00976D33">
        <w:instrText xml:space="preserve"> REF _Ref127748769 \h  \* MERGEFORMAT </w:instrText>
      </w:r>
      <w:r w:rsidRPr="00976D33">
        <w:fldChar w:fldCharType="separate"/>
      </w:r>
      <w:r w:rsidR="003B7FFA">
        <w:t>Figura 2</w:t>
      </w:r>
      <w:r w:rsidRPr="00976D33">
        <w:fldChar w:fldCharType="end"/>
      </w:r>
      <w:r>
        <w:t>). Në vitin 2022, BPV/për kokë banori arriti në 5290 EUR, megjithatë, në krahasim me vendet e tjera të BP6, Kosova ka ende shumë hapësirë dhe mundësi për të rritur BPV-në e saj për kokë banori (</w:t>
      </w:r>
      <w:r w:rsidRPr="00976D33">
        <w:fldChar w:fldCharType="begin"/>
      </w:r>
      <w:r w:rsidRPr="00976D33">
        <w:instrText xml:space="preserve"> REF _Ref127748776 \h  \* MERGEFORMAT </w:instrText>
      </w:r>
      <w:r w:rsidRPr="00976D33">
        <w:fldChar w:fldCharType="separate"/>
      </w:r>
      <w:r w:rsidR="003B7FFA">
        <w:t>Figura 3</w:t>
      </w:r>
      <w:r w:rsidRPr="00976D33">
        <w:fldChar w:fldCharType="end"/>
      </w:r>
      <w:r>
        <w:t>).</w:t>
      </w:r>
    </w:p>
    <w:tbl>
      <w:tblPr>
        <w:tblStyle w:val="TableGrid"/>
        <w:tblW w:w="9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2"/>
        <w:gridCol w:w="4644"/>
      </w:tblGrid>
      <w:tr w:rsidR="006B0E30" w:rsidRPr="00976D33" w14:paraId="393D520B" w14:textId="77777777" w:rsidTr="009E4DB4">
        <w:trPr>
          <w:trHeight w:val="560"/>
        </w:trPr>
        <w:tc>
          <w:tcPr>
            <w:tcW w:w="5042" w:type="dxa"/>
          </w:tcPr>
          <w:p w14:paraId="2F3578AA" w14:textId="270B283F" w:rsidR="006B0E30" w:rsidRPr="001F4906" w:rsidRDefault="006B0E30">
            <w:pPr>
              <w:pStyle w:val="Caption"/>
              <w:keepNext/>
              <w:rPr>
                <w:rFonts w:cs="Arial"/>
              </w:rPr>
            </w:pPr>
            <w:bookmarkStart w:id="17" w:name="_Ref127748769"/>
            <w:bookmarkStart w:id="18" w:name="_Toc181867205"/>
            <w:r>
              <w:lastRenderedPageBreak/>
              <w:t xml:space="preserve">Figura </w:t>
            </w:r>
            <w:r w:rsidRPr="00976D33">
              <w:fldChar w:fldCharType="begin"/>
            </w:r>
            <w:r w:rsidRPr="001F4906">
              <w:instrText>SEQ Figure \* ARABIC</w:instrText>
            </w:r>
            <w:r w:rsidRPr="00976D33">
              <w:fldChar w:fldCharType="separate"/>
            </w:r>
            <w:r w:rsidR="003B7FFA">
              <w:rPr>
                <w:noProof/>
              </w:rPr>
              <w:t>2</w:t>
            </w:r>
            <w:r w:rsidRPr="00976D33">
              <w:fldChar w:fldCharType="end"/>
            </w:r>
            <w:bookmarkEnd w:id="17"/>
            <w:r>
              <w:t>. BPV për kokë banori në Kosovë (USD/kokë banori)</w:t>
            </w:r>
            <w:bookmarkEnd w:id="18"/>
          </w:p>
        </w:tc>
        <w:tc>
          <w:tcPr>
            <w:tcW w:w="4644" w:type="dxa"/>
          </w:tcPr>
          <w:p w14:paraId="3162E022" w14:textId="16A1B115" w:rsidR="006B0E30" w:rsidRPr="00976D33" w:rsidRDefault="006B0E30">
            <w:pPr>
              <w:pStyle w:val="Caption"/>
              <w:keepNext/>
              <w:rPr>
                <w:rFonts w:cs="Arial"/>
              </w:rPr>
            </w:pPr>
            <w:bookmarkStart w:id="19" w:name="_Ref127748776"/>
            <w:bookmarkStart w:id="20" w:name="_Toc181867206"/>
            <w:r>
              <w:t xml:space="preserve">Figura </w:t>
            </w:r>
            <w:r w:rsidRPr="00976D33">
              <w:fldChar w:fldCharType="begin"/>
            </w:r>
            <w:r w:rsidRPr="00976D33">
              <w:instrText>SEQ Figure \* ARABIC</w:instrText>
            </w:r>
            <w:r w:rsidRPr="00976D33">
              <w:fldChar w:fldCharType="separate"/>
            </w:r>
            <w:r w:rsidR="003B7FFA">
              <w:rPr>
                <w:noProof/>
              </w:rPr>
              <w:t>3</w:t>
            </w:r>
            <w:r w:rsidRPr="00976D33">
              <w:fldChar w:fldCharType="end"/>
            </w:r>
            <w:bookmarkEnd w:id="19"/>
            <w:r>
              <w:t>. BPV për kokë banori në shtetet e BP6 dhe ato të BE-së nga Ballkani, 2021 (USD/për kokë banori)</w:t>
            </w:r>
            <w:bookmarkEnd w:id="20"/>
          </w:p>
        </w:tc>
      </w:tr>
    </w:tbl>
    <w:p w14:paraId="008133BC" w14:textId="4960AABD" w:rsidR="006B0E30" w:rsidRPr="00976D33" w:rsidRDefault="00B13BFF" w:rsidP="009E4DB4">
      <w:pPr>
        <w:rPr>
          <w:rFonts w:cs="Arial"/>
        </w:rPr>
      </w:pPr>
      <w:r>
        <w:rPr>
          <w:noProof/>
          <w:lang w:val="en-US"/>
        </w:rPr>
        <w:drawing>
          <wp:inline distT="0" distB="0" distL="0" distR="0" wp14:anchorId="1C82F851" wp14:editId="097CBA8A">
            <wp:extent cx="6079490" cy="1967230"/>
            <wp:effectExtent l="0" t="0" r="0" b="0"/>
            <wp:docPr id="602490685" name="Grafik 602490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79490" cy="1967230"/>
                    </a:xfrm>
                    <a:prstGeom prst="rect">
                      <a:avLst/>
                    </a:prstGeom>
                    <a:noFill/>
                    <a:ln>
                      <a:noFill/>
                    </a:ln>
                  </pic:spPr>
                </pic:pic>
              </a:graphicData>
            </a:graphic>
          </wp:inline>
        </w:drawing>
      </w:r>
    </w:p>
    <w:p w14:paraId="77AA6E90" w14:textId="513AD406" w:rsidR="006A2624" w:rsidRPr="00976D33" w:rsidRDefault="006A2624" w:rsidP="006B0E30">
      <w:pPr>
        <w:pStyle w:val="SourceNote"/>
        <w:rPr>
          <w:rFonts w:cs="Arial"/>
        </w:rPr>
      </w:pPr>
    </w:p>
    <w:p w14:paraId="60607E27" w14:textId="77777777" w:rsidR="006B0E30" w:rsidRPr="00976D33" w:rsidRDefault="006B0E30" w:rsidP="006B0E30">
      <w:pPr>
        <w:pStyle w:val="SourceNote"/>
        <w:rPr>
          <w:rFonts w:cs="Arial"/>
        </w:rPr>
      </w:pPr>
      <w:r>
        <w:t>Burimi: IWF</w:t>
      </w:r>
    </w:p>
    <w:p w14:paraId="70D47C80" w14:textId="643476D2" w:rsidR="006B0E30" w:rsidRPr="00976D33" w:rsidRDefault="007E77B0" w:rsidP="006B0E30">
      <w:r>
        <w:t>Progres është arritur edhe në fushën e papunësisë, e cila është ulur për 10 pikë përqindjeje në periudhën 2012-2020 dhe është ulur në 12% pas vitit 2020 (</w:t>
      </w:r>
      <w:r w:rsidR="006B0E30" w:rsidRPr="00976D33">
        <w:fldChar w:fldCharType="begin"/>
      </w:r>
      <w:r w:rsidR="006B0E30" w:rsidRPr="00976D33">
        <w:instrText xml:space="preserve"> REF _Ref127749343 \h  \* MERGEFORMAT </w:instrText>
      </w:r>
      <w:r w:rsidR="006B0E30" w:rsidRPr="00976D33">
        <w:fldChar w:fldCharType="separate"/>
      </w:r>
      <w:r w:rsidR="003B7FFA">
        <w:t>Figura 4</w:t>
      </w:r>
      <w:r w:rsidR="006B0E30" w:rsidRPr="00976D33">
        <w:fldChar w:fldCharType="end"/>
      </w:r>
      <w:r>
        <w:t>). Përmirësimi i shkallës së papunësisë e ka vënë Kosovën në pozitë shumë të mirë krahasuar me shtetet e rajonit (</w:t>
      </w:r>
      <w:r w:rsidR="006B0E30" w:rsidRPr="00976D33">
        <w:fldChar w:fldCharType="begin"/>
      </w:r>
      <w:r w:rsidR="006B0E30" w:rsidRPr="00976D33">
        <w:instrText xml:space="preserve"> REF _Ref127749355 \h  \* MERGEFORMAT </w:instrText>
      </w:r>
      <w:r w:rsidR="006B0E30" w:rsidRPr="00976D33">
        <w:fldChar w:fldCharType="separate"/>
      </w:r>
      <w:r w:rsidR="003B7FFA">
        <w:t>Figura 5</w:t>
      </w:r>
      <w:r w:rsidR="006B0E30" w:rsidRPr="00976D33">
        <w:fldChar w:fldCharType="end"/>
      </w:r>
      <w:r>
        <w:t>). Rënia më e madhe e papunësisë në Kosovë është vërejtur vetëm në vitin 2022, pas rritjes së rimëkëmbjes, kur ajo u reduktua nga 26% (2020) në 12%, dhe është pothuajse e njëjtë në tremujorin e parë të vitit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891"/>
      </w:tblGrid>
      <w:tr w:rsidR="006B0E30" w:rsidRPr="00976D33" w14:paraId="55926440" w14:textId="77777777" w:rsidTr="006B0E30">
        <w:tc>
          <w:tcPr>
            <w:tcW w:w="4683" w:type="dxa"/>
          </w:tcPr>
          <w:p w14:paraId="353F1209" w14:textId="1AB15099" w:rsidR="006B0E30" w:rsidRPr="00976D33" w:rsidRDefault="006B0E30">
            <w:pPr>
              <w:pStyle w:val="Caption"/>
              <w:keepNext/>
              <w:rPr>
                <w:rFonts w:cs="Arial"/>
              </w:rPr>
            </w:pPr>
            <w:bookmarkStart w:id="21" w:name="_Ref127749343"/>
            <w:bookmarkStart w:id="22" w:name="_Toc28682771"/>
            <w:bookmarkStart w:id="23" w:name="_Toc77352175"/>
            <w:bookmarkStart w:id="24" w:name="_Toc181867207"/>
            <w:r>
              <w:t xml:space="preserve">Figura </w:t>
            </w:r>
            <w:r w:rsidRPr="00976D33">
              <w:fldChar w:fldCharType="begin"/>
            </w:r>
            <w:r w:rsidRPr="00976D33">
              <w:instrText>SEQ Figure \* ARABIC</w:instrText>
            </w:r>
            <w:r w:rsidRPr="00976D33">
              <w:fldChar w:fldCharType="separate"/>
            </w:r>
            <w:r w:rsidR="003B7FFA">
              <w:rPr>
                <w:noProof/>
              </w:rPr>
              <w:t>4</w:t>
            </w:r>
            <w:r w:rsidRPr="00976D33">
              <w:fldChar w:fldCharType="end"/>
            </w:r>
            <w:bookmarkEnd w:id="21"/>
            <w:r>
              <w:t xml:space="preserve"> Shkalla e papunësisë në Kosovë, 2012 – 2023, %</w:t>
            </w:r>
            <w:bookmarkEnd w:id="22"/>
            <w:bookmarkEnd w:id="23"/>
            <w:bookmarkEnd w:id="24"/>
          </w:p>
        </w:tc>
        <w:tc>
          <w:tcPr>
            <w:tcW w:w="4891" w:type="dxa"/>
          </w:tcPr>
          <w:p w14:paraId="4FA3AF8C" w14:textId="502A2556" w:rsidR="006B0E30" w:rsidRPr="00976D33" w:rsidRDefault="006B0E30">
            <w:pPr>
              <w:pStyle w:val="Caption"/>
              <w:keepNext/>
              <w:rPr>
                <w:rFonts w:cs="Arial"/>
              </w:rPr>
            </w:pPr>
            <w:bookmarkStart w:id="25" w:name="_Ref127749355"/>
            <w:bookmarkStart w:id="26" w:name="_Toc28682772"/>
            <w:bookmarkStart w:id="27" w:name="_Toc77352176"/>
            <w:bookmarkStart w:id="28" w:name="_Toc181867208"/>
            <w:r>
              <w:t xml:space="preserve">Figura </w:t>
            </w:r>
            <w:r w:rsidRPr="00976D33">
              <w:fldChar w:fldCharType="begin"/>
            </w:r>
            <w:r w:rsidRPr="00976D33">
              <w:instrText>SEQ Figure \* ARABIC</w:instrText>
            </w:r>
            <w:r w:rsidRPr="00976D33">
              <w:fldChar w:fldCharType="separate"/>
            </w:r>
            <w:r w:rsidR="003B7FFA">
              <w:rPr>
                <w:noProof/>
              </w:rPr>
              <w:t>5</w:t>
            </w:r>
            <w:r w:rsidRPr="00976D33">
              <w:fldChar w:fldCharType="end"/>
            </w:r>
            <w:bookmarkEnd w:id="25"/>
            <w:r>
              <w:t xml:space="preserve"> Shkalla e papunësisë në shtetet e BP6 dhe ato të BE-së nga Ballkani, 2023 %</w:t>
            </w:r>
            <w:bookmarkEnd w:id="26"/>
            <w:bookmarkEnd w:id="27"/>
            <w:bookmarkEnd w:id="28"/>
          </w:p>
        </w:tc>
      </w:tr>
      <w:tr w:rsidR="006B0E30" w:rsidRPr="00976D33" w14:paraId="293D1873" w14:textId="77777777" w:rsidTr="006B0E30">
        <w:tc>
          <w:tcPr>
            <w:tcW w:w="9574" w:type="dxa"/>
            <w:gridSpan w:val="2"/>
          </w:tcPr>
          <w:p w14:paraId="6C1CD5A5" w14:textId="77777777" w:rsidR="006B0E30" w:rsidRPr="00976D33" w:rsidRDefault="006B0E30">
            <w:pPr>
              <w:pStyle w:val="SourceNote"/>
              <w:rPr>
                <w:rFonts w:cs="Arial"/>
              </w:rPr>
            </w:pPr>
          </w:p>
        </w:tc>
      </w:tr>
    </w:tbl>
    <w:p w14:paraId="4B9029BB" w14:textId="35644362" w:rsidR="00BE78EE" w:rsidRPr="00976D33" w:rsidRDefault="00C51391" w:rsidP="71F6F8E7">
      <w:pPr>
        <w:pStyle w:val="SourceNote"/>
        <w:rPr>
          <w:rFonts w:cs="Arial"/>
        </w:rPr>
      </w:pPr>
      <w:r>
        <w:rPr>
          <w:noProof/>
          <w:lang w:val="en-US"/>
        </w:rPr>
        <w:drawing>
          <wp:inline distT="0" distB="0" distL="0" distR="0" wp14:anchorId="1E45793C" wp14:editId="299BC8EB">
            <wp:extent cx="6079490" cy="1811655"/>
            <wp:effectExtent l="0" t="0" r="0" b="0"/>
            <wp:docPr id="775887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79490" cy="1811655"/>
                    </a:xfrm>
                    <a:prstGeom prst="rect">
                      <a:avLst/>
                    </a:prstGeom>
                    <a:noFill/>
                    <a:ln>
                      <a:noFill/>
                    </a:ln>
                  </pic:spPr>
                </pic:pic>
              </a:graphicData>
            </a:graphic>
          </wp:inline>
        </w:drawing>
      </w:r>
    </w:p>
    <w:p w14:paraId="749DCDE9" w14:textId="77777777" w:rsidR="006B0E30" w:rsidRPr="00976D33" w:rsidRDefault="006B0E30" w:rsidP="69534E03">
      <w:pPr>
        <w:pStyle w:val="SourceNote"/>
        <w:rPr>
          <w:rFonts w:cs="Arial"/>
        </w:rPr>
      </w:pPr>
    </w:p>
    <w:p w14:paraId="64F161D2" w14:textId="77777777" w:rsidR="006B0E30" w:rsidRPr="00976D33" w:rsidRDefault="006B0E30" w:rsidP="006B0E30">
      <w:pPr>
        <w:pStyle w:val="SourceNote"/>
        <w:rPr>
          <w:rFonts w:cs="Arial"/>
        </w:rPr>
      </w:pPr>
      <w:r>
        <w:t>Burimi: Banka Botërore dhe Agjencia e Statistikave të Kosovës, Analiza e ekspertëve</w:t>
      </w:r>
    </w:p>
    <w:p w14:paraId="353C6AE5" w14:textId="11EA5F4B" w:rsidR="006B0E30" w:rsidRPr="00976D33" w:rsidRDefault="0002721C" w:rsidP="006B0E30">
      <w:pPr>
        <w:pStyle w:val="BodyText"/>
        <w:rPr>
          <w:rFonts w:asciiTheme="majorHAnsi" w:hAnsiTheme="majorHAnsi" w:cstheme="majorHAnsi"/>
          <w:i w:val="0"/>
          <w:iCs/>
          <w:sz w:val="20"/>
          <w:szCs w:val="24"/>
        </w:rPr>
      </w:pPr>
      <w:r>
        <w:rPr>
          <w:i w:val="0"/>
          <w:sz w:val="20"/>
        </w:rPr>
        <w:t>Modeli i rritjes në zhvillim i Kosovës po largohet nga varësia e madhe në remitencat drejt një qasjeje më të orientuar kah investimet dhe eksportet. Si rezultat i këtij ndryshimi, Kosova ka parë potencial në rritje për sa i përket tërheqjes së investimeve, duke u mbështetur në avantazhet siç janë strukturat e kostos konkurruese dhe trendët që kanë të bëjnë me tërheqjen e investimeve. Si rezultat, Kosova arriti vlerën kulmore të flukseve të IHD-ve prej 844 milionë euro në vitin 2023, madje duke përmirësuar edhe vlerat historike të vitit 2022 prej 778 milionë euro (</w:t>
      </w:r>
      <w:r w:rsidR="0061649F" w:rsidRPr="00976D33">
        <w:rPr>
          <w:i w:val="0"/>
          <w:sz w:val="20"/>
        </w:rPr>
        <w:fldChar w:fldCharType="begin"/>
      </w:r>
      <w:r w:rsidR="0061649F" w:rsidRPr="00976D33">
        <w:rPr>
          <w:i w:val="0"/>
          <w:sz w:val="20"/>
        </w:rPr>
        <w:instrText xml:space="preserve"> REF _Ref164209125 \h  \* MERGEFORMAT </w:instrText>
      </w:r>
      <w:r w:rsidR="0061649F" w:rsidRPr="00976D33">
        <w:rPr>
          <w:i w:val="0"/>
          <w:sz w:val="20"/>
        </w:rPr>
      </w:r>
      <w:r w:rsidR="0061649F" w:rsidRPr="00976D33">
        <w:rPr>
          <w:i w:val="0"/>
          <w:sz w:val="20"/>
        </w:rPr>
        <w:fldChar w:fldCharType="separate"/>
      </w:r>
      <w:r w:rsidR="003B7FFA" w:rsidRPr="003B7FFA">
        <w:rPr>
          <w:i w:val="0"/>
          <w:sz w:val="20"/>
        </w:rPr>
        <w:t>Figura 6</w:t>
      </w:r>
      <w:r w:rsidR="0061649F" w:rsidRPr="00976D33">
        <w:rPr>
          <w:i w:val="0"/>
          <w:sz w:val="20"/>
        </w:rPr>
        <w:fldChar w:fldCharType="end"/>
      </w:r>
      <w:r>
        <w:rPr>
          <w:i w:val="0"/>
          <w:sz w:val="20"/>
        </w:rPr>
        <w:t>). Megjithëse pjesëmarrja e Kosovës në flukset totale të IHD-ve në Ballkanin Perëndimor gjatë dekadës së kaluar ishte relativisht modeste me 6%, flukset rekorde të IHD-ve në vitin 2022 dhe 2023 tregojnë progres premtues. Kjo tregon se Kosova është në rrugë të mirë në realizimin e këtij potenciali, p.sh. përmes përfitimit nga trendët e fundit të afrimit.</w:t>
      </w:r>
      <w:r>
        <w:rPr>
          <w:rFonts w:asciiTheme="majorHAnsi" w:hAnsiTheme="majorHAnsi"/>
          <w:i w:val="0"/>
          <w:sz w:val="20"/>
        </w:rPr>
        <w:t xml:space="preserve"> </w:t>
      </w:r>
    </w:p>
    <w:p w14:paraId="69DDB26C" w14:textId="1AF02A04" w:rsidR="00A87B2C" w:rsidRPr="00976D33" w:rsidRDefault="00A87B2C" w:rsidP="00A87B2C">
      <w:pPr>
        <w:pStyle w:val="Caption"/>
        <w:keepNext/>
      </w:pPr>
      <w:bookmarkStart w:id="29" w:name="_Ref164209125"/>
      <w:bookmarkStart w:id="30" w:name="_Toc181867209"/>
      <w:r>
        <w:lastRenderedPageBreak/>
        <w:t xml:space="preserve">Figura </w:t>
      </w:r>
      <w:r w:rsidRPr="00976D33">
        <w:fldChar w:fldCharType="begin"/>
      </w:r>
      <w:r w:rsidRPr="00976D33">
        <w:instrText>SEQ Figure \* ARABIC</w:instrText>
      </w:r>
      <w:r w:rsidRPr="00976D33">
        <w:fldChar w:fldCharType="separate"/>
      </w:r>
      <w:r w:rsidR="003B7FFA">
        <w:rPr>
          <w:noProof/>
        </w:rPr>
        <w:t>6</w:t>
      </w:r>
      <w:r w:rsidRPr="00976D33">
        <w:fldChar w:fldCharType="end"/>
      </w:r>
      <w:bookmarkEnd w:id="29"/>
      <w:r>
        <w:t>. Investimet e huaja direkte në Kosovë, 2009 – 2023, milion. EUR</w:t>
      </w:r>
      <w:bookmarkEnd w:id="30"/>
    </w:p>
    <w:p w14:paraId="7912D443" w14:textId="34CE81A7" w:rsidR="00A87B2C" w:rsidRPr="00976D33" w:rsidRDefault="0048336B" w:rsidP="006B0E30">
      <w:pPr>
        <w:pStyle w:val="SourceNote"/>
        <w:rPr>
          <w:rFonts w:cs="Arial"/>
        </w:rPr>
      </w:pPr>
      <w:r>
        <w:rPr>
          <w:i w:val="0"/>
        </w:rPr>
        <w:t xml:space="preserve"> </w:t>
      </w:r>
      <w:r>
        <w:rPr>
          <w:noProof/>
          <w:lang w:val="en-US"/>
        </w:rPr>
        <w:drawing>
          <wp:inline distT="0" distB="0" distL="0" distR="0" wp14:anchorId="3B7D0233" wp14:editId="3FB6E541">
            <wp:extent cx="6079490" cy="2232025"/>
            <wp:effectExtent l="0" t="0" r="0" b="0"/>
            <wp:docPr id="9611549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79490" cy="2232025"/>
                    </a:xfrm>
                    <a:prstGeom prst="rect">
                      <a:avLst/>
                    </a:prstGeom>
                    <a:noFill/>
                    <a:ln>
                      <a:noFill/>
                    </a:ln>
                  </pic:spPr>
                </pic:pic>
              </a:graphicData>
            </a:graphic>
          </wp:inline>
        </w:drawing>
      </w:r>
    </w:p>
    <w:p w14:paraId="62661848" w14:textId="77777777" w:rsidR="006B0E30" w:rsidRPr="00976D33" w:rsidRDefault="006B0E30" w:rsidP="006B0E30">
      <w:pPr>
        <w:pStyle w:val="SourceNote"/>
        <w:rPr>
          <w:rFonts w:cs="Arial"/>
        </w:rPr>
      </w:pPr>
      <w:r>
        <w:t>Burimi: Banka Qendrore e Kosovës</w:t>
      </w:r>
    </w:p>
    <w:p w14:paraId="01BE6B6F" w14:textId="653D498A" w:rsidR="0035199A" w:rsidRPr="00976D33" w:rsidRDefault="0027589E" w:rsidP="0035199A">
      <w:pPr>
        <w:rPr>
          <w:rFonts w:cs="Arial"/>
          <w:szCs w:val="20"/>
        </w:rPr>
      </w:pPr>
      <w:bookmarkStart w:id="31" w:name="_Ref40710458"/>
      <w:bookmarkStart w:id="32" w:name="_Toc46216218"/>
      <w:r>
        <w:t xml:space="preserve">Krahasuar me vendet e tjera të Evropës, Kosova ka emetime më të ulëta (5 ton ekuivalent CO2) për kokë banori, sesa mesatarja e Bashkimit Evropian, por ka emetime më të larta se disa nga vendet e rajonit. Sa i përket emetimeve të CO2 për njësi të BPV-së (Bruto Produkti Vendor), Kosova me 0.5 kg CO2 për Euro ka emetime më të larta se mesatarja e Bashkimit Evropian dhe krahasuar me të gjitha vendet e tjera të rajonit, përveç Bosnjës dhe Hercegovinës. </w:t>
      </w:r>
    </w:p>
    <w:p w14:paraId="00258F32" w14:textId="77777777" w:rsidR="00A63854" w:rsidRDefault="00E56411" w:rsidP="0027589E">
      <w:pPr>
        <w:rPr>
          <w:rFonts w:ascii="Segoe UI" w:eastAsia="Segoe UI" w:hAnsi="Segoe UI" w:cs="Segoe UI"/>
          <w:color w:val="0D0D0D"/>
          <w:szCs w:val="20"/>
        </w:rPr>
      </w:pPr>
      <w:bookmarkStart w:id="33" w:name="_Hlk45697754"/>
      <w:bookmarkEnd w:id="31"/>
      <w:bookmarkEnd w:id="32"/>
      <w:r>
        <w:t>Në janar 2024, Kosova miratoi Ligjin e ri për Ndryshimet Klimatike, duke përcaktuar detyrat dhe përgjegjësitë e autoriteteve shtetërore në zbutjen e efekteve të ndryshimeve klimatike, koordinimin dhe monitorimin e rezultateve të tyre dhe përmbushjen e detyrimeve të përcaktuara në marrëveshjet ndërkombëtare të detyrueshme për Kosovën.</w:t>
      </w:r>
      <w:r>
        <w:rPr>
          <w:rFonts w:ascii="Segoe UI" w:hAnsi="Segoe UI"/>
          <w:color w:val="0D0D0D"/>
        </w:rPr>
        <w:t xml:space="preserve"> </w:t>
      </w:r>
    </w:p>
    <w:p w14:paraId="1EF32868" w14:textId="38716FA9" w:rsidR="00FC466F" w:rsidRDefault="006C7101" w:rsidP="0027589E">
      <w:r>
        <w:t>Kosova nuk është palë nënshkruese e UNFCCC-së e as palë e Marrëveshjes së Parisit-së, kështu që nuk ka obligim ligjor për raportim të rregullt (Komunikimet Kombëtare për Ndryshimet Klimatike dhe Raportet Përditësuese Dyvjeçare). Megjithatë, Ligj për Ndryshimet Klimatike përcakton bazën ligjore për zhvillimin e kontributeve vullnetare të përcaktuara në nivel kombëtar.  (KPK). Plani për zhvillimin e KPT-ve vullnetare u njoftua në COP28 në Dubai dhe grupi punues është themeluar për të finalizuar KPK-të. Po ashtu, pavarësisht mungesës së detyrimit ligjor për të raportuar për inventarin e GS-ve në platformën e UNFCCC-së, përmes të dhënave të Agjencisë së Kosovës për Mbrojtjen e Mjedisit me burime vetanake dhe mbështetje bilaterale, vazhdojmë të publikojmë dy herë në vit inventarin e GS-ve, duke ditur se nevojitet një sistem më i gjerë dhe më gjithëpërfshirës.</w:t>
      </w:r>
    </w:p>
    <w:p w14:paraId="012C3CAC" w14:textId="249BB2B7" w:rsidR="0027589E" w:rsidRPr="00976D33" w:rsidRDefault="00FC466F" w:rsidP="0027589E">
      <w:r>
        <w:t xml:space="preserve">Para miratimit të Ligjit për Ndryshimet Klimatike dhe dokumenteve strategjike të ndërlidhura që aktualisht po hartohen, </w:t>
      </w:r>
      <w:hyperlink r:id="rId33" w:history="1">
        <w:r>
          <w:rPr>
            <w:rStyle w:val="Hyperlink"/>
          </w:rPr>
          <w:t>Strategjia për Ndryshimet Klimatike (SNK) 2019-2028 dhe Plani i Veprimit për Ndryshimet Klimatike (PVNK) 2019-2021</w:t>
        </w:r>
      </w:hyperlink>
      <w:r>
        <w:t xml:space="preserve">, i miratuar në vitin 2018, ka qenë dokumenti kryesor strategjik në lidhje me emetimet e GS-ve si pjesë e dimensionit të dekarbonizimi. SNK kryesisht përfiton nga dokumentet e zhvilluara më parë (2016) </w:t>
      </w:r>
      <w:hyperlink r:id="rId34" w:history="1">
        <w:r>
          <w:rPr>
            <w:rStyle w:val="Hyperlink"/>
          </w:rPr>
          <w:t>– Plani i Veprimit për Strategjinë për Ndryshimet Klimatike</w:t>
        </w:r>
      </w:hyperlink>
      <w:r>
        <w:t xml:space="preserve"> dhe Raporti i Kornizës Ligjore të Kosovës në Sektorin e Klimës kundrejt Kërkesave të Legjislacionit të BE-së për Klimën.</w:t>
      </w:r>
    </w:p>
    <w:p w14:paraId="19204092" w14:textId="1FB68FEF" w:rsidR="0027589E" w:rsidRPr="00976D33" w:rsidRDefault="0027589E" w:rsidP="0027589E">
      <w:r>
        <w:t>Kjo SNK ka dy komponentë kryesorë – i) zhvillimi i emetimeve të ulëta (reduktimi ose zbutja e emetimeve të GS-ve) dhe ii) përshtatja ndaj ndryshimeve klimatike. SNK ka vendosur pesë objektiva strategjikë, nga të cilët dy janë për zhvillimin e emetimeve të ulëta dhe tri për përshtatjen ndaj ndryshimeve klimatike, si në vijim:</w:t>
      </w:r>
    </w:p>
    <w:p w14:paraId="0559E05A" w14:textId="0E92B2A4" w:rsidR="0027589E" w:rsidRPr="00976D33" w:rsidRDefault="0027589E" w:rsidP="00AF7BBF">
      <w:pPr>
        <w:pStyle w:val="ListParagraph"/>
        <w:numPr>
          <w:ilvl w:val="0"/>
          <w:numId w:val="109"/>
        </w:numPr>
        <w:ind w:left="630"/>
      </w:pPr>
      <w:r>
        <w:t>Zhvillimi i kapaciteteve të Kosovës për të përmbushur obligimet e saj sipas Konventës së UNFCCC-së dhe BE-së;</w:t>
      </w:r>
    </w:p>
    <w:p w14:paraId="64008FB3" w14:textId="2CCBC400" w:rsidR="0027589E" w:rsidRPr="00976D33" w:rsidRDefault="0027589E" w:rsidP="00AF7BBF">
      <w:pPr>
        <w:pStyle w:val="ListParagraph"/>
        <w:numPr>
          <w:ilvl w:val="0"/>
          <w:numId w:val="109"/>
        </w:numPr>
        <w:ind w:left="630"/>
      </w:pPr>
      <w:r>
        <w:t>Reduktimi i emetimeve të GS-ve.</w:t>
      </w:r>
    </w:p>
    <w:p w14:paraId="0495C278" w14:textId="2EAD838E" w:rsidR="0027589E" w:rsidRPr="00976D33" w:rsidRDefault="0027589E" w:rsidP="00AF7BBF">
      <w:pPr>
        <w:pStyle w:val="ListParagraph"/>
        <w:numPr>
          <w:ilvl w:val="0"/>
          <w:numId w:val="109"/>
        </w:numPr>
        <w:ind w:left="630"/>
      </w:pPr>
      <w:r>
        <w:t>Zhvillimi i mekanizmave për zbutjen e rrezikut nga fatkeqësitë dhe përmirësimi i masave aktuale për zbutjen e rrezikut nga fatkeqësitë, në sektorët me rëndësi ekonomike që janë veçanërisht të ndjeshëm ndaj ndryshimeve klimatike;</w:t>
      </w:r>
    </w:p>
    <w:p w14:paraId="005225A1" w14:textId="023F9796" w:rsidR="0027589E" w:rsidRPr="00976D33" w:rsidRDefault="0027589E" w:rsidP="00AF7BBF">
      <w:pPr>
        <w:pStyle w:val="ListParagraph"/>
        <w:numPr>
          <w:ilvl w:val="0"/>
          <w:numId w:val="109"/>
        </w:numPr>
        <w:ind w:left="630"/>
      </w:pPr>
      <w:r>
        <w:t>Ngritja e kapaciteteve për përshtatje të sistemeve natyrore;</w:t>
      </w:r>
    </w:p>
    <w:p w14:paraId="6A7A2F28" w14:textId="101E179D" w:rsidR="0027589E" w:rsidRPr="00976D33" w:rsidRDefault="0027589E" w:rsidP="00AF7BBF">
      <w:pPr>
        <w:pStyle w:val="ListParagraph"/>
        <w:numPr>
          <w:ilvl w:val="0"/>
          <w:numId w:val="109"/>
        </w:numPr>
        <w:ind w:left="630"/>
      </w:pPr>
      <w:r>
        <w:t>Ngritja e kapaciteteve të palëve qendrore dhe lokale të interesit për të integruar çështjet e ndryshimeve klimatike dhe përshtatjen me proceset zhvillimore.</w:t>
      </w:r>
    </w:p>
    <w:p w14:paraId="6C700F09" w14:textId="4BC75D2F" w:rsidR="0027589E" w:rsidRPr="00976D33" w:rsidRDefault="0027589E" w:rsidP="0027589E">
      <w:r>
        <w:lastRenderedPageBreak/>
        <w:t>Plani i Veprimit për Ndryshimet Klimatike 2019-2021 parasheh një listë me 11 objektivave specifike dhe 28 aktiviteteve/masave që priten të ndërmerren për të reduktuar emetimet e GS-ve dhe për t’iu përshtatur ndryshimeve klimatike deri në vitin 2021.</w:t>
      </w:r>
    </w:p>
    <w:p w14:paraId="21FDBE03" w14:textId="347D1F44" w:rsidR="0027589E" w:rsidRPr="00976D33" w:rsidRDefault="0027589E" w:rsidP="0027589E">
      <w:r>
        <w:t xml:space="preserve">Masat kryesore për arritjen e objektivave strategjikë për zhvillimin e emetimeve të ulëta bazohen ose janë në vijim, dhe përfshijnë: </w:t>
      </w:r>
    </w:p>
    <w:p w14:paraId="1E6F48BE" w14:textId="1544DD5C" w:rsidR="0027589E" w:rsidRPr="00976D33" w:rsidRDefault="0027589E" w:rsidP="00AF7BBF">
      <w:pPr>
        <w:pStyle w:val="ListParagraph"/>
        <w:numPr>
          <w:ilvl w:val="0"/>
          <w:numId w:val="23"/>
        </w:numPr>
        <w:ind w:left="630"/>
      </w:pPr>
      <w:r>
        <w:t>Krijimin e Sistemit Kombëtar të Inventarizimit të GS-ve dhe forcimi i kapaciteteve raportuese</w:t>
      </w:r>
    </w:p>
    <w:p w14:paraId="2E4657B9" w14:textId="146EBBB8" w:rsidR="0027589E" w:rsidRPr="00976D33" w:rsidRDefault="0027589E" w:rsidP="00AF7BBF">
      <w:pPr>
        <w:pStyle w:val="ListParagraph"/>
        <w:numPr>
          <w:ilvl w:val="0"/>
          <w:numId w:val="23"/>
        </w:numPr>
        <w:ind w:left="630"/>
      </w:pPr>
      <w:r>
        <w:t>Zbatimin e Planit Kombëtar të Veprimit për Efiçiencën e Energjisë 2019 - 2021</w:t>
      </w:r>
    </w:p>
    <w:p w14:paraId="5BA01E9C" w14:textId="4429B06F" w:rsidR="0027589E" w:rsidRPr="00976D33" w:rsidRDefault="0027589E" w:rsidP="00AF7BBF">
      <w:pPr>
        <w:pStyle w:val="ListParagraph"/>
        <w:numPr>
          <w:ilvl w:val="0"/>
          <w:numId w:val="23"/>
        </w:numPr>
        <w:ind w:left="630"/>
      </w:pPr>
      <w:r>
        <w:t>Implementimin e Planit Kombëtar të Veprimit për Energji të Ripërtëritshme 2011 - 2020</w:t>
      </w:r>
    </w:p>
    <w:p w14:paraId="28C32EAD" w14:textId="70DC58ED" w:rsidR="0027589E" w:rsidRPr="00976D33" w:rsidRDefault="0027589E" w:rsidP="00AF7BBF">
      <w:pPr>
        <w:pStyle w:val="ListParagraph"/>
        <w:numPr>
          <w:ilvl w:val="0"/>
          <w:numId w:val="23"/>
        </w:numPr>
        <w:ind w:left="630"/>
      </w:pPr>
      <w:r>
        <w:t>Rindërtimin dhe zgjerimin e rrjeteve të ngrohjes qendrore</w:t>
      </w:r>
    </w:p>
    <w:p w14:paraId="62E25AD1" w14:textId="12BB59C8" w:rsidR="0027589E" w:rsidRPr="00976D33" w:rsidRDefault="0027589E" w:rsidP="00AF7BBF">
      <w:pPr>
        <w:pStyle w:val="ListParagraph"/>
        <w:numPr>
          <w:ilvl w:val="0"/>
          <w:numId w:val="23"/>
        </w:numPr>
        <w:ind w:left="630"/>
      </w:pPr>
      <w:r>
        <w:t>Përmirësimin e efiçiencës së termocentraleve ekzistuese</w:t>
      </w:r>
    </w:p>
    <w:p w14:paraId="20C2F811" w14:textId="3D04F139" w:rsidR="0027589E" w:rsidRPr="00976D33" w:rsidRDefault="0027589E" w:rsidP="00AF7BBF">
      <w:pPr>
        <w:pStyle w:val="ListParagraph"/>
        <w:numPr>
          <w:ilvl w:val="0"/>
          <w:numId w:val="23"/>
        </w:numPr>
        <w:ind w:left="630"/>
      </w:pPr>
      <w:r>
        <w:t>Prezantimin e koncepteve të mobilitetit të qëndrueshëm në qytetet e Kosovës.</w:t>
      </w:r>
    </w:p>
    <w:p w14:paraId="72B36C7B" w14:textId="4D332BD7" w:rsidR="0027589E" w:rsidRPr="00976D33" w:rsidRDefault="009B27EB" w:rsidP="0027589E">
      <w:r>
        <w:t>Për të arritur objektivat strategjikë në komponentin e përshtatjes, janë parashikuar aktivitete/masa në fushat e mëposhtme:</w:t>
      </w:r>
    </w:p>
    <w:p w14:paraId="68558F63" w14:textId="230AD0B6" w:rsidR="0027589E" w:rsidRPr="00976D33" w:rsidRDefault="0027589E" w:rsidP="0027589E">
      <w:pPr>
        <w:pStyle w:val="ListParagraph"/>
      </w:pPr>
      <w:r>
        <w:t>Mbrojtja nga përmbytjet</w:t>
      </w:r>
    </w:p>
    <w:p w14:paraId="356AA79A" w14:textId="17F9CEE4" w:rsidR="0027589E" w:rsidRPr="00976D33" w:rsidRDefault="0027589E" w:rsidP="0027589E">
      <w:pPr>
        <w:pStyle w:val="ListParagraph"/>
      </w:pPr>
      <w:r>
        <w:t>Thatësira, rrjedhja e ulët dhe mungesa e uji</w:t>
      </w:r>
    </w:p>
    <w:p w14:paraId="57AC823B" w14:textId="6559C2D4" w:rsidR="0027589E" w:rsidRPr="00976D33" w:rsidRDefault="0027589E" w:rsidP="0027589E">
      <w:pPr>
        <w:pStyle w:val="ListParagraph"/>
      </w:pPr>
      <w:r>
        <w:t>Menaxhimi i pyjeve dhe biodiversitetit</w:t>
      </w:r>
    </w:p>
    <w:p w14:paraId="100CEF9F" w14:textId="33F6E847" w:rsidR="0027589E" w:rsidRPr="00976D33" w:rsidRDefault="0027589E" w:rsidP="0027589E">
      <w:pPr>
        <w:pStyle w:val="ListParagraph"/>
      </w:pPr>
      <w:r>
        <w:t>Shëndeti publik</w:t>
      </w:r>
    </w:p>
    <w:p w14:paraId="5B516699" w14:textId="1B713FC5" w:rsidR="0027589E" w:rsidRPr="00976D33" w:rsidRDefault="0027589E" w:rsidP="0027589E">
      <w:pPr>
        <w:pStyle w:val="ListParagraph"/>
      </w:pPr>
      <w:r>
        <w:t>Menaxhimi dhe shkëmbimi i informacionit</w:t>
      </w:r>
    </w:p>
    <w:p w14:paraId="5CD9F27E" w14:textId="1132227E" w:rsidR="0027589E" w:rsidRPr="00976D33" w:rsidRDefault="0027589E" w:rsidP="0027589E">
      <w:pPr>
        <w:pStyle w:val="ListParagraph"/>
      </w:pPr>
      <w:r>
        <w:t>Ngritja e kapaciteteve, trajnimit dhe ndërgjegjësimit.</w:t>
      </w:r>
    </w:p>
    <w:p w14:paraId="3038AFBB" w14:textId="0743DA81" w:rsidR="0027589E" w:rsidRPr="00976D33" w:rsidRDefault="0027589E" w:rsidP="0027589E">
      <w:pPr>
        <w:pStyle w:val="ListParagraph"/>
      </w:pPr>
      <w:r>
        <w:t>Financat, rikuperimi i kostos dhe menaxhimi i rrezikut</w:t>
      </w:r>
    </w:p>
    <w:p w14:paraId="09BA5840" w14:textId="28085A15" w:rsidR="0027589E" w:rsidRPr="00976D33" w:rsidRDefault="0027589E" w:rsidP="0027589E">
      <w:pPr>
        <w:pStyle w:val="ListParagraph"/>
      </w:pPr>
      <w:r>
        <w:t>Strukturat e bashkëpunimit</w:t>
      </w:r>
    </w:p>
    <w:p w14:paraId="4CD85562" w14:textId="5B79FBCF" w:rsidR="0027589E" w:rsidRPr="00976D33" w:rsidRDefault="0027589E" w:rsidP="00667C56">
      <w:pPr>
        <w:spacing w:after="0"/>
      </w:pPr>
      <w:r>
        <w:t>Fondet e nevojshme për implementimin e PVNK-së vlerësohen në 2,877,600 euro.</w:t>
      </w:r>
    </w:p>
    <w:p w14:paraId="100A1B6A" w14:textId="6DCAD95E" w:rsidR="00AB7C3C" w:rsidRDefault="00062E07" w:rsidP="008F7AEB">
      <w:hyperlink r:id="rId35" w:history="1">
        <w:r w:rsidR="00AB7C3C">
          <w:rPr>
            <w:rStyle w:val="Hyperlink"/>
          </w:rPr>
          <w:t>Strategjia për Ndryshimet Klimatike 2018-2027 dhe Plani i Veprimit për Ndryshimet Klimatike 2019-2021</w:t>
        </w:r>
      </w:hyperlink>
      <w:r w:rsidR="0037748E">
        <w:t xml:space="preserve"> tani po zëvendësohen nga Strategjia për Përshtatjen ndaj Ndryshimeve Klimatike dhe një Plan Veprimi përkatës, ndërsa masat zbutëse dhe caqet për klimën mbulohen nga ky Plan Kombëtar për Energji dhe Klimë dhe KPK-të vullnetare.</w:t>
      </w:r>
    </w:p>
    <w:p w14:paraId="2FB331B9" w14:textId="2A8DAA59" w:rsidR="006E1894" w:rsidRDefault="007E0FF2" w:rsidP="008F7AEB">
      <w:r>
        <w:t xml:space="preserve">Kosova vazhdon të përballet me sfida të shkaktuara nga ndryshimet klimatike që ndikojnë në ekonominë dhe popullatën tonë. Vetëm në vitin 2023, gjatë fazës së hartimit të këtij PKEK, Kosova u përball me vërshime të mëdha që prekën 21,500 persona dhe shkaktuan 28.9 milionë euro dëme. Puna e MMPHI-së për përshtatjen ndaj ndryshimeve klimatike, veçanërisht me zhvillimin e hartave të rrezikut nga vërshimet e rrezikshme, thekson se 65% e territorit të Kosovës mbetet nën rrezik të vërshimeve, dhe sipas “Raportit për Klimën dhe Zhvillimin e Vendit” të fundit nga Banka Botërore (Banka Botërore, 2024), Kosovës i nevojiten 2.8 miliardë euro investime në infrastrukturë për të shmangur deri në 14.6 miliardë euro dëme vetëm nga vërshimet. </w:t>
      </w:r>
    </w:p>
    <w:p w14:paraId="43EB097C" w14:textId="525CF943" w:rsidR="007E0FF2" w:rsidRDefault="00E96BED" w:rsidP="008F7AEB">
      <w:r>
        <w:t xml:space="preserve">Për t’iu përgjigjur këtyre kërcënimeve klimatike dhe nevojës për përshtatje ndaj ndryshimeve klimatike në një mënyrë të bazuar në prova, aktualisht po fillojmë hartimin e Strategjisë së Parë për Përshtatjen ndaj Ndryshimeve Klimatike. Kjo punë bazohet në një vlerësim të detajuar të ndjeshmërisë ndaj rreziqeve klimatike që po kryhet paralelisht me hartimin e strategjisë, mbi bazën e hartave të rrezikut nga vërshimet të zhvilluara më parë, që mbulojnë tërë vendin. </w:t>
      </w:r>
    </w:p>
    <w:p w14:paraId="71E345CA" w14:textId="77777777" w:rsidR="003B7FFA" w:rsidRPr="00976D33" w:rsidRDefault="0027589E" w:rsidP="008F7AEB">
      <w:r>
        <w:t xml:space="preserve">Në nivel lokal, komuna e Prizrenit mund të merret si rast shembullor me Planin e saj Ndërsektorial të Ndërhyrjes për Ndryshimet Klimatike 2020-2025. Përveç energjisë dhe ndryshimeve klimatike, rrugëtimi kombëtar i ndërlidhur me zhvillimin e qëndrueshëm (siç përshkruhet në </w:t>
      </w:r>
      <w:r w:rsidR="00232ECF" w:rsidRPr="00976D33">
        <w:fldChar w:fldCharType="begin"/>
      </w:r>
      <w:r w:rsidR="00232ECF" w:rsidRPr="00976D33">
        <w:instrText xml:space="preserve"> REF _Ref69867302 \h </w:instrText>
      </w:r>
      <w:r w:rsidR="004A7007" w:rsidRPr="00976D33">
        <w:instrText xml:space="preserve"> \* MERGEFORMAT </w:instrText>
      </w:r>
      <w:r w:rsidR="00232ECF" w:rsidRPr="00976D33">
        <w:fldChar w:fldCharType="separate"/>
      </w:r>
    </w:p>
    <w:p w14:paraId="36F95B4E" w14:textId="77777777" w:rsidR="003B7FFA" w:rsidRDefault="003B7FFA" w:rsidP="003B7FFA"/>
    <w:p w14:paraId="1730A22B" w14:textId="77777777" w:rsidR="003B7FFA" w:rsidRDefault="003B7FFA" w:rsidP="003B7FFA"/>
    <w:p w14:paraId="3FCA1580" w14:textId="77777777" w:rsidR="003B7FFA" w:rsidRDefault="003B7FFA" w:rsidP="003B7FFA"/>
    <w:p w14:paraId="46A7AD16" w14:textId="77777777" w:rsidR="003B7FFA" w:rsidRDefault="003B7FFA" w:rsidP="0035199A">
      <w:pPr>
        <w:pStyle w:val="Caption"/>
      </w:pPr>
    </w:p>
    <w:p w14:paraId="29A7F9D0" w14:textId="77777777" w:rsidR="003B7FFA" w:rsidRDefault="003B7FFA" w:rsidP="0035199A">
      <w:pPr>
        <w:pStyle w:val="Caption"/>
      </w:pPr>
    </w:p>
    <w:p w14:paraId="2C276BB8" w14:textId="77777777" w:rsidR="003B7FFA" w:rsidRDefault="003B7FFA" w:rsidP="0035199A">
      <w:pPr>
        <w:pStyle w:val="Caption"/>
      </w:pPr>
    </w:p>
    <w:p w14:paraId="4BC80597" w14:textId="0E21A02E" w:rsidR="008F7AEB" w:rsidRPr="00976D33" w:rsidRDefault="003B7FFA" w:rsidP="008F7AEB">
      <w:r>
        <w:t xml:space="preserve">Figura </w:t>
      </w:r>
      <w:r>
        <w:rPr>
          <w:noProof/>
        </w:rPr>
        <w:t>7</w:t>
      </w:r>
      <w:r w:rsidR="00232ECF" w:rsidRPr="00976D33">
        <w:fldChar w:fldCharType="end"/>
      </w:r>
      <w:r w:rsidR="00F12774">
        <w:t>) shërben gjithashtu si kornizë e politikave për PKEK, duke ofruar informacion thelbësor kontekstual.</w:t>
      </w:r>
      <w:bookmarkStart w:id="34" w:name="_Ref69867302"/>
    </w:p>
    <w:p w14:paraId="538B440D" w14:textId="0DD4170D" w:rsidR="0027589E" w:rsidRPr="00976D33" w:rsidRDefault="0035199A" w:rsidP="0035199A">
      <w:pPr>
        <w:pStyle w:val="Caption"/>
      </w:pPr>
      <w:bookmarkStart w:id="35" w:name="_Toc181867210"/>
      <w:r>
        <w:lastRenderedPageBreak/>
        <w:t xml:space="preserve">Figura </w:t>
      </w:r>
      <w:r w:rsidRPr="00976D33">
        <w:fldChar w:fldCharType="begin"/>
      </w:r>
      <w:r w:rsidRPr="00976D33">
        <w:instrText>SEQ Figure \* ARABIC</w:instrText>
      </w:r>
      <w:r w:rsidRPr="00976D33">
        <w:fldChar w:fldCharType="separate"/>
      </w:r>
      <w:r w:rsidR="003B7FFA">
        <w:rPr>
          <w:noProof/>
        </w:rPr>
        <w:t>7</w:t>
      </w:r>
      <w:r w:rsidRPr="00976D33">
        <w:fldChar w:fldCharType="end"/>
      </w:r>
      <w:bookmarkEnd w:id="34"/>
      <w:r>
        <w:t>. Rrugëtimi kombëtar lidhur me zhvillimin e qëndrueshëm</w:t>
      </w:r>
      <w:bookmarkEnd w:id="35"/>
    </w:p>
    <w:p w14:paraId="20BE8A88" w14:textId="77777777" w:rsidR="0027589E" w:rsidRPr="00976D33" w:rsidRDefault="0027589E" w:rsidP="0027589E">
      <w:r>
        <w:rPr>
          <w:rFonts w:ascii="Calibri" w:hAnsi="Calibri"/>
          <w:b/>
          <w:noProof/>
          <w:lang w:val="en-US"/>
        </w:rPr>
        <w:drawing>
          <wp:inline distT="0" distB="0" distL="0" distR="0" wp14:anchorId="07C782FF" wp14:editId="17CCEB22">
            <wp:extent cx="6004560" cy="4050030"/>
            <wp:effectExtent l="38100" t="19050" r="53340" b="2667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48D534C9" w14:textId="77777777" w:rsidR="0027589E" w:rsidRPr="00976D33" w:rsidRDefault="0027589E" w:rsidP="0027589E">
      <w:pPr>
        <w:spacing w:before="120"/>
        <w:rPr>
          <w:i/>
          <w:szCs w:val="20"/>
        </w:rPr>
      </w:pPr>
      <w:r>
        <w:rPr>
          <w:i/>
        </w:rPr>
        <w:t xml:space="preserve">Burimi: Përmbledhja vetanake </w:t>
      </w:r>
    </w:p>
    <w:p w14:paraId="3656D165" w14:textId="55EE11DB" w:rsidR="00803B87" w:rsidRPr="00976D33" w:rsidRDefault="00230219" w:rsidP="00015D61">
      <w:r>
        <w:t xml:space="preserve">Më 8 mars 2023, u miratua nga Kuvendi i Kosovës Strategjia Kombëtare e Energjisë 2022-2031. Vizioni kryesor i Strategjisë është arritja e një sektori të qëndrueshëm energjetik të integruar në tregun pan-evropian, duke garantuar sigurinë energjetike dhe përballueshmërinë e qytetarëve. Me miratimin e Strategjisë, Qeveria e Republikës së Kosovës angazhohet që të zbatojë një qasje të re planifikuese për të adresuar sfidat aktuale dhe për të hedhur bazat për të ardhmen e sektorit energjetik të Kosovës, i cili do të ofrojë gjithnjë e më shumë siguri të furnizimit me energji elektrike, energji e pastër, efiçiencë të energjisë, mbështetje për grupet e ndjeshme dhe pjesëmarrje më aktive nga qytetarët. </w:t>
      </w:r>
    </w:p>
    <w:p w14:paraId="275AE615" w14:textId="292FDDCB" w:rsidR="003708AC" w:rsidRDefault="00015D61" w:rsidP="00015D61">
      <w:r>
        <w:t xml:space="preserve">Strategjia parashikon që qytetarët të jenë në qendër të së ardhmes energjetike të Kosovës duke siguruar që ata të kenë qasje në energji të përballueshme, të fuqizohen për të marrë pjesë aktive në këtë sektor, duke përfshirë prodhimin dhe vetë-konsumimin, dhe duke siguruar që grupet më të ndjeshme në shoqëri përfitojnë nga skemat e dedikuara për mbështetjen e tyre (për shembull izolimi i shtëpive, instalimi i paneleve solare, blerja e pajisjeve shtëpiake efiçiente, sistemet efiçiente të ngrohjes, etj.) </w:t>
      </w:r>
    </w:p>
    <w:p w14:paraId="2B280117" w14:textId="5B196186" w:rsidR="00085720" w:rsidRPr="00976D33" w:rsidRDefault="00085720" w:rsidP="00015D61">
      <w:r>
        <w:t xml:space="preserve">Strategjia Energjisë ka për qëllim të formulojë caqe dhe masa të përshtatura për të adresuar sfidat e vazhdueshme në sektorin energjetik, duke përfshirë si në vijim: </w:t>
      </w:r>
    </w:p>
    <w:p w14:paraId="23237CE0" w14:textId="79A904B2" w:rsidR="00015D61" w:rsidRPr="00976D33" w:rsidRDefault="007E404F" w:rsidP="008C14F9">
      <w:pPr>
        <w:pStyle w:val="ListParagraph"/>
        <w:numPr>
          <w:ilvl w:val="0"/>
          <w:numId w:val="115"/>
        </w:numPr>
      </w:pPr>
      <w:r>
        <w:t xml:space="preserve"> Varësinë nga kapacitetet e vjetra të prodhimit të energjisë elektrike të bazuar në linjit, të cilat ofrojnë besueshmëri dhe fleksibilitet të pamjaftueshëm dhe janë burimi kryesor i emetimeve të GS-ve dhe ndotjes lokale. Në vitin 2022, pesha e BRE-ve në sektorin e energjisë elektrike ishte vetëm 6.9%, ndërsa biomasa e përdorur për ngrohje dominonte në përgjithësi BRE-të në sektorin e energjisë. </w:t>
      </w:r>
    </w:p>
    <w:p w14:paraId="237A6ADA" w14:textId="77777777" w:rsidR="00015D61" w:rsidRPr="00976D33" w:rsidRDefault="00015D61" w:rsidP="00015D61">
      <w:pPr>
        <w:pStyle w:val="ListParagraph"/>
      </w:pPr>
      <w:r>
        <w:t xml:space="preserve">Konsumin e lartë t energjisë (dhe për rrjedhojë, shpenzimet e ndërlidhura me energjinë) në raport me BPV-në dhe me popullsinë, për shkak të një sërë faktorësh, duke përfshirë: humbjet e larta në rrjet dhe ndërtesat joefiçiente ndaj energjisë dhe teknologjitë e vjetruara të përdorura si në sektorët rezidencial ashtu edhe në atë komercial (përfshirë ngrohjen e hapësirave dhe ujit). </w:t>
      </w:r>
    </w:p>
    <w:p w14:paraId="2A61FFFE" w14:textId="77777777" w:rsidR="00015D61" w:rsidRPr="00976D33" w:rsidRDefault="00015D61" w:rsidP="00015D61">
      <w:pPr>
        <w:pStyle w:val="ListParagraph"/>
      </w:pPr>
      <w:r>
        <w:t xml:space="preserve">Mbështetja e lartë në sistemet individuale të ngrohjes shtëpiake të bazuara në energji elektrike ose pajisje joefiçiente për djegien e thëngjillit ose drurit shkakton rritje të konsiderueshme të </w:t>
      </w:r>
      <w:r>
        <w:lastRenderedPageBreak/>
        <w:t xml:space="preserve">nevojës për import të energjisë elektrike dhe emetime të larta të GS-ve si dhe ndotje të ajrit gjatë muajve të ftohtë. </w:t>
      </w:r>
    </w:p>
    <w:p w14:paraId="0CA6821A" w14:textId="77777777" w:rsidR="00015D61" w:rsidRPr="00976D33" w:rsidRDefault="00015D61" w:rsidP="00015D61">
      <w:pPr>
        <w:pStyle w:val="ListParagraph"/>
      </w:pPr>
      <w:r>
        <w:t xml:space="preserve">Koncentrimi i lartë i tregut si në nivelin e shitjes me shumicë ashtu edhe në atë me pakicë. </w:t>
      </w:r>
    </w:p>
    <w:p w14:paraId="6AD9D637" w14:textId="7EDE6A5B" w:rsidR="00015D61" w:rsidRPr="00976D33" w:rsidRDefault="00FD1CA1" w:rsidP="00FE486A">
      <w:pPr>
        <w:spacing w:after="0"/>
        <w:rPr>
          <w:szCs w:val="20"/>
        </w:rPr>
      </w:pPr>
      <w:r>
        <w:t>Për të trajtuar në mënyrë proaktive këto sfida, Strategjia Kombëtare e Energjisë propozon pesë objektiva strategjikë:</w:t>
      </w:r>
    </w:p>
    <w:p w14:paraId="41FBF3B7" w14:textId="77777777" w:rsidR="00015D61" w:rsidRPr="00976D33" w:rsidRDefault="00015D61" w:rsidP="00AF7BBF">
      <w:pPr>
        <w:pStyle w:val="ListParagraph"/>
        <w:numPr>
          <w:ilvl w:val="0"/>
          <w:numId w:val="69"/>
        </w:numPr>
        <w:rPr>
          <w:szCs w:val="20"/>
        </w:rPr>
      </w:pPr>
      <w:r>
        <w:t>Përmirësimi i qëndrueshmërisë së sistemit</w:t>
      </w:r>
    </w:p>
    <w:p w14:paraId="79C19782" w14:textId="5EF07A8E" w:rsidR="00015D61" w:rsidRPr="00976D33" w:rsidRDefault="00BA5375" w:rsidP="00AF7BBF">
      <w:pPr>
        <w:pStyle w:val="ListParagraph"/>
        <w:numPr>
          <w:ilvl w:val="0"/>
          <w:numId w:val="69"/>
        </w:numPr>
        <w:rPr>
          <w:szCs w:val="20"/>
        </w:rPr>
      </w:pPr>
      <w:r>
        <w:t>Dekarbonizimi dhe promovimi i energjisë së ripërtëritshme.</w:t>
      </w:r>
    </w:p>
    <w:p w14:paraId="12DE42E0" w14:textId="77777777" w:rsidR="00015D61" w:rsidRPr="00976D33" w:rsidRDefault="00015D61" w:rsidP="00AF7BBF">
      <w:pPr>
        <w:pStyle w:val="ListParagraph"/>
        <w:numPr>
          <w:ilvl w:val="0"/>
          <w:numId w:val="69"/>
        </w:numPr>
        <w:rPr>
          <w:szCs w:val="20"/>
        </w:rPr>
      </w:pPr>
      <w:r>
        <w:t>Rritja e efiçiencës së energjisë</w:t>
      </w:r>
    </w:p>
    <w:p w14:paraId="73B84D89" w14:textId="77777777" w:rsidR="00015D61" w:rsidRPr="00976D33" w:rsidRDefault="00015D61" w:rsidP="00AF7BBF">
      <w:pPr>
        <w:pStyle w:val="ListParagraph"/>
        <w:numPr>
          <w:ilvl w:val="0"/>
          <w:numId w:val="69"/>
        </w:numPr>
        <w:rPr>
          <w:szCs w:val="20"/>
        </w:rPr>
      </w:pPr>
      <w:r>
        <w:t>Forcimi i bashkëpunimit rajonal dhe funksionimi i tregut</w:t>
      </w:r>
    </w:p>
    <w:p w14:paraId="00836986" w14:textId="77777777" w:rsidR="00015D61" w:rsidRPr="00976D33" w:rsidRDefault="00015D61" w:rsidP="00AF7BBF">
      <w:pPr>
        <w:pStyle w:val="ListParagraph"/>
        <w:numPr>
          <w:ilvl w:val="0"/>
          <w:numId w:val="69"/>
        </w:numPr>
        <w:rPr>
          <w:szCs w:val="20"/>
        </w:rPr>
      </w:pPr>
      <w:r>
        <w:t>Mbrojtja dhe fuqizimi i konsumatorëve</w:t>
      </w:r>
    </w:p>
    <w:p w14:paraId="1601ED58" w14:textId="16F48793" w:rsidR="0027589E" w:rsidRPr="00976D33" w:rsidRDefault="00C16119" w:rsidP="0027589E">
      <w:pPr>
        <w:rPr>
          <w:szCs w:val="20"/>
        </w:rPr>
      </w:pPr>
      <w:r>
        <w:t>Për secilin nga objektivat e lartpërmendura janë përcaktuar caqe të veçanta. Secila prej tyre është e përfshirë në këtë PKEK. Në fund të vitit 2022 është hartuar Strategjia për zhvillim industrial dhe mbështetje të bizneseve 2030, e cila është konsideruar edhe në zhvillimin e këtij PKEK. Megjithatë, ekzistojnë procese shtesë të vazhdueshme për miratimin e dokumenteve strategjike dhe planifikuese. Prandaj, bashkëpunimi dhe komunikimi me sektorët përkatës do të forcohet ose do të fillojë për të nxitur sinergjitë, për të minimizuar kompromiset, për të rritur efikasitetin dhe për të përmirësuar qeverisjen në të gjithë sektorët.</w:t>
      </w:r>
      <w:bookmarkEnd w:id="33"/>
    </w:p>
    <w:p w14:paraId="62FB183E" w14:textId="77777777" w:rsidR="0088143A" w:rsidRPr="00976D33" w:rsidRDefault="0088143A" w:rsidP="00BD4E9E">
      <w:pPr>
        <w:pStyle w:val="Heading3"/>
      </w:pPr>
      <w:r>
        <w:t xml:space="preserve"> </w:t>
      </w:r>
      <w:bookmarkStart w:id="36" w:name="_Toc182302250"/>
      <w:r>
        <w:t>Politikat dhe masat aktuale për energji dhe klimë në lidhje me pesë dimensionet e bashkimit energjetik</w:t>
      </w:r>
      <w:bookmarkEnd w:id="36"/>
      <w:r>
        <w:t xml:space="preserve"> </w:t>
      </w:r>
    </w:p>
    <w:p w14:paraId="55DDE31B" w14:textId="67641FA3" w:rsidR="000B66DF" w:rsidRPr="00976D33" w:rsidRDefault="000B66DF" w:rsidP="000B66DF">
      <w:pPr>
        <w:rPr>
          <w:rFonts w:cstheme="minorHAnsi"/>
          <w:b/>
          <w:bCs/>
          <w:sz w:val="23"/>
          <w:szCs w:val="23"/>
        </w:rPr>
      </w:pPr>
      <w:r>
        <w:rPr>
          <w:b/>
          <w:sz w:val="23"/>
        </w:rPr>
        <w:t>Dimensioni 1: Dekarbonizimi</w:t>
      </w:r>
    </w:p>
    <w:p w14:paraId="3C5E61D1" w14:textId="0A061365" w:rsidR="000B66DF" w:rsidRPr="00976D33" w:rsidRDefault="000B66DF" w:rsidP="000B66DF">
      <w:pPr>
        <w:pStyle w:val="ListParagraph"/>
        <w:numPr>
          <w:ilvl w:val="0"/>
          <w:numId w:val="0"/>
        </w:numPr>
      </w:pPr>
      <w:r>
        <w:t>Energjia e ripërtërishme përfaqëson një burim të rëndësishëm energjetik në dispozicion në Kosovë, me potencial që është ende i pashfrytëzuar. Përdorimi i burimeve të tilla për prodhimin e energjisë paraqet një masë afatgjatë për zbatimin e tri objektivave të politikës energjetike, siç janë mbështetja për zhvillimin e përgjithshëm ekonomik; rritja e sigurisë së furnizimit me energji dhe mbrojtja e mjedisit.</w:t>
      </w:r>
    </w:p>
    <w:p w14:paraId="2F0300C7" w14:textId="77777777" w:rsidR="00573F9B" w:rsidRPr="00976D33" w:rsidRDefault="000B66DF" w:rsidP="000B35ED">
      <w:r>
        <w:t xml:space="preserve">Ligjet e sektorit energjetik, veçanërisht Ligji për Energjinë, aktualisht trajtojnë BRE-të në lidhje me promovimin, optimizimin dhe përdorimin e tyre, duke përfshirë përcaktimin e objektivave vjetore dhe afatgjata të prodhimit të energjisë nga burime të tilla. Në funksion të mbështetjes dhe promovimit të përdorimit të BRE-ve, Ministria e Ekonomisë ka hartuar një plan të veprimit dhjetëvjeçar për BRE, si dokument i politikave për sektorin energjetik. </w:t>
      </w:r>
    </w:p>
    <w:p w14:paraId="7524391D" w14:textId="1FBE9BEA" w:rsidR="00573F9B" w:rsidRPr="00976D33" w:rsidRDefault="00C624F1" w:rsidP="000B35ED">
      <w:r>
        <w:t xml:space="preserve">Në përputhje me detyrimet ligjore dhe ato që dalin nga caqet e Traktatit të Komunitetit të Energjisë (TKE) për vitin 2020, Ministria e Ekonomisë (ME) ka vendosur caqet e Burimeve të Ripërtëritshme të Energjisë (BRE) për periudhën 2011-2020. Këto caqe janë përcaktuar duke marrë parasysh mundësitë dhe potencialet e BRE-ve në dispozicion në Kosovë. Veçanërisht, Kosova ka përmbushur caqet e BRE-ve për vitin 2020, kryesisht përmes shfrytëzimit të biomasës për qëllime ngrohjeje. </w:t>
      </w:r>
    </w:p>
    <w:p w14:paraId="7D2663AA" w14:textId="6FA4AA9F" w:rsidR="00F26CB9" w:rsidRPr="00976D33" w:rsidRDefault="00AA4225" w:rsidP="000B35ED">
      <w:r>
        <w:t>Për të arritur caqet e energjisë së ripërtëritshme deri në vitin 2030, Zyra e Rregullatorit për Energji zbaton rregullore specifike që synojnë përcaktimin e kapaciteteve të nevojshme energjetike. Këto rregullore parashikojnë gjithashtu kriteret dhe procedurat për zbatim, si dhe të drejtat dhe përgjegjësitë e prodhuesve të energjisë elektrike nga burimet e ripërtëritshme. Për më tepër, Rregullatori gjithashtu përfshin të drejtat dhe përgjegjësitë e KOSTT-it, financimin e skemës mbështetëse dhe integrimin e energjisë elektrike të prodhuar nga burimet e ripërtëritshme në sistemin e transmisionit apo distribuimit. Kosova gjithashtu ka bërë një hap tjetër të rëndësishëm drejt arritjes së cakut të saj për energji të ripërtëritshme për vitin 2030, duke miratuar për herë të parë Ligjin për Promovimin e Përdorimit të Burimeve të Ripërtëritshme të Energjisë në prill të vitit 2024.</w:t>
      </w:r>
    </w:p>
    <w:p w14:paraId="44CA58D5" w14:textId="5D56F80D" w:rsidR="000B66DF" w:rsidRPr="00976D33" w:rsidRDefault="00202167" w:rsidP="000B66DF">
      <w:r>
        <w:t>Siç u përmend në kapitullin e mëparshëm, Strategjia Kombëtare e Energjisë u miratua në mars të vitit 2023 dhe mbulon edhe dimensionin e dekarbonizimit, pasi disa objektiva specifike të strategjisë lidhen me dekarbonizimin dhe energjinë e ripërtëritshme. Ky objektiv strategjik adresohet nga 3 objektiva specifike:</w:t>
      </w:r>
    </w:p>
    <w:p w14:paraId="21BEC8C2" w14:textId="77777777" w:rsidR="000B66DF" w:rsidRPr="00976D33" w:rsidRDefault="000B66DF" w:rsidP="00AF7BBF">
      <w:pPr>
        <w:pStyle w:val="ListParagraph"/>
        <w:numPr>
          <w:ilvl w:val="0"/>
          <w:numId w:val="70"/>
        </w:numPr>
      </w:pPr>
      <w:r>
        <w:t>Zbatimi gradual i çmimit të karbonit,</w:t>
      </w:r>
    </w:p>
    <w:p w14:paraId="2F288B1A" w14:textId="77777777" w:rsidR="000B66DF" w:rsidRPr="00976D33" w:rsidRDefault="000B66DF" w:rsidP="00AF7BBF">
      <w:pPr>
        <w:pStyle w:val="ListParagraph"/>
        <w:numPr>
          <w:ilvl w:val="0"/>
          <w:numId w:val="70"/>
        </w:numPr>
      </w:pPr>
      <w:r>
        <w:t>Promovimi i burimeve të ripërtëritshme të energjisë në kombinimin e prodhimit të energjisë elektrike,</w:t>
      </w:r>
    </w:p>
    <w:p w14:paraId="416D2901" w14:textId="77777777" w:rsidR="000B66DF" w:rsidRPr="00976D33" w:rsidRDefault="000B66DF" w:rsidP="00AF7BBF">
      <w:pPr>
        <w:pStyle w:val="ListParagraph"/>
        <w:numPr>
          <w:ilvl w:val="0"/>
          <w:numId w:val="70"/>
        </w:numPr>
      </w:pPr>
      <w:r>
        <w:lastRenderedPageBreak/>
        <w:t>Promovimi i përdorimit të energjisë së ripërtëritshme në ngrohje.</w:t>
      </w:r>
    </w:p>
    <w:p w14:paraId="1B322A1A" w14:textId="2F5DFEEF" w:rsidR="005969E0" w:rsidRPr="00976D33" w:rsidRDefault="000B66DF" w:rsidP="007A4BDF">
      <w:r>
        <w:t>Krahas Strategjisë Kombëtare të Energjisë, në maj të vitit 2023 është miratuar raporti i 5-të i progresit për energjinë e ripërtëritshme të Republikës së Kosovës 2020-2021. Në këtë dokument paraqitet një listë e politikave dhe masave që janë realizuar në periudhën 2020-2021. Shumica e masave janë ende relevante dhe në vazhdim e sipër (</w:t>
      </w:r>
      <w:r w:rsidRPr="00976D33">
        <w:fldChar w:fldCharType="begin"/>
      </w:r>
      <w:r w:rsidRPr="00976D33">
        <w:instrText xml:space="preserve"> REF _Ref138172964 \h </w:instrText>
      </w:r>
      <w:r w:rsidR="004A7007" w:rsidRPr="00976D33">
        <w:instrText xml:space="preserve"> \* MERGEFORMAT </w:instrText>
      </w:r>
      <w:r w:rsidRPr="00976D33">
        <w:fldChar w:fldCharType="separate"/>
      </w:r>
      <w:r w:rsidR="003B7FFA">
        <w:t>Tabela 3</w:t>
      </w:r>
      <w:r w:rsidRPr="00976D33">
        <w:fldChar w:fldCharType="end"/>
      </w:r>
      <w:r>
        <w:t>).</w:t>
      </w:r>
    </w:p>
    <w:p w14:paraId="5E5B9D82" w14:textId="5A5ABB5A" w:rsidR="00595CD6" w:rsidRDefault="000B66DF" w:rsidP="00595CD6">
      <w:pPr>
        <w:pStyle w:val="Caption"/>
      </w:pPr>
      <w:bookmarkStart w:id="37" w:name="_Ref138172964"/>
      <w:bookmarkStart w:id="38" w:name="_Toc181867296"/>
      <w:r>
        <w:t xml:space="preserve">Tabela </w:t>
      </w:r>
      <w:r w:rsidRPr="00976D33">
        <w:fldChar w:fldCharType="begin"/>
      </w:r>
      <w:r w:rsidRPr="00976D33">
        <w:instrText>SEQ Table \* ARABIC</w:instrText>
      </w:r>
      <w:r w:rsidRPr="00976D33">
        <w:fldChar w:fldCharType="separate"/>
      </w:r>
      <w:r w:rsidR="003B7FFA">
        <w:rPr>
          <w:noProof/>
        </w:rPr>
        <w:t>3</w:t>
      </w:r>
      <w:r w:rsidRPr="00976D33">
        <w:fldChar w:fldCharType="end"/>
      </w:r>
      <w:bookmarkEnd w:id="37"/>
      <w:r>
        <w:t>. Lista e politikave dhe masave të raportuara në raportin e 5</w:t>
      </w:r>
      <w:r>
        <w:rPr>
          <w:vertAlign w:val="superscript"/>
        </w:rPr>
        <w:t>-të</w:t>
      </w:r>
      <w:r>
        <w:t xml:space="preserve"> të progresit për energjinë e ripërtëritshme të Republikës së Kosovës 2020-2021</w:t>
      </w:r>
      <w:bookmarkEnd w:id="38"/>
    </w:p>
    <w:tbl>
      <w:tblPr>
        <w:tblStyle w:val="GridTable5DarkAccent100"/>
        <w:tblW w:w="5000" w:type="pct"/>
        <w:tblLook w:val="04A0" w:firstRow="1" w:lastRow="0" w:firstColumn="1" w:lastColumn="0" w:noHBand="0" w:noVBand="1"/>
      </w:tblPr>
      <w:tblGrid>
        <w:gridCol w:w="1848"/>
        <w:gridCol w:w="1385"/>
        <w:gridCol w:w="3265"/>
        <w:gridCol w:w="1739"/>
        <w:gridCol w:w="1327"/>
      </w:tblGrid>
      <w:tr w:rsidR="000B66DF" w:rsidRPr="00976D33" w14:paraId="5A7D3F61" w14:textId="77777777" w:rsidTr="00FE486A">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966" w:type="pct"/>
            <w:vAlign w:val="center"/>
          </w:tcPr>
          <w:p w14:paraId="0F7A8172" w14:textId="77777777" w:rsidR="000B66DF" w:rsidRPr="00976D33" w:rsidRDefault="000B66DF">
            <w:pPr>
              <w:spacing w:after="0" w:line="259" w:lineRule="auto"/>
              <w:ind w:left="3"/>
              <w:jc w:val="left"/>
              <w:rPr>
                <w:rFonts w:asciiTheme="majorHAnsi" w:hAnsiTheme="majorHAnsi" w:cstheme="majorHAnsi"/>
                <w:color w:val="FFFFFF" w:themeColor="background1"/>
                <w:sz w:val="16"/>
                <w:szCs w:val="16"/>
              </w:rPr>
            </w:pPr>
            <w:r>
              <w:rPr>
                <w:rFonts w:asciiTheme="majorHAnsi" w:hAnsiTheme="majorHAnsi"/>
                <w:color w:val="FFFFFF" w:themeColor="background1"/>
                <w:sz w:val="16"/>
              </w:rPr>
              <w:t xml:space="preserve">Emri dhe </w:t>
            </w:r>
          </w:p>
          <w:p w14:paraId="69C49A80" w14:textId="77777777" w:rsidR="000B66DF" w:rsidRPr="00976D33" w:rsidRDefault="000B66DF">
            <w:pPr>
              <w:spacing w:after="0" w:line="259" w:lineRule="auto"/>
              <w:ind w:left="3"/>
              <w:jc w:val="left"/>
              <w:rPr>
                <w:rFonts w:asciiTheme="majorHAnsi" w:hAnsiTheme="majorHAnsi" w:cstheme="majorHAnsi"/>
                <w:color w:val="FFFFFF" w:themeColor="background1"/>
                <w:sz w:val="16"/>
                <w:szCs w:val="16"/>
              </w:rPr>
            </w:pPr>
            <w:r>
              <w:rPr>
                <w:rFonts w:asciiTheme="majorHAnsi" w:hAnsiTheme="majorHAnsi"/>
                <w:color w:val="FFFFFF" w:themeColor="background1"/>
                <w:sz w:val="16"/>
              </w:rPr>
              <w:t xml:space="preserve">referenca e masës </w:t>
            </w:r>
          </w:p>
        </w:tc>
        <w:tc>
          <w:tcPr>
            <w:tcW w:w="724" w:type="pct"/>
            <w:vAlign w:val="center"/>
          </w:tcPr>
          <w:p w14:paraId="36680129" w14:textId="77777777" w:rsidR="000B66DF" w:rsidRPr="00976D33" w:rsidRDefault="000B66DF">
            <w:pPr>
              <w:spacing w:after="0" w:line="259" w:lineRule="auto"/>
              <w:ind w:left="3"/>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6"/>
                <w:szCs w:val="16"/>
              </w:rPr>
            </w:pPr>
            <w:r>
              <w:rPr>
                <w:rFonts w:asciiTheme="majorHAnsi" w:hAnsiTheme="majorHAnsi"/>
                <w:color w:val="FFFFFF" w:themeColor="background1"/>
                <w:sz w:val="16"/>
              </w:rPr>
              <w:t>Lloji i masës*</w:t>
            </w:r>
          </w:p>
        </w:tc>
        <w:tc>
          <w:tcPr>
            <w:tcW w:w="1707" w:type="pct"/>
            <w:vAlign w:val="center"/>
          </w:tcPr>
          <w:p w14:paraId="4F014182" w14:textId="77777777" w:rsidR="000B66DF" w:rsidRPr="00976D33" w:rsidRDefault="000B66DF">
            <w:pPr>
              <w:spacing w:after="0" w:line="259" w:lineRule="auto"/>
              <w:ind w:right="43"/>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6"/>
                <w:szCs w:val="16"/>
              </w:rPr>
            </w:pPr>
            <w:r>
              <w:rPr>
                <w:rFonts w:asciiTheme="majorHAnsi" w:hAnsiTheme="majorHAnsi"/>
                <w:color w:val="FFFFFF" w:themeColor="background1"/>
                <w:sz w:val="16"/>
              </w:rPr>
              <w:t>Rezultati i pritur **</w:t>
            </w:r>
          </w:p>
        </w:tc>
        <w:tc>
          <w:tcPr>
            <w:tcW w:w="909" w:type="pct"/>
            <w:vAlign w:val="center"/>
          </w:tcPr>
          <w:p w14:paraId="7E3AFA3B" w14:textId="77777777" w:rsidR="000B66DF" w:rsidRPr="00976D33" w:rsidRDefault="000B66DF">
            <w:pPr>
              <w:spacing w:after="0" w:line="259" w:lineRule="auto"/>
              <w:ind w:left="18" w:right="2"/>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6"/>
                <w:szCs w:val="16"/>
              </w:rPr>
            </w:pPr>
            <w:r>
              <w:rPr>
                <w:rFonts w:asciiTheme="majorHAnsi" w:hAnsiTheme="majorHAnsi"/>
                <w:color w:val="FFFFFF" w:themeColor="background1"/>
                <w:sz w:val="16"/>
              </w:rPr>
              <w:t>Grupi i synuar dhe ose aktiviteti***</w:t>
            </w:r>
          </w:p>
        </w:tc>
        <w:tc>
          <w:tcPr>
            <w:tcW w:w="694" w:type="pct"/>
            <w:vAlign w:val="center"/>
          </w:tcPr>
          <w:p w14:paraId="379E99C0" w14:textId="77777777" w:rsidR="000B66DF" w:rsidRPr="00976D33" w:rsidRDefault="000B66DF">
            <w:pPr>
              <w:spacing w:after="0" w:line="259"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6"/>
                <w:szCs w:val="16"/>
              </w:rPr>
            </w:pPr>
            <w:r>
              <w:rPr>
                <w:rFonts w:asciiTheme="majorHAnsi" w:hAnsiTheme="majorHAnsi"/>
                <w:color w:val="FFFFFF" w:themeColor="background1"/>
                <w:sz w:val="16"/>
              </w:rPr>
              <w:t>Datat e fillimit dhe përfundimit të masës</w:t>
            </w:r>
          </w:p>
        </w:tc>
      </w:tr>
      <w:tr w:rsidR="000B66DF" w:rsidRPr="00976D33" w14:paraId="1EE6F13C" w14:textId="77777777" w:rsidTr="00516514">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966" w:type="pct"/>
            <w:vAlign w:val="center"/>
          </w:tcPr>
          <w:p w14:paraId="11F543E8" w14:textId="77777777" w:rsidR="000B66DF" w:rsidRPr="00976D33" w:rsidRDefault="000B66DF">
            <w:pPr>
              <w:spacing w:after="0" w:line="259" w:lineRule="auto"/>
              <w:ind w:left="3"/>
              <w:jc w:val="left"/>
              <w:rPr>
                <w:rFonts w:asciiTheme="majorHAnsi" w:hAnsiTheme="majorHAnsi" w:cstheme="majorHAnsi"/>
                <w:color w:val="FFFFFF" w:themeColor="background1"/>
                <w:sz w:val="16"/>
                <w:szCs w:val="16"/>
              </w:rPr>
            </w:pPr>
            <w:r>
              <w:rPr>
                <w:rFonts w:asciiTheme="majorHAnsi" w:hAnsiTheme="majorHAnsi"/>
                <w:color w:val="FFFFFF" w:themeColor="background1"/>
                <w:sz w:val="16"/>
              </w:rPr>
              <w:t xml:space="preserve">1. Ligji për Energjinë Elektrike nr. 05/L-081 </w:t>
            </w:r>
          </w:p>
        </w:tc>
        <w:tc>
          <w:tcPr>
            <w:tcW w:w="724" w:type="pct"/>
          </w:tcPr>
          <w:p w14:paraId="093AE2B1" w14:textId="77777777" w:rsidR="000B66DF" w:rsidRPr="00976D33" w:rsidRDefault="000B66DF">
            <w:pPr>
              <w:spacing w:after="0" w:line="259" w:lineRule="auto"/>
              <w:ind w:left="3"/>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Rregullator </w:t>
            </w:r>
          </w:p>
        </w:tc>
        <w:tc>
          <w:tcPr>
            <w:tcW w:w="1707" w:type="pct"/>
          </w:tcPr>
          <w:p w14:paraId="331757C0" w14:textId="77777777" w:rsidR="000B66DF" w:rsidRPr="00976D33" w:rsidRDefault="000B66DF">
            <w:pPr>
              <w:spacing w:after="0" w:line="259"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Promovimi, optimizimi dhe përdorimi, duke përfshirë përcaktimin e objektivave vjetore dhe afatgjata të prodhimit të energjisë nga burime të tilla </w:t>
            </w:r>
          </w:p>
        </w:tc>
        <w:tc>
          <w:tcPr>
            <w:tcW w:w="909" w:type="pct"/>
          </w:tcPr>
          <w:p w14:paraId="218E241D" w14:textId="77777777" w:rsidR="000B66DF" w:rsidRPr="00976D33" w:rsidRDefault="000B66DF">
            <w:pPr>
              <w:spacing w:after="0" w:line="259" w:lineRule="auto"/>
              <w:ind w:left="3"/>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Investitorët, përdoruesit përfundimtarë, administrata publike </w:t>
            </w:r>
          </w:p>
        </w:tc>
        <w:tc>
          <w:tcPr>
            <w:tcW w:w="694" w:type="pct"/>
          </w:tcPr>
          <w:p w14:paraId="650C2B53" w14:textId="77777777" w:rsidR="000B66DF" w:rsidRPr="00976D33" w:rsidRDefault="000B66DF">
            <w:pPr>
              <w:spacing w:after="0" w:line="259"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13 korrik 2016 - në vazhdim</w:t>
            </w:r>
          </w:p>
        </w:tc>
      </w:tr>
      <w:tr w:rsidR="000B66DF" w:rsidRPr="00976D33" w14:paraId="248EBA0B" w14:textId="77777777" w:rsidTr="00516514">
        <w:trPr>
          <w:trHeight w:val="1526"/>
        </w:trPr>
        <w:tc>
          <w:tcPr>
            <w:cnfStyle w:val="001000000000" w:firstRow="0" w:lastRow="0" w:firstColumn="1" w:lastColumn="0" w:oddVBand="0" w:evenVBand="0" w:oddHBand="0" w:evenHBand="0" w:firstRowFirstColumn="0" w:firstRowLastColumn="0" w:lastRowFirstColumn="0" w:lastRowLastColumn="0"/>
            <w:tcW w:w="966" w:type="pct"/>
            <w:vAlign w:val="center"/>
          </w:tcPr>
          <w:p w14:paraId="1CC15BB9" w14:textId="77777777" w:rsidR="000B66DF" w:rsidRPr="00976D33" w:rsidRDefault="000B66DF">
            <w:pPr>
              <w:spacing w:after="0" w:line="259" w:lineRule="auto"/>
              <w:ind w:left="3"/>
              <w:jc w:val="left"/>
              <w:rPr>
                <w:rFonts w:asciiTheme="majorHAnsi" w:hAnsiTheme="majorHAnsi" w:cstheme="majorHAnsi"/>
                <w:color w:val="FFFFFF" w:themeColor="background1"/>
                <w:sz w:val="16"/>
                <w:szCs w:val="16"/>
              </w:rPr>
            </w:pPr>
            <w:r>
              <w:rPr>
                <w:rFonts w:asciiTheme="majorHAnsi" w:hAnsiTheme="majorHAnsi"/>
                <w:color w:val="FFFFFF" w:themeColor="background1"/>
                <w:sz w:val="16"/>
              </w:rPr>
              <w:t xml:space="preserve">2. Ligji për Energjinë Elektrike nr. 05/L-085 </w:t>
            </w:r>
          </w:p>
        </w:tc>
        <w:tc>
          <w:tcPr>
            <w:tcW w:w="724" w:type="pct"/>
          </w:tcPr>
          <w:p w14:paraId="40E88247" w14:textId="77777777" w:rsidR="000B66DF" w:rsidRPr="00976D33" w:rsidRDefault="000B66DF">
            <w:pPr>
              <w:spacing w:after="0" w:line="259" w:lineRule="auto"/>
              <w:ind w:left="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Rregullator </w:t>
            </w:r>
          </w:p>
        </w:tc>
        <w:tc>
          <w:tcPr>
            <w:tcW w:w="1707" w:type="pct"/>
          </w:tcPr>
          <w:p w14:paraId="32DAAEDE" w14:textId="77777777" w:rsidR="000B66DF" w:rsidRPr="00976D33" w:rsidRDefault="000B66DF">
            <w:pPr>
              <w:spacing w:after="0" w:line="259" w:lineRule="auto"/>
              <w:ind w:right="19"/>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Krijimi i certifikatës së origjinës për BR dhe kogjenerim. Energjia e certifikuar si energji që rrjedh nga BR ka të drejtën e shpërndarjes me prioritet sipas kushteve të përcaktuara në Kodin e Rrjetit dhe Rregullat e Tregut. OST dhe OSSH janë të detyruara t’i japin përparësi energjisë elektrike të prodhuar nga termocentralet e BR-së dhe kogjenerimi </w:t>
            </w:r>
          </w:p>
        </w:tc>
        <w:tc>
          <w:tcPr>
            <w:tcW w:w="909" w:type="pct"/>
          </w:tcPr>
          <w:p w14:paraId="0A7342A8" w14:textId="77777777" w:rsidR="000B66DF" w:rsidRPr="00976D33" w:rsidRDefault="000B66DF">
            <w:pPr>
              <w:spacing w:after="0" w:line="259" w:lineRule="auto"/>
              <w:ind w:left="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Investitorët, përdoruesit përfundimtarë, administrata publike </w:t>
            </w:r>
          </w:p>
        </w:tc>
        <w:tc>
          <w:tcPr>
            <w:tcW w:w="694" w:type="pct"/>
          </w:tcPr>
          <w:p w14:paraId="02D0EFDE" w14:textId="77777777" w:rsidR="000B66DF" w:rsidRPr="00976D33" w:rsidRDefault="000B66DF">
            <w:pPr>
              <w:spacing w:after="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21 korrik 2016 - në vazhdim </w:t>
            </w:r>
          </w:p>
        </w:tc>
      </w:tr>
      <w:tr w:rsidR="000B66DF" w:rsidRPr="00976D33" w14:paraId="0D1C6B55" w14:textId="77777777" w:rsidTr="00FE486A">
        <w:trPr>
          <w:cnfStyle w:val="000000100000" w:firstRow="0" w:lastRow="0" w:firstColumn="0" w:lastColumn="0" w:oddVBand="0" w:evenVBand="0" w:oddHBand="1"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966" w:type="pct"/>
            <w:vAlign w:val="center"/>
          </w:tcPr>
          <w:p w14:paraId="1283F9CA" w14:textId="77777777" w:rsidR="000B66DF" w:rsidRPr="00976D33" w:rsidRDefault="000B66DF">
            <w:pPr>
              <w:spacing w:after="0" w:line="259" w:lineRule="auto"/>
              <w:ind w:left="3"/>
              <w:jc w:val="left"/>
              <w:rPr>
                <w:rFonts w:asciiTheme="majorHAnsi" w:hAnsiTheme="majorHAnsi" w:cstheme="majorHAnsi"/>
                <w:color w:val="FFFFFF" w:themeColor="background1"/>
                <w:sz w:val="16"/>
                <w:szCs w:val="16"/>
              </w:rPr>
            </w:pPr>
            <w:r>
              <w:rPr>
                <w:rFonts w:asciiTheme="majorHAnsi" w:hAnsiTheme="majorHAnsi"/>
                <w:color w:val="FFFFFF" w:themeColor="background1"/>
                <w:sz w:val="16"/>
              </w:rPr>
              <w:t xml:space="preserve">3. Ligji për Rregullatorin e Energjisë nr. 05/L-084, neni 43 </w:t>
            </w:r>
          </w:p>
        </w:tc>
        <w:tc>
          <w:tcPr>
            <w:tcW w:w="724" w:type="pct"/>
          </w:tcPr>
          <w:p w14:paraId="6C1270EE" w14:textId="77777777" w:rsidR="000B66DF" w:rsidRPr="00976D33" w:rsidRDefault="000B66DF">
            <w:pPr>
              <w:spacing w:after="0" w:line="259" w:lineRule="auto"/>
              <w:ind w:left="3"/>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Rregullator </w:t>
            </w:r>
          </w:p>
        </w:tc>
        <w:tc>
          <w:tcPr>
            <w:tcW w:w="1707" w:type="pct"/>
          </w:tcPr>
          <w:p w14:paraId="1A833D4B" w14:textId="77777777" w:rsidR="000B66DF" w:rsidRPr="00976D33" w:rsidRDefault="000B66DF">
            <w:pPr>
              <w:spacing w:after="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Përcakton procedura specifike për autorizimin e kapaciteteve të reja gjeneruese. </w:t>
            </w:r>
          </w:p>
        </w:tc>
        <w:tc>
          <w:tcPr>
            <w:tcW w:w="909" w:type="pct"/>
          </w:tcPr>
          <w:p w14:paraId="37D33033" w14:textId="77777777" w:rsidR="000B66DF" w:rsidRPr="00976D33" w:rsidRDefault="000B66DF">
            <w:pPr>
              <w:spacing w:after="0" w:line="259" w:lineRule="auto"/>
              <w:ind w:left="3"/>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Investitorët, përdoruesit përfundimtarë, administrata publike </w:t>
            </w:r>
          </w:p>
        </w:tc>
        <w:tc>
          <w:tcPr>
            <w:tcW w:w="694" w:type="pct"/>
          </w:tcPr>
          <w:p w14:paraId="3BECF915" w14:textId="77777777" w:rsidR="000B66DF" w:rsidRPr="00976D33" w:rsidRDefault="000B66DF">
            <w:pPr>
              <w:spacing w:after="0" w:line="259"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14 korrik 2016 - në vazhdim</w:t>
            </w:r>
          </w:p>
        </w:tc>
      </w:tr>
      <w:tr w:rsidR="000B66DF" w:rsidRPr="00976D33" w14:paraId="551DBE2D" w14:textId="77777777" w:rsidTr="00516514">
        <w:trPr>
          <w:trHeight w:val="670"/>
        </w:trPr>
        <w:tc>
          <w:tcPr>
            <w:cnfStyle w:val="001000000000" w:firstRow="0" w:lastRow="0" w:firstColumn="1" w:lastColumn="0" w:oddVBand="0" w:evenVBand="0" w:oddHBand="0" w:evenHBand="0" w:firstRowFirstColumn="0" w:firstRowLastColumn="0" w:lastRowFirstColumn="0" w:lastRowLastColumn="0"/>
            <w:tcW w:w="966" w:type="pct"/>
            <w:vAlign w:val="center"/>
          </w:tcPr>
          <w:p w14:paraId="164E410C" w14:textId="77777777" w:rsidR="000B66DF" w:rsidRPr="00976D33" w:rsidRDefault="000B66DF">
            <w:pPr>
              <w:spacing w:after="0" w:line="259" w:lineRule="auto"/>
              <w:ind w:left="3"/>
              <w:jc w:val="left"/>
              <w:rPr>
                <w:rFonts w:asciiTheme="majorHAnsi" w:hAnsiTheme="majorHAnsi" w:cstheme="majorHAnsi"/>
                <w:color w:val="FFFFFF" w:themeColor="background1"/>
                <w:sz w:val="16"/>
                <w:szCs w:val="16"/>
              </w:rPr>
            </w:pPr>
            <w:r>
              <w:rPr>
                <w:rFonts w:asciiTheme="majorHAnsi" w:hAnsiTheme="majorHAnsi"/>
                <w:color w:val="FFFFFF" w:themeColor="background1"/>
                <w:sz w:val="16"/>
              </w:rPr>
              <w:t xml:space="preserve">4. Rregulli për </w:t>
            </w:r>
          </w:p>
          <w:p w14:paraId="5322206E" w14:textId="77777777" w:rsidR="000B66DF" w:rsidRPr="00976D33" w:rsidRDefault="000B66DF">
            <w:pPr>
              <w:spacing w:after="0" w:line="259" w:lineRule="auto"/>
              <w:ind w:left="3"/>
              <w:jc w:val="left"/>
              <w:rPr>
                <w:rFonts w:asciiTheme="majorHAnsi" w:hAnsiTheme="majorHAnsi" w:cstheme="majorHAnsi"/>
                <w:color w:val="FFFFFF" w:themeColor="background1"/>
                <w:sz w:val="16"/>
                <w:szCs w:val="16"/>
              </w:rPr>
            </w:pPr>
            <w:r>
              <w:rPr>
                <w:rFonts w:asciiTheme="majorHAnsi" w:hAnsiTheme="majorHAnsi"/>
                <w:color w:val="FFFFFF" w:themeColor="background1"/>
                <w:sz w:val="16"/>
              </w:rPr>
              <w:t xml:space="preserve">procedurën e </w:t>
            </w:r>
          </w:p>
          <w:p w14:paraId="5F430934" w14:textId="77777777" w:rsidR="000B66DF" w:rsidRPr="00976D33" w:rsidRDefault="000B66DF">
            <w:pPr>
              <w:spacing w:after="0" w:line="259" w:lineRule="auto"/>
              <w:ind w:left="3"/>
              <w:jc w:val="left"/>
              <w:rPr>
                <w:rFonts w:asciiTheme="majorHAnsi" w:hAnsiTheme="majorHAnsi" w:cstheme="majorHAnsi"/>
                <w:color w:val="FFFFFF" w:themeColor="background1"/>
                <w:sz w:val="16"/>
                <w:szCs w:val="16"/>
              </w:rPr>
            </w:pPr>
            <w:r>
              <w:rPr>
                <w:rFonts w:asciiTheme="majorHAnsi" w:hAnsiTheme="majorHAnsi"/>
                <w:color w:val="FFFFFF" w:themeColor="background1"/>
                <w:sz w:val="16"/>
              </w:rPr>
              <w:t xml:space="preserve">autorizimit për </w:t>
            </w:r>
          </w:p>
          <w:p w14:paraId="29C509A7" w14:textId="77777777" w:rsidR="000B66DF" w:rsidRPr="00976D33" w:rsidRDefault="000B66DF">
            <w:pPr>
              <w:spacing w:after="0" w:line="259" w:lineRule="auto"/>
              <w:ind w:left="3"/>
              <w:jc w:val="left"/>
              <w:rPr>
                <w:rFonts w:asciiTheme="majorHAnsi" w:hAnsiTheme="majorHAnsi" w:cstheme="majorHAnsi"/>
                <w:color w:val="FFFFFF" w:themeColor="background1"/>
                <w:sz w:val="16"/>
                <w:szCs w:val="16"/>
              </w:rPr>
            </w:pPr>
            <w:r>
              <w:rPr>
                <w:rFonts w:asciiTheme="majorHAnsi" w:hAnsiTheme="majorHAnsi"/>
                <w:color w:val="FFFFFF" w:themeColor="background1"/>
                <w:sz w:val="16"/>
              </w:rPr>
              <w:t xml:space="preserve">ndërtimin e </w:t>
            </w:r>
          </w:p>
          <w:p w14:paraId="07100584" w14:textId="77777777" w:rsidR="000B66DF" w:rsidRPr="00976D33" w:rsidRDefault="000B66DF">
            <w:pPr>
              <w:spacing w:after="0" w:line="259" w:lineRule="auto"/>
              <w:ind w:left="3"/>
              <w:jc w:val="left"/>
              <w:rPr>
                <w:rFonts w:asciiTheme="majorHAnsi" w:hAnsiTheme="majorHAnsi" w:cstheme="majorHAnsi"/>
                <w:color w:val="FFFFFF" w:themeColor="background1"/>
                <w:sz w:val="16"/>
                <w:szCs w:val="16"/>
              </w:rPr>
            </w:pPr>
            <w:r>
              <w:rPr>
                <w:rFonts w:asciiTheme="majorHAnsi" w:hAnsiTheme="majorHAnsi"/>
                <w:color w:val="FFFFFF" w:themeColor="background1"/>
                <w:sz w:val="16"/>
              </w:rPr>
              <w:t xml:space="preserve">kapaciteteve </w:t>
            </w:r>
          </w:p>
          <w:p w14:paraId="0CB05520" w14:textId="77777777" w:rsidR="000B66DF" w:rsidRPr="00976D33" w:rsidRDefault="000B66DF">
            <w:pPr>
              <w:spacing w:after="0" w:line="259" w:lineRule="auto"/>
              <w:ind w:left="3"/>
              <w:jc w:val="left"/>
              <w:rPr>
                <w:rFonts w:asciiTheme="majorHAnsi" w:hAnsiTheme="majorHAnsi" w:cstheme="majorHAnsi"/>
                <w:color w:val="FFFFFF" w:themeColor="background1"/>
                <w:sz w:val="16"/>
                <w:szCs w:val="16"/>
              </w:rPr>
            </w:pPr>
            <w:r>
              <w:rPr>
                <w:rFonts w:asciiTheme="majorHAnsi" w:hAnsiTheme="majorHAnsi"/>
                <w:color w:val="FFFFFF" w:themeColor="background1"/>
                <w:sz w:val="16"/>
              </w:rPr>
              <w:t xml:space="preserve">të reja </w:t>
            </w:r>
          </w:p>
          <w:p w14:paraId="63BE5AA1" w14:textId="77777777" w:rsidR="000B66DF" w:rsidRPr="00976D33" w:rsidRDefault="000B66DF">
            <w:pPr>
              <w:spacing w:after="0" w:line="259" w:lineRule="auto"/>
              <w:ind w:left="3"/>
              <w:jc w:val="left"/>
              <w:rPr>
                <w:rFonts w:asciiTheme="majorHAnsi" w:hAnsiTheme="majorHAnsi" w:cstheme="majorHAnsi"/>
                <w:color w:val="FFFFFF" w:themeColor="background1"/>
                <w:sz w:val="16"/>
                <w:szCs w:val="16"/>
              </w:rPr>
            </w:pPr>
            <w:r>
              <w:rPr>
                <w:rFonts w:asciiTheme="majorHAnsi" w:hAnsiTheme="majorHAnsi"/>
                <w:color w:val="FFFFFF" w:themeColor="background1"/>
                <w:sz w:val="16"/>
              </w:rPr>
              <w:t xml:space="preserve">gjeneruese  </w:t>
            </w:r>
          </w:p>
        </w:tc>
        <w:tc>
          <w:tcPr>
            <w:tcW w:w="724" w:type="pct"/>
          </w:tcPr>
          <w:p w14:paraId="18A7C090" w14:textId="77777777" w:rsidR="000B66DF" w:rsidRPr="00976D33" w:rsidRDefault="000B66DF">
            <w:pPr>
              <w:spacing w:after="0" w:line="259" w:lineRule="auto"/>
              <w:ind w:left="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Rregullator </w:t>
            </w:r>
          </w:p>
        </w:tc>
        <w:tc>
          <w:tcPr>
            <w:tcW w:w="1707" w:type="pct"/>
          </w:tcPr>
          <w:p w14:paraId="49B3D0C7" w14:textId="747A6F06" w:rsidR="000B66DF" w:rsidRPr="00976D33" w:rsidRDefault="000B66DF" w:rsidP="00FE486A">
            <w:pPr>
              <w:spacing w:after="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Pr>
                <w:rFonts w:asciiTheme="majorHAnsi" w:hAnsiTheme="majorHAnsi"/>
                <w:sz w:val="16"/>
              </w:rPr>
              <w:t>Përshkruani procedurën për autorizimin e kapaciteteve të reja gjeneruese. Autorizimi është një e drejtë e lëshuar nga ZRRE-ja që ua mundëson aplikantëve “të fillojnë me ndërtimin e kapaciteteve gjeneruese (...) brenda një periudhe të caktuar kohore. Rregulli i njëjtë parashikon dispozita për prodhues-konsumatorë, duke përfshirë të drejta dhe përgjegjësitë Procedura u ndryshua për të përfshirë sistemet e reja përtransmision dhe distribuim të gazit, duke përfshirë interkonektorët, tubacionet direkte për energji termike dhe</w:t>
            </w:r>
            <w:r w:rsidR="00FE486A">
              <w:rPr>
                <w:rFonts w:asciiTheme="majorHAnsi" w:hAnsiTheme="majorHAnsi"/>
                <w:sz w:val="16"/>
              </w:rPr>
              <w:t xml:space="preserve"> </w:t>
            </w:r>
            <w:r>
              <w:rPr>
                <w:rFonts w:asciiTheme="majorHAnsi" w:hAnsiTheme="majorHAnsi"/>
                <w:sz w:val="16"/>
              </w:rPr>
              <w:t>linjat direkte të energjisë elektrike dhe tubacionet direkte për transmisionin të gazit natyror</w:t>
            </w:r>
            <w:r>
              <w:rPr>
                <w:rFonts w:asciiTheme="majorHAnsi" w:hAnsiTheme="majorHAnsi"/>
                <w:b/>
                <w:sz w:val="16"/>
              </w:rPr>
              <w:t xml:space="preserve">. </w:t>
            </w:r>
            <w:r>
              <w:rPr>
                <w:rFonts w:asciiTheme="majorHAnsi" w:hAnsiTheme="majorHAnsi"/>
                <w:sz w:val="16"/>
              </w:rPr>
              <w:t xml:space="preserve"> </w:t>
            </w:r>
          </w:p>
        </w:tc>
        <w:tc>
          <w:tcPr>
            <w:tcW w:w="909" w:type="pct"/>
          </w:tcPr>
          <w:p w14:paraId="125D34DE" w14:textId="77777777" w:rsidR="000B66DF" w:rsidRPr="00976D33" w:rsidRDefault="000B66DF">
            <w:pPr>
              <w:spacing w:after="0" w:line="259" w:lineRule="auto"/>
              <w:ind w:left="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Investitorët, planifikuesit, </w:t>
            </w:r>
          </w:p>
        </w:tc>
        <w:tc>
          <w:tcPr>
            <w:tcW w:w="694" w:type="pct"/>
          </w:tcPr>
          <w:p w14:paraId="1CC1E292" w14:textId="77777777" w:rsidR="000B66DF" w:rsidRPr="00976D33" w:rsidRDefault="000B66DF">
            <w:pPr>
              <w:spacing w:after="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Periudha e raportimit mbulon versionin e 31 marsit 2017. Rregulli u ndryshua dhe u miratua në nëntor të vitit 2022 </w:t>
            </w:r>
          </w:p>
        </w:tc>
      </w:tr>
      <w:tr w:rsidR="000B66DF" w:rsidRPr="00976D33" w14:paraId="76A1D3D2" w14:textId="77777777" w:rsidTr="00516514">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966" w:type="pct"/>
            <w:vAlign w:val="center"/>
          </w:tcPr>
          <w:p w14:paraId="71159498" w14:textId="77777777" w:rsidR="000B66DF" w:rsidRPr="00976D33" w:rsidRDefault="00DA3282">
            <w:pPr>
              <w:spacing w:after="0" w:line="259" w:lineRule="auto"/>
              <w:ind w:left="2"/>
              <w:jc w:val="left"/>
              <w:rPr>
                <w:rFonts w:asciiTheme="majorHAnsi" w:hAnsiTheme="majorHAnsi" w:cstheme="majorHAnsi"/>
                <w:color w:val="FFFFFF" w:themeColor="background1"/>
                <w:sz w:val="16"/>
                <w:szCs w:val="16"/>
              </w:rPr>
            </w:pPr>
            <w:r>
              <w:rPr>
                <w:rFonts w:asciiTheme="majorHAnsi" w:hAnsiTheme="majorHAnsi"/>
                <w:color w:val="FFFFFF" w:themeColor="background1"/>
                <w:sz w:val="16"/>
              </w:rPr>
              <w:t xml:space="preserve">5. Rregulli për skemën mbështetëse  </w:t>
            </w:r>
          </w:p>
        </w:tc>
        <w:tc>
          <w:tcPr>
            <w:tcW w:w="724" w:type="pct"/>
          </w:tcPr>
          <w:p w14:paraId="63F279A9" w14:textId="77777777" w:rsidR="000B66DF" w:rsidRPr="00976D33" w:rsidRDefault="000B66DF">
            <w:pPr>
              <w:spacing w:after="0" w:line="259" w:lineRule="auto"/>
              <w:ind w:left="2"/>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Rregullator </w:t>
            </w:r>
          </w:p>
        </w:tc>
        <w:tc>
          <w:tcPr>
            <w:tcW w:w="1707" w:type="pct"/>
          </w:tcPr>
          <w:p w14:paraId="68323EB4" w14:textId="77777777" w:rsidR="000B66DF" w:rsidRPr="00976D33" w:rsidRDefault="000B66DF">
            <w:pPr>
              <w:spacing w:after="0" w:line="259"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Rregulli për skemën mbështetëse synon të mbështesë prodhimin e energjisë elektrike nga burimet e ripërtëritshme të energjisë, në mënyrë që të përmbushen Caqet e përcaktuara indikative të Burimeve të Energjisë së Ripërtëritshme.  </w:t>
            </w:r>
          </w:p>
        </w:tc>
        <w:tc>
          <w:tcPr>
            <w:tcW w:w="909" w:type="pct"/>
          </w:tcPr>
          <w:p w14:paraId="6A9C7853" w14:textId="77777777" w:rsidR="000B66DF" w:rsidRPr="00976D33" w:rsidRDefault="000B66DF">
            <w:pPr>
              <w:spacing w:after="0" w:line="259" w:lineRule="auto"/>
              <w:ind w:left="2"/>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Investitorët, planifikuesit </w:t>
            </w:r>
          </w:p>
        </w:tc>
        <w:tc>
          <w:tcPr>
            <w:tcW w:w="694" w:type="pct"/>
          </w:tcPr>
          <w:p w14:paraId="0FC0E870" w14:textId="77777777" w:rsidR="000B66DF" w:rsidRPr="00976D33" w:rsidRDefault="000B66DF">
            <w:pPr>
              <w:spacing w:after="0" w:line="259"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Mars 2017 - në vazhdim</w:t>
            </w:r>
          </w:p>
        </w:tc>
      </w:tr>
      <w:tr w:rsidR="000B66DF" w:rsidRPr="00976D33" w14:paraId="15650800" w14:textId="77777777" w:rsidTr="00FE486A">
        <w:trPr>
          <w:trHeight w:val="816"/>
        </w:trPr>
        <w:tc>
          <w:tcPr>
            <w:cnfStyle w:val="001000000000" w:firstRow="0" w:lastRow="0" w:firstColumn="1" w:lastColumn="0" w:oddVBand="0" w:evenVBand="0" w:oddHBand="0" w:evenHBand="0" w:firstRowFirstColumn="0" w:firstRowLastColumn="0" w:lastRowFirstColumn="0" w:lastRowLastColumn="0"/>
            <w:tcW w:w="966" w:type="pct"/>
            <w:vAlign w:val="center"/>
          </w:tcPr>
          <w:p w14:paraId="394815E7" w14:textId="56FADFDC" w:rsidR="000B66DF" w:rsidRPr="00976D33" w:rsidRDefault="000B66DF">
            <w:pPr>
              <w:spacing w:after="0" w:line="259" w:lineRule="auto"/>
              <w:ind w:left="2"/>
              <w:jc w:val="left"/>
              <w:rPr>
                <w:rFonts w:asciiTheme="majorHAnsi" w:hAnsiTheme="majorHAnsi" w:cstheme="majorHAnsi"/>
                <w:color w:val="FFFFFF" w:themeColor="background1"/>
                <w:sz w:val="16"/>
                <w:szCs w:val="16"/>
              </w:rPr>
            </w:pPr>
            <w:r>
              <w:rPr>
                <w:rFonts w:asciiTheme="majorHAnsi" w:hAnsiTheme="majorHAnsi"/>
                <w:color w:val="FFFFFF" w:themeColor="background1"/>
                <w:sz w:val="16"/>
              </w:rPr>
              <w:t>6. Vendim për pezullimin e tarifave nxitëse</w:t>
            </w:r>
          </w:p>
        </w:tc>
        <w:tc>
          <w:tcPr>
            <w:tcW w:w="724" w:type="pct"/>
          </w:tcPr>
          <w:p w14:paraId="1D7D0714" w14:textId="77777777" w:rsidR="000B66DF" w:rsidRPr="00976D33" w:rsidRDefault="000B66DF">
            <w:pPr>
              <w:spacing w:after="0" w:line="259" w:lineRule="auto"/>
              <w:ind w:left="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Rregullator  </w:t>
            </w:r>
          </w:p>
        </w:tc>
        <w:tc>
          <w:tcPr>
            <w:tcW w:w="1707" w:type="pct"/>
          </w:tcPr>
          <w:p w14:paraId="60853AAB" w14:textId="18024227" w:rsidR="000B66DF" w:rsidRPr="00976D33" w:rsidRDefault="000B66DF">
            <w:pPr>
              <w:spacing w:after="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Vendimi për pezullimin e skemës së mbështetjes së tarifat nxitëse nga Zyra e Rregullatorit për Energji.</w:t>
            </w:r>
          </w:p>
        </w:tc>
        <w:tc>
          <w:tcPr>
            <w:tcW w:w="909" w:type="pct"/>
          </w:tcPr>
          <w:p w14:paraId="722898FF" w14:textId="7B17F82D" w:rsidR="000B66DF" w:rsidRPr="00976D33" w:rsidRDefault="000B66DF">
            <w:pPr>
              <w:spacing w:after="0" w:line="259" w:lineRule="auto"/>
              <w:ind w:left="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Investitorët, planifikuesit</w:t>
            </w:r>
          </w:p>
        </w:tc>
        <w:tc>
          <w:tcPr>
            <w:tcW w:w="694" w:type="pct"/>
          </w:tcPr>
          <w:p w14:paraId="1A82578A" w14:textId="77777777" w:rsidR="000B66DF" w:rsidRPr="00976D33" w:rsidRDefault="000B66DF">
            <w:pPr>
              <w:spacing w:after="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Dhjetor 2020 </w:t>
            </w:r>
          </w:p>
        </w:tc>
      </w:tr>
      <w:tr w:rsidR="000B66DF" w:rsidRPr="00976D33" w14:paraId="4515B3CE" w14:textId="77777777" w:rsidTr="00516514">
        <w:trPr>
          <w:cnfStyle w:val="000000100000" w:firstRow="0" w:lastRow="0" w:firstColumn="0" w:lastColumn="0" w:oddVBand="0" w:evenVBand="0" w:oddHBand="1" w:evenHBand="0" w:firstRowFirstColumn="0" w:firstRowLastColumn="0" w:lastRowFirstColumn="0" w:lastRowLastColumn="0"/>
          <w:trHeight w:val="1781"/>
        </w:trPr>
        <w:tc>
          <w:tcPr>
            <w:cnfStyle w:val="001000000000" w:firstRow="0" w:lastRow="0" w:firstColumn="1" w:lastColumn="0" w:oddVBand="0" w:evenVBand="0" w:oddHBand="0" w:evenHBand="0" w:firstRowFirstColumn="0" w:firstRowLastColumn="0" w:lastRowFirstColumn="0" w:lastRowLastColumn="0"/>
            <w:tcW w:w="966" w:type="pct"/>
            <w:vAlign w:val="center"/>
          </w:tcPr>
          <w:p w14:paraId="2063A978" w14:textId="5B88A717" w:rsidR="000B66DF" w:rsidRPr="00976D33" w:rsidRDefault="000B66DF" w:rsidP="00523F80">
            <w:pPr>
              <w:spacing w:after="2" w:line="237" w:lineRule="auto"/>
              <w:ind w:left="2" w:right="77"/>
              <w:jc w:val="left"/>
              <w:rPr>
                <w:rFonts w:asciiTheme="majorHAnsi" w:hAnsiTheme="majorHAnsi" w:cstheme="majorHAnsi"/>
                <w:color w:val="FFFFFF" w:themeColor="background1"/>
                <w:sz w:val="16"/>
                <w:szCs w:val="16"/>
              </w:rPr>
            </w:pPr>
            <w:r>
              <w:rPr>
                <w:rFonts w:asciiTheme="majorHAnsi" w:hAnsiTheme="majorHAnsi"/>
                <w:color w:val="FFFFFF" w:themeColor="background1"/>
                <w:sz w:val="16"/>
              </w:rPr>
              <w:t xml:space="preserve">7. Metodologjia e llogaritjes së çmimit referent për energjinë gjeneruara nga BRE </w:t>
            </w:r>
          </w:p>
        </w:tc>
        <w:tc>
          <w:tcPr>
            <w:tcW w:w="724" w:type="pct"/>
          </w:tcPr>
          <w:p w14:paraId="2A692E25" w14:textId="77777777" w:rsidR="000B66DF" w:rsidRPr="00976D33" w:rsidRDefault="000B66DF">
            <w:pPr>
              <w:spacing w:after="0" w:line="259" w:lineRule="auto"/>
              <w:ind w:left="2"/>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Rregullator </w:t>
            </w:r>
          </w:p>
        </w:tc>
        <w:tc>
          <w:tcPr>
            <w:tcW w:w="1707" w:type="pct"/>
          </w:tcPr>
          <w:p w14:paraId="201C1B35" w14:textId="77777777" w:rsidR="000B66DF" w:rsidRPr="00976D33" w:rsidRDefault="000B66DF">
            <w:pPr>
              <w:spacing w:after="0" w:line="259" w:lineRule="auto"/>
              <w:ind w:right="73"/>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Metodologjia përcakton kriteret për përcaktimin e çmimit të referent për energjinë e prodhuar nga burimet e ripërtëritshme të energjisë (BRE). Çmimi referent në fuqi do të aplikohet nga operatori i tregut për energjinë e shitur tek furnizuesit. Ai do të zbatohet edhe për shitjen dhe blerjen e energjisë nga BRE sipas kornizës së rregulluar. </w:t>
            </w:r>
          </w:p>
        </w:tc>
        <w:tc>
          <w:tcPr>
            <w:tcW w:w="909" w:type="pct"/>
          </w:tcPr>
          <w:p w14:paraId="714C8AF4" w14:textId="77777777" w:rsidR="000B66DF" w:rsidRPr="00976D33" w:rsidRDefault="000B66DF">
            <w:pPr>
              <w:spacing w:after="0" w:line="259" w:lineRule="auto"/>
              <w:ind w:left="2"/>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Investitorët, planifikuesit </w:t>
            </w:r>
          </w:p>
        </w:tc>
        <w:tc>
          <w:tcPr>
            <w:tcW w:w="694" w:type="pct"/>
          </w:tcPr>
          <w:p w14:paraId="207BB684" w14:textId="77777777" w:rsidR="000B66DF" w:rsidRPr="00976D33" w:rsidRDefault="000B66DF">
            <w:pPr>
              <w:spacing w:after="0" w:line="259"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Dhjetor 2020 </w:t>
            </w:r>
          </w:p>
        </w:tc>
      </w:tr>
      <w:tr w:rsidR="000B66DF" w:rsidRPr="00976D33" w14:paraId="1592EA90" w14:textId="77777777" w:rsidTr="00FE486A">
        <w:trPr>
          <w:trHeight w:val="1941"/>
        </w:trPr>
        <w:tc>
          <w:tcPr>
            <w:cnfStyle w:val="001000000000" w:firstRow="0" w:lastRow="0" w:firstColumn="1" w:lastColumn="0" w:oddVBand="0" w:evenVBand="0" w:oddHBand="0" w:evenHBand="0" w:firstRowFirstColumn="0" w:firstRowLastColumn="0" w:lastRowFirstColumn="0" w:lastRowLastColumn="0"/>
            <w:tcW w:w="966" w:type="pct"/>
            <w:vAlign w:val="center"/>
          </w:tcPr>
          <w:p w14:paraId="6C9FB51C" w14:textId="17234013" w:rsidR="000B66DF" w:rsidRPr="00976D33" w:rsidRDefault="00DA3282">
            <w:pPr>
              <w:spacing w:after="0" w:line="259" w:lineRule="auto"/>
              <w:ind w:left="2"/>
              <w:jc w:val="left"/>
              <w:rPr>
                <w:rFonts w:asciiTheme="majorHAnsi" w:hAnsiTheme="majorHAnsi" w:cstheme="majorHAnsi"/>
                <w:color w:val="FFFFFF" w:themeColor="background1"/>
                <w:sz w:val="16"/>
                <w:szCs w:val="16"/>
              </w:rPr>
            </w:pPr>
            <w:r>
              <w:rPr>
                <w:rFonts w:asciiTheme="majorHAnsi" w:hAnsiTheme="majorHAnsi"/>
                <w:color w:val="FFFFFF" w:themeColor="background1"/>
                <w:sz w:val="16"/>
              </w:rPr>
              <w:lastRenderedPageBreak/>
              <w:t xml:space="preserve">8. Ligji për Performancën Energjetike në Ndërtesa </w:t>
            </w:r>
          </w:p>
        </w:tc>
        <w:tc>
          <w:tcPr>
            <w:tcW w:w="724" w:type="pct"/>
          </w:tcPr>
          <w:p w14:paraId="45F3D3C1" w14:textId="77777777" w:rsidR="000B66DF" w:rsidRPr="00976D33" w:rsidRDefault="000B66DF">
            <w:pPr>
              <w:spacing w:after="0" w:line="259" w:lineRule="auto"/>
              <w:ind w:left="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Rregullator </w:t>
            </w:r>
          </w:p>
        </w:tc>
        <w:tc>
          <w:tcPr>
            <w:tcW w:w="1707" w:type="pct"/>
          </w:tcPr>
          <w:p w14:paraId="360F7233" w14:textId="77777777" w:rsidR="000B66DF" w:rsidRPr="00976D33" w:rsidRDefault="000B66DF">
            <w:pPr>
              <w:spacing w:after="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Rritja e përdorimit të BRE-ve në ndërtesat e reja dhe ndërtesat që i nënshtrohen rinovimit të madh </w:t>
            </w:r>
          </w:p>
        </w:tc>
        <w:tc>
          <w:tcPr>
            <w:tcW w:w="909" w:type="pct"/>
          </w:tcPr>
          <w:p w14:paraId="099CD543" w14:textId="77777777" w:rsidR="000B66DF" w:rsidRPr="00976D33" w:rsidRDefault="000B66DF">
            <w:pPr>
              <w:spacing w:after="0" w:line="259" w:lineRule="auto"/>
              <w:ind w:left="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Investitorët, instaluesit </w:t>
            </w:r>
          </w:p>
        </w:tc>
        <w:tc>
          <w:tcPr>
            <w:tcW w:w="694" w:type="pct"/>
          </w:tcPr>
          <w:p w14:paraId="60AE30CC" w14:textId="1E308A81" w:rsidR="000B66DF" w:rsidRPr="00976D33" w:rsidRDefault="571E1AEC" w:rsidP="40F3B848">
            <w:pPr>
              <w:spacing w:after="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Pr>
                <w:rFonts w:asciiTheme="majorHAnsi" w:hAnsiTheme="majorHAnsi"/>
                <w:sz w:val="16"/>
              </w:rPr>
              <w:t>Projektligji për Performancën Energjetike në Ndërtesa dhe aktet nënligjore të tij janë hartuar në vitin 2023. Në vitin 2024 është në proces të miratimit.</w:t>
            </w:r>
          </w:p>
        </w:tc>
      </w:tr>
      <w:tr w:rsidR="000B66DF" w:rsidRPr="00976D33" w14:paraId="43ED5118" w14:textId="77777777" w:rsidTr="00516514">
        <w:trPr>
          <w:cnfStyle w:val="000000100000" w:firstRow="0" w:lastRow="0" w:firstColumn="0" w:lastColumn="0" w:oddVBand="0" w:evenVBand="0" w:oddHBand="1" w:evenHBand="0" w:firstRowFirstColumn="0" w:firstRowLastColumn="0" w:lastRowFirstColumn="0" w:lastRowLastColumn="0"/>
          <w:trHeight w:val="1274"/>
        </w:trPr>
        <w:tc>
          <w:tcPr>
            <w:cnfStyle w:val="001000000000" w:firstRow="0" w:lastRow="0" w:firstColumn="1" w:lastColumn="0" w:oddVBand="0" w:evenVBand="0" w:oddHBand="0" w:evenHBand="0" w:firstRowFirstColumn="0" w:firstRowLastColumn="0" w:lastRowFirstColumn="0" w:lastRowLastColumn="0"/>
            <w:tcW w:w="966" w:type="pct"/>
            <w:vAlign w:val="center"/>
          </w:tcPr>
          <w:p w14:paraId="403D51BB" w14:textId="0AEF1C92" w:rsidR="000B66DF" w:rsidRPr="00976D33" w:rsidRDefault="00DA3282">
            <w:pPr>
              <w:spacing w:after="0" w:line="259" w:lineRule="auto"/>
              <w:ind w:left="2"/>
              <w:jc w:val="left"/>
              <w:rPr>
                <w:rFonts w:asciiTheme="majorHAnsi" w:hAnsiTheme="majorHAnsi" w:cstheme="majorHAnsi"/>
                <w:color w:val="FFFFFF" w:themeColor="background1"/>
                <w:sz w:val="16"/>
                <w:szCs w:val="16"/>
              </w:rPr>
            </w:pPr>
            <w:r>
              <w:rPr>
                <w:rFonts w:asciiTheme="majorHAnsi" w:hAnsiTheme="majorHAnsi"/>
                <w:color w:val="FFFFFF" w:themeColor="background1"/>
                <w:sz w:val="16"/>
              </w:rPr>
              <w:t xml:space="preserve">9. Rregullorja për kërkesat minimale për performancën energjetike në ndërtesa </w:t>
            </w:r>
          </w:p>
        </w:tc>
        <w:tc>
          <w:tcPr>
            <w:tcW w:w="724" w:type="pct"/>
          </w:tcPr>
          <w:p w14:paraId="0B754E5A" w14:textId="77777777" w:rsidR="000B66DF" w:rsidRPr="00976D33" w:rsidRDefault="000B66DF">
            <w:pPr>
              <w:spacing w:after="0" w:line="259" w:lineRule="auto"/>
              <w:ind w:left="2"/>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Rregullator </w:t>
            </w:r>
          </w:p>
        </w:tc>
        <w:tc>
          <w:tcPr>
            <w:tcW w:w="1707" w:type="pct"/>
          </w:tcPr>
          <w:p w14:paraId="2E4B76E3" w14:textId="77777777" w:rsidR="000B66DF" w:rsidRPr="00976D33" w:rsidRDefault="000B66DF">
            <w:pPr>
              <w:spacing w:after="0" w:line="259"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Rritja e përdorimit të BRE-ve në ndërtesat e reja dhe ndërtesat që i nënshtrohen rinovimit të madh </w:t>
            </w:r>
          </w:p>
        </w:tc>
        <w:tc>
          <w:tcPr>
            <w:tcW w:w="909" w:type="pct"/>
          </w:tcPr>
          <w:p w14:paraId="201CB20A" w14:textId="77777777" w:rsidR="000B66DF" w:rsidRPr="00976D33" w:rsidRDefault="000B66DF">
            <w:pPr>
              <w:spacing w:after="0" w:line="259" w:lineRule="auto"/>
              <w:ind w:left="2"/>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Investitorët, instaluesit </w:t>
            </w:r>
          </w:p>
        </w:tc>
        <w:tc>
          <w:tcPr>
            <w:tcW w:w="694" w:type="pct"/>
          </w:tcPr>
          <w:p w14:paraId="07E6FFBB" w14:textId="77777777" w:rsidR="000B66DF" w:rsidRPr="00976D33" w:rsidRDefault="000B66DF">
            <w:pPr>
              <w:spacing w:after="0" w:line="259"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6"/>
                <w:szCs w:val="16"/>
              </w:rPr>
            </w:pPr>
            <w:r>
              <w:rPr>
                <w:rFonts w:asciiTheme="majorHAnsi" w:hAnsiTheme="majorHAnsi"/>
                <w:sz w:val="16"/>
              </w:rPr>
              <w:t xml:space="preserve">2022 - në vazhdim </w:t>
            </w:r>
          </w:p>
        </w:tc>
      </w:tr>
      <w:tr w:rsidR="000B66DF" w:rsidRPr="00976D33" w14:paraId="5FB257E1" w14:textId="77777777" w:rsidTr="00FE486A">
        <w:trPr>
          <w:trHeight w:val="1320"/>
        </w:trPr>
        <w:tc>
          <w:tcPr>
            <w:cnfStyle w:val="001000000000" w:firstRow="0" w:lastRow="0" w:firstColumn="1" w:lastColumn="0" w:oddVBand="0" w:evenVBand="0" w:oddHBand="0" w:evenHBand="0" w:firstRowFirstColumn="0" w:firstRowLastColumn="0" w:lastRowFirstColumn="0" w:lastRowLastColumn="0"/>
            <w:tcW w:w="966" w:type="pct"/>
            <w:vAlign w:val="center"/>
          </w:tcPr>
          <w:p w14:paraId="5C3A2AD3" w14:textId="7800DC23" w:rsidR="000B66DF" w:rsidRPr="00976D33" w:rsidRDefault="000B66DF" w:rsidP="00523F80">
            <w:pPr>
              <w:spacing w:after="2" w:line="236" w:lineRule="auto"/>
              <w:ind w:left="2"/>
              <w:jc w:val="left"/>
              <w:rPr>
                <w:rFonts w:asciiTheme="majorHAnsi" w:hAnsiTheme="majorHAnsi" w:cstheme="majorHAnsi"/>
                <w:color w:val="FFFFFF" w:themeColor="background1"/>
                <w:sz w:val="16"/>
                <w:szCs w:val="16"/>
              </w:rPr>
            </w:pPr>
            <w:r>
              <w:rPr>
                <w:rFonts w:asciiTheme="majorHAnsi" w:hAnsiTheme="majorHAnsi"/>
                <w:color w:val="FFFFFF" w:themeColor="background1"/>
                <w:sz w:val="16"/>
              </w:rPr>
              <w:t xml:space="preserve">10. Skema e mbështetjes së fermerëve me grante sipas Programit për Bujqësi dhe Zhvillim Rural </w:t>
            </w:r>
          </w:p>
        </w:tc>
        <w:tc>
          <w:tcPr>
            <w:tcW w:w="724" w:type="pct"/>
          </w:tcPr>
          <w:p w14:paraId="3E89C309" w14:textId="77777777" w:rsidR="000B66DF" w:rsidRPr="00976D33" w:rsidRDefault="000B66DF">
            <w:pPr>
              <w:spacing w:after="0" w:line="259" w:lineRule="auto"/>
              <w:ind w:left="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Mbështetje financiare </w:t>
            </w:r>
          </w:p>
        </w:tc>
        <w:tc>
          <w:tcPr>
            <w:tcW w:w="1707" w:type="pct"/>
          </w:tcPr>
          <w:p w14:paraId="460C0DB4" w14:textId="77777777" w:rsidR="000B66DF" w:rsidRPr="00976D33" w:rsidRDefault="000B66DF">
            <w:pPr>
              <w:spacing w:after="0" w:line="259" w:lineRule="auto"/>
              <w:ind w:right="3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Qëndrueshmëria e sektorit dhe puna e përbashkët për rritjen e prodhimit, vendosjen e linjave të reja të përpunimit dhe përmirësimin e makinerive dhe pajisjeve bujqësore, si dhe kushteve të punës në nivel ferme </w:t>
            </w:r>
          </w:p>
        </w:tc>
        <w:tc>
          <w:tcPr>
            <w:tcW w:w="909" w:type="pct"/>
          </w:tcPr>
          <w:p w14:paraId="57769FA3" w14:textId="77777777" w:rsidR="000B66DF" w:rsidRPr="00976D33" w:rsidRDefault="000B66DF">
            <w:pPr>
              <w:spacing w:after="0" w:line="259" w:lineRule="auto"/>
              <w:ind w:left="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Fermerët </w:t>
            </w:r>
          </w:p>
        </w:tc>
        <w:tc>
          <w:tcPr>
            <w:tcW w:w="694" w:type="pct"/>
          </w:tcPr>
          <w:p w14:paraId="7CD7039B" w14:textId="77777777" w:rsidR="000B66DF" w:rsidRPr="00976D33" w:rsidRDefault="000B66DF">
            <w:pPr>
              <w:spacing w:after="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2014 - në vazhdim </w:t>
            </w:r>
          </w:p>
        </w:tc>
      </w:tr>
      <w:tr w:rsidR="000B66DF" w:rsidRPr="00976D33" w14:paraId="636F947C" w14:textId="77777777" w:rsidTr="00516514">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966" w:type="pct"/>
            <w:vAlign w:val="center"/>
          </w:tcPr>
          <w:p w14:paraId="57E23545" w14:textId="77777777" w:rsidR="000B66DF" w:rsidRPr="00976D33" w:rsidRDefault="00DA3282">
            <w:pPr>
              <w:spacing w:after="0" w:line="259" w:lineRule="auto"/>
              <w:ind w:left="2"/>
              <w:jc w:val="left"/>
              <w:rPr>
                <w:rFonts w:asciiTheme="majorHAnsi" w:hAnsiTheme="majorHAnsi" w:cstheme="majorHAnsi"/>
                <w:color w:val="FFFFFF" w:themeColor="background1"/>
                <w:sz w:val="16"/>
                <w:szCs w:val="16"/>
              </w:rPr>
            </w:pPr>
            <w:r>
              <w:rPr>
                <w:rFonts w:asciiTheme="majorHAnsi" w:hAnsiTheme="majorHAnsi"/>
                <w:color w:val="FFFFFF" w:themeColor="background1"/>
                <w:sz w:val="16"/>
              </w:rPr>
              <w:t xml:space="preserve">11. Gra </w:t>
            </w:r>
          </w:p>
          <w:p w14:paraId="1C226C70" w14:textId="77777777" w:rsidR="000B66DF" w:rsidRPr="00976D33" w:rsidRDefault="000B66DF">
            <w:pPr>
              <w:spacing w:after="0" w:line="259" w:lineRule="auto"/>
              <w:ind w:left="2"/>
              <w:jc w:val="left"/>
              <w:rPr>
                <w:rFonts w:asciiTheme="majorHAnsi" w:hAnsiTheme="majorHAnsi" w:cstheme="majorHAnsi"/>
                <w:color w:val="FFFFFF" w:themeColor="background1"/>
                <w:sz w:val="16"/>
                <w:szCs w:val="16"/>
              </w:rPr>
            </w:pPr>
            <w:r>
              <w:rPr>
                <w:rFonts w:asciiTheme="majorHAnsi" w:hAnsiTheme="majorHAnsi"/>
                <w:color w:val="FFFFFF" w:themeColor="background1"/>
                <w:sz w:val="16"/>
              </w:rPr>
              <w:t xml:space="preserve">sipërmarrëse </w:t>
            </w:r>
          </w:p>
        </w:tc>
        <w:tc>
          <w:tcPr>
            <w:tcW w:w="724" w:type="pct"/>
          </w:tcPr>
          <w:p w14:paraId="6FA6CC64" w14:textId="77777777" w:rsidR="000B66DF" w:rsidRPr="00976D33" w:rsidRDefault="000B66DF">
            <w:pPr>
              <w:spacing w:after="0" w:line="259" w:lineRule="auto"/>
              <w:ind w:left="2"/>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Mbështetje financiare </w:t>
            </w:r>
          </w:p>
        </w:tc>
        <w:tc>
          <w:tcPr>
            <w:tcW w:w="1707" w:type="pct"/>
          </w:tcPr>
          <w:p w14:paraId="6CFC1202" w14:textId="77777777" w:rsidR="000B66DF" w:rsidRPr="00976D33" w:rsidRDefault="000B66DF">
            <w:pPr>
              <w:spacing w:after="0" w:line="259"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Mbështetja e grave në ekzekutimin e investimeve të nevojshme në masat e efiçiencës së energjisë dhe pajisjet moderne që do t’i ndihmojnë ato të zhvillojnë biznesin e tyre dhe të përdorin energjinë e gjelbër </w:t>
            </w:r>
          </w:p>
        </w:tc>
        <w:tc>
          <w:tcPr>
            <w:tcW w:w="909" w:type="pct"/>
          </w:tcPr>
          <w:p w14:paraId="1D4BD655" w14:textId="77777777" w:rsidR="000B66DF" w:rsidRPr="00976D33" w:rsidRDefault="000B66DF">
            <w:pPr>
              <w:spacing w:after="0" w:line="259" w:lineRule="auto"/>
              <w:ind w:left="2"/>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Gratë sipërmarrëse në energji </w:t>
            </w:r>
          </w:p>
        </w:tc>
        <w:tc>
          <w:tcPr>
            <w:tcW w:w="694" w:type="pct"/>
          </w:tcPr>
          <w:p w14:paraId="016A3B3F" w14:textId="77777777" w:rsidR="000B66DF" w:rsidRPr="00976D33" w:rsidRDefault="000B66DF">
            <w:pPr>
              <w:spacing w:after="0" w:line="259"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2020 - në vazhdim </w:t>
            </w:r>
          </w:p>
        </w:tc>
      </w:tr>
      <w:tr w:rsidR="000B66DF" w:rsidRPr="00976D33" w14:paraId="36AF8D29" w14:textId="77777777" w:rsidTr="00516514">
        <w:trPr>
          <w:trHeight w:val="1274"/>
        </w:trPr>
        <w:tc>
          <w:tcPr>
            <w:cnfStyle w:val="001000000000" w:firstRow="0" w:lastRow="0" w:firstColumn="1" w:lastColumn="0" w:oddVBand="0" w:evenVBand="0" w:oddHBand="0" w:evenHBand="0" w:firstRowFirstColumn="0" w:firstRowLastColumn="0" w:lastRowFirstColumn="0" w:lastRowLastColumn="0"/>
            <w:tcW w:w="966" w:type="pct"/>
            <w:vAlign w:val="center"/>
          </w:tcPr>
          <w:p w14:paraId="4AA04685" w14:textId="77777777" w:rsidR="000B66DF" w:rsidRPr="00976D33" w:rsidRDefault="00DA3282">
            <w:pPr>
              <w:spacing w:after="0" w:line="259" w:lineRule="auto"/>
              <w:ind w:left="2"/>
              <w:jc w:val="left"/>
              <w:rPr>
                <w:rFonts w:asciiTheme="majorHAnsi" w:hAnsiTheme="majorHAnsi" w:cstheme="majorHAnsi"/>
                <w:color w:val="FFFFFF" w:themeColor="background1"/>
                <w:sz w:val="16"/>
                <w:szCs w:val="16"/>
              </w:rPr>
            </w:pPr>
            <w:r>
              <w:rPr>
                <w:rFonts w:asciiTheme="majorHAnsi" w:hAnsiTheme="majorHAnsi"/>
                <w:color w:val="FFFFFF" w:themeColor="background1"/>
                <w:sz w:val="16"/>
              </w:rPr>
              <w:t xml:space="preserve">12. Instrumenti i </w:t>
            </w:r>
          </w:p>
          <w:p w14:paraId="01BE29B9" w14:textId="77777777" w:rsidR="000B66DF" w:rsidRPr="00976D33" w:rsidRDefault="000B66DF">
            <w:pPr>
              <w:spacing w:after="0" w:line="259" w:lineRule="auto"/>
              <w:ind w:left="2"/>
              <w:jc w:val="left"/>
              <w:rPr>
                <w:rFonts w:asciiTheme="majorHAnsi" w:hAnsiTheme="majorHAnsi" w:cstheme="majorHAnsi"/>
                <w:color w:val="FFFFFF" w:themeColor="background1"/>
                <w:sz w:val="16"/>
                <w:szCs w:val="16"/>
              </w:rPr>
            </w:pPr>
            <w:r>
              <w:rPr>
                <w:rFonts w:asciiTheme="majorHAnsi" w:hAnsiTheme="majorHAnsi"/>
                <w:color w:val="FFFFFF" w:themeColor="background1"/>
                <w:sz w:val="16"/>
              </w:rPr>
              <w:t xml:space="preserve">financimit të </w:t>
            </w:r>
          </w:p>
          <w:p w14:paraId="775343AB" w14:textId="77777777" w:rsidR="000B66DF" w:rsidRPr="00976D33" w:rsidRDefault="000B66DF">
            <w:pPr>
              <w:spacing w:after="0" w:line="259" w:lineRule="auto"/>
              <w:ind w:left="2"/>
              <w:jc w:val="left"/>
              <w:rPr>
                <w:rFonts w:asciiTheme="majorHAnsi" w:hAnsiTheme="majorHAnsi" w:cstheme="majorHAnsi"/>
                <w:color w:val="FFFFFF" w:themeColor="background1"/>
                <w:sz w:val="16"/>
                <w:szCs w:val="16"/>
              </w:rPr>
            </w:pPr>
            <w:r>
              <w:rPr>
                <w:rFonts w:asciiTheme="majorHAnsi" w:hAnsiTheme="majorHAnsi"/>
                <w:color w:val="FFFFFF" w:themeColor="background1"/>
                <w:sz w:val="16"/>
              </w:rPr>
              <w:t xml:space="preserve">ekonomisë së </w:t>
            </w:r>
          </w:p>
          <w:p w14:paraId="5057F06F" w14:textId="77777777" w:rsidR="000B66DF" w:rsidRPr="00976D33" w:rsidRDefault="000B66DF">
            <w:pPr>
              <w:spacing w:after="0" w:line="259" w:lineRule="auto"/>
              <w:ind w:left="2"/>
              <w:jc w:val="left"/>
              <w:rPr>
                <w:rFonts w:asciiTheme="majorHAnsi" w:hAnsiTheme="majorHAnsi" w:cstheme="majorHAnsi"/>
                <w:color w:val="FFFFFF" w:themeColor="background1"/>
                <w:sz w:val="16"/>
                <w:szCs w:val="16"/>
              </w:rPr>
            </w:pPr>
            <w:r>
              <w:rPr>
                <w:rFonts w:asciiTheme="majorHAnsi" w:hAnsiTheme="majorHAnsi"/>
                <w:color w:val="FFFFFF" w:themeColor="background1"/>
                <w:sz w:val="16"/>
              </w:rPr>
              <w:t xml:space="preserve">gjelbër (bankat </w:t>
            </w:r>
          </w:p>
          <w:p w14:paraId="58AF9FB9" w14:textId="77777777" w:rsidR="000B66DF" w:rsidRPr="00976D33" w:rsidRDefault="000B66DF">
            <w:pPr>
              <w:spacing w:after="0" w:line="259" w:lineRule="auto"/>
              <w:ind w:left="2"/>
              <w:jc w:val="left"/>
              <w:rPr>
                <w:rFonts w:asciiTheme="majorHAnsi" w:hAnsiTheme="majorHAnsi" w:cstheme="majorHAnsi"/>
                <w:color w:val="FFFFFF" w:themeColor="background1"/>
                <w:sz w:val="16"/>
                <w:szCs w:val="16"/>
              </w:rPr>
            </w:pPr>
            <w:r>
              <w:rPr>
                <w:rFonts w:asciiTheme="majorHAnsi" w:hAnsiTheme="majorHAnsi"/>
                <w:color w:val="FFFFFF" w:themeColor="background1"/>
                <w:sz w:val="16"/>
              </w:rPr>
              <w:t xml:space="preserve">lokale) </w:t>
            </w:r>
          </w:p>
        </w:tc>
        <w:tc>
          <w:tcPr>
            <w:tcW w:w="724" w:type="pct"/>
          </w:tcPr>
          <w:p w14:paraId="648F6E65" w14:textId="77777777" w:rsidR="000B66DF" w:rsidRPr="00976D33" w:rsidRDefault="000B66DF">
            <w:pPr>
              <w:spacing w:after="0" w:line="259" w:lineRule="auto"/>
              <w:ind w:left="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Mbështetje financiare </w:t>
            </w:r>
          </w:p>
        </w:tc>
        <w:tc>
          <w:tcPr>
            <w:tcW w:w="1707" w:type="pct"/>
          </w:tcPr>
          <w:p w14:paraId="6D8B11FF" w14:textId="77777777" w:rsidR="000B66DF" w:rsidRPr="00976D33" w:rsidRDefault="000B66DF">
            <w:pPr>
              <w:spacing w:after="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Rritja e kapaciteteve të BRE-ve me konsumatorët privatë, NVM-të </w:t>
            </w:r>
          </w:p>
        </w:tc>
        <w:tc>
          <w:tcPr>
            <w:tcW w:w="909" w:type="pct"/>
          </w:tcPr>
          <w:p w14:paraId="0B3E66C4" w14:textId="77777777" w:rsidR="000B66DF" w:rsidRPr="00976D33" w:rsidRDefault="000B66DF">
            <w:pPr>
              <w:spacing w:after="0" w:line="259" w:lineRule="auto"/>
              <w:ind w:left="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NMV-të, ekonomitë familjare </w:t>
            </w:r>
          </w:p>
        </w:tc>
        <w:tc>
          <w:tcPr>
            <w:tcW w:w="694" w:type="pct"/>
          </w:tcPr>
          <w:p w14:paraId="73F91BE1" w14:textId="77777777" w:rsidR="000B66DF" w:rsidRPr="00976D33" w:rsidRDefault="000B66DF">
            <w:pPr>
              <w:spacing w:after="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2018 - në vazhdim</w:t>
            </w:r>
          </w:p>
        </w:tc>
      </w:tr>
      <w:tr w:rsidR="000B66DF" w:rsidRPr="00976D33" w14:paraId="504BF795" w14:textId="77777777" w:rsidTr="00FE486A">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966" w:type="pct"/>
            <w:vAlign w:val="center"/>
          </w:tcPr>
          <w:p w14:paraId="07C732A4" w14:textId="7D7C60D9" w:rsidR="000B66DF" w:rsidRPr="00976D33" w:rsidRDefault="00DA3282">
            <w:pPr>
              <w:spacing w:after="0" w:line="259" w:lineRule="auto"/>
              <w:ind w:left="2"/>
              <w:jc w:val="left"/>
              <w:rPr>
                <w:rFonts w:asciiTheme="majorHAnsi" w:hAnsiTheme="majorHAnsi" w:cstheme="majorHAnsi"/>
                <w:color w:val="FFFFFF" w:themeColor="background1"/>
                <w:sz w:val="16"/>
                <w:szCs w:val="16"/>
              </w:rPr>
            </w:pPr>
            <w:r>
              <w:rPr>
                <w:rFonts w:asciiTheme="majorHAnsi" w:hAnsiTheme="majorHAnsi"/>
                <w:color w:val="FFFFFF" w:themeColor="background1"/>
                <w:sz w:val="16"/>
              </w:rPr>
              <w:t>13. Formimi i grupeve për rritjen e përdorimit të biomasës (peletit) dhe energjisë solare</w:t>
            </w:r>
          </w:p>
        </w:tc>
        <w:tc>
          <w:tcPr>
            <w:tcW w:w="724" w:type="pct"/>
          </w:tcPr>
          <w:p w14:paraId="7FEE81C2" w14:textId="77777777" w:rsidR="000B66DF" w:rsidRPr="00976D33" w:rsidRDefault="000B66DF">
            <w:pPr>
              <w:spacing w:after="0" w:line="259" w:lineRule="auto"/>
              <w:ind w:left="2"/>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Mbështetje financiare </w:t>
            </w:r>
          </w:p>
        </w:tc>
        <w:tc>
          <w:tcPr>
            <w:tcW w:w="1707" w:type="pct"/>
          </w:tcPr>
          <w:p w14:paraId="7BF4FAEA" w14:textId="77777777" w:rsidR="000B66DF" w:rsidRPr="00976D33" w:rsidRDefault="000B66DF">
            <w:pPr>
              <w:spacing w:after="0" w:line="259"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Formimi i grupeve që kanë të bëjnë me të gjitha aspektet e prodhimit të peletit dhe vendosjen e projektit me energji solare </w:t>
            </w:r>
          </w:p>
        </w:tc>
        <w:tc>
          <w:tcPr>
            <w:tcW w:w="909" w:type="pct"/>
          </w:tcPr>
          <w:p w14:paraId="004AE490" w14:textId="77777777" w:rsidR="000B66DF" w:rsidRPr="00976D33" w:rsidRDefault="000B66DF">
            <w:pPr>
              <w:spacing w:after="0" w:line="236" w:lineRule="auto"/>
              <w:ind w:left="2"/>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Prodhuesit e peletit, prodhuesit e pajisjeve </w:t>
            </w:r>
          </w:p>
          <w:p w14:paraId="542F1E09" w14:textId="71B9BC5E" w:rsidR="000B66DF" w:rsidRPr="00976D33" w:rsidRDefault="000B66DF">
            <w:pPr>
              <w:spacing w:after="0" w:line="259" w:lineRule="auto"/>
              <w:ind w:left="2"/>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të drurit, instaluesit e paneleve solare dhe sistemit PV</w:t>
            </w:r>
          </w:p>
        </w:tc>
        <w:tc>
          <w:tcPr>
            <w:tcW w:w="694" w:type="pct"/>
          </w:tcPr>
          <w:p w14:paraId="2EA0222D" w14:textId="77777777" w:rsidR="000B66DF" w:rsidRPr="00976D33" w:rsidRDefault="000B66DF">
            <w:pPr>
              <w:spacing w:after="0" w:line="259"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2014 - në vazhdim </w:t>
            </w:r>
          </w:p>
        </w:tc>
      </w:tr>
      <w:tr w:rsidR="000B66DF" w:rsidRPr="00976D33" w14:paraId="3B8409D6" w14:textId="77777777" w:rsidTr="00516514">
        <w:trPr>
          <w:trHeight w:val="768"/>
        </w:trPr>
        <w:tc>
          <w:tcPr>
            <w:cnfStyle w:val="001000000000" w:firstRow="0" w:lastRow="0" w:firstColumn="1" w:lastColumn="0" w:oddVBand="0" w:evenVBand="0" w:oddHBand="0" w:evenHBand="0" w:firstRowFirstColumn="0" w:firstRowLastColumn="0" w:lastRowFirstColumn="0" w:lastRowLastColumn="0"/>
            <w:tcW w:w="966" w:type="pct"/>
            <w:vAlign w:val="center"/>
          </w:tcPr>
          <w:p w14:paraId="0D65E3CD" w14:textId="77777777" w:rsidR="000B66DF" w:rsidRPr="00976D33" w:rsidRDefault="00DA3282">
            <w:pPr>
              <w:spacing w:after="0" w:line="259" w:lineRule="auto"/>
              <w:ind w:left="2"/>
              <w:jc w:val="left"/>
              <w:rPr>
                <w:rFonts w:asciiTheme="majorHAnsi" w:hAnsiTheme="majorHAnsi" w:cstheme="majorBidi"/>
                <w:color w:val="FFFFFF" w:themeColor="background1"/>
                <w:sz w:val="16"/>
                <w:szCs w:val="16"/>
              </w:rPr>
            </w:pPr>
            <w:r>
              <w:rPr>
                <w:rFonts w:asciiTheme="majorHAnsi" w:hAnsiTheme="majorHAnsi"/>
                <w:color w:val="FFFFFF" w:themeColor="background1"/>
                <w:sz w:val="16"/>
              </w:rPr>
              <w:t xml:space="preserve">14. MFK </w:t>
            </w:r>
          </w:p>
        </w:tc>
        <w:tc>
          <w:tcPr>
            <w:tcW w:w="724" w:type="pct"/>
          </w:tcPr>
          <w:p w14:paraId="18E0ECB1" w14:textId="77777777" w:rsidR="000B66DF" w:rsidRPr="00976D33" w:rsidRDefault="000B66DF">
            <w:pPr>
              <w:spacing w:after="0" w:line="259" w:lineRule="auto"/>
              <w:ind w:left="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Pr>
                <w:rFonts w:asciiTheme="majorHAnsi" w:hAnsiTheme="majorHAnsi"/>
                <w:sz w:val="16"/>
              </w:rPr>
              <w:t xml:space="preserve">Mbështetja </w:t>
            </w:r>
          </w:p>
          <w:p w14:paraId="07E50524" w14:textId="77777777" w:rsidR="000B66DF" w:rsidRPr="00976D33" w:rsidRDefault="000B66DF">
            <w:pPr>
              <w:spacing w:after="0" w:line="259" w:lineRule="auto"/>
              <w:ind w:left="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Pr>
                <w:rFonts w:asciiTheme="majorHAnsi" w:hAnsiTheme="majorHAnsi"/>
                <w:sz w:val="16"/>
              </w:rPr>
              <w:t xml:space="preserve">financiare </w:t>
            </w:r>
          </w:p>
          <w:p w14:paraId="7802EA73" w14:textId="77777777" w:rsidR="000B66DF" w:rsidRPr="00976D33" w:rsidRDefault="000B66DF">
            <w:pPr>
              <w:spacing w:after="0" w:line="259" w:lineRule="auto"/>
              <w:ind w:left="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Pr>
                <w:rFonts w:asciiTheme="majorHAnsi" w:hAnsiTheme="majorHAnsi"/>
                <w:sz w:val="16"/>
              </w:rPr>
              <w:t xml:space="preserve">E butë </w:t>
            </w:r>
          </w:p>
        </w:tc>
        <w:tc>
          <w:tcPr>
            <w:tcW w:w="1707" w:type="pct"/>
          </w:tcPr>
          <w:p w14:paraId="22E93CB5" w14:textId="77777777" w:rsidR="000B66DF" w:rsidRPr="00976D33" w:rsidRDefault="000B66DF">
            <w:pPr>
              <w:spacing w:after="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Pr>
                <w:rFonts w:asciiTheme="majorHAnsi" w:hAnsiTheme="majorHAnsi"/>
                <w:sz w:val="16"/>
              </w:rPr>
              <w:t xml:space="preserve">Mbështetja e grave në sektorin energjetik drejt avancimit në karrierë për efiçiencë të energjisë dhe energji të ripërtëritshme </w:t>
            </w:r>
          </w:p>
        </w:tc>
        <w:tc>
          <w:tcPr>
            <w:tcW w:w="909" w:type="pct"/>
          </w:tcPr>
          <w:p w14:paraId="68CABA34" w14:textId="77777777" w:rsidR="000B66DF" w:rsidRPr="00976D33" w:rsidRDefault="000B66DF">
            <w:pPr>
              <w:spacing w:after="0" w:line="259" w:lineRule="auto"/>
              <w:ind w:left="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Pr>
                <w:rFonts w:asciiTheme="majorHAnsi" w:hAnsiTheme="majorHAnsi"/>
                <w:sz w:val="16"/>
              </w:rPr>
              <w:t xml:space="preserve">Gratë profesioniste nga një gamë e gjerë profilesh  </w:t>
            </w:r>
          </w:p>
        </w:tc>
        <w:tc>
          <w:tcPr>
            <w:tcW w:w="694" w:type="pct"/>
          </w:tcPr>
          <w:p w14:paraId="44563D8C" w14:textId="77777777" w:rsidR="000B66DF" w:rsidRPr="00976D33" w:rsidRDefault="000B66DF">
            <w:pPr>
              <w:spacing w:after="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16"/>
                <w:szCs w:val="16"/>
              </w:rPr>
            </w:pPr>
            <w:r>
              <w:rPr>
                <w:rFonts w:asciiTheme="majorHAnsi" w:hAnsiTheme="majorHAnsi"/>
                <w:sz w:val="16"/>
              </w:rPr>
              <w:t xml:space="preserve">2016 - i përfunduar </w:t>
            </w:r>
          </w:p>
        </w:tc>
      </w:tr>
      <w:tr w:rsidR="000B66DF" w:rsidRPr="00976D33" w14:paraId="0EF8D7C0" w14:textId="77777777" w:rsidTr="00FE486A">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966" w:type="pct"/>
            <w:vAlign w:val="center"/>
          </w:tcPr>
          <w:p w14:paraId="537A38BF" w14:textId="77777777" w:rsidR="000B66DF" w:rsidRPr="00976D33" w:rsidRDefault="00DA3282">
            <w:pPr>
              <w:spacing w:after="0" w:line="259" w:lineRule="auto"/>
              <w:ind w:left="2"/>
              <w:jc w:val="left"/>
              <w:rPr>
                <w:rFonts w:asciiTheme="majorHAnsi" w:hAnsiTheme="majorHAnsi" w:cstheme="majorHAnsi"/>
                <w:color w:val="FFFFFF" w:themeColor="background1"/>
                <w:sz w:val="16"/>
                <w:szCs w:val="16"/>
              </w:rPr>
            </w:pPr>
            <w:r>
              <w:rPr>
                <w:rFonts w:asciiTheme="majorHAnsi" w:hAnsiTheme="majorHAnsi"/>
                <w:color w:val="FFFFFF" w:themeColor="background1"/>
                <w:sz w:val="16"/>
              </w:rPr>
              <w:t xml:space="preserve">15. Lirimi nga dogana i komponentëve dhe pajisjeve për përdorim të BRE-së </w:t>
            </w:r>
          </w:p>
        </w:tc>
        <w:tc>
          <w:tcPr>
            <w:tcW w:w="724" w:type="pct"/>
          </w:tcPr>
          <w:p w14:paraId="12DFE7B5" w14:textId="77777777" w:rsidR="000B66DF" w:rsidRPr="00976D33" w:rsidRDefault="000B66DF">
            <w:pPr>
              <w:spacing w:after="0" w:line="259" w:lineRule="auto"/>
              <w:ind w:left="2"/>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Financiare </w:t>
            </w:r>
          </w:p>
        </w:tc>
        <w:tc>
          <w:tcPr>
            <w:tcW w:w="1707" w:type="pct"/>
          </w:tcPr>
          <w:p w14:paraId="32C8C8F2" w14:textId="77777777" w:rsidR="000B66DF" w:rsidRPr="00976D33" w:rsidRDefault="000B66DF">
            <w:pPr>
              <w:spacing w:after="0" w:line="259"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Rritja e kosto-përfitimit të projekteve të BRE-së, tërheqja e investimeve </w:t>
            </w:r>
          </w:p>
        </w:tc>
        <w:tc>
          <w:tcPr>
            <w:tcW w:w="909" w:type="pct"/>
          </w:tcPr>
          <w:p w14:paraId="5BD1BC9C" w14:textId="77777777" w:rsidR="000B66DF" w:rsidRPr="00976D33" w:rsidRDefault="000B66DF">
            <w:pPr>
              <w:spacing w:after="0" w:line="259" w:lineRule="auto"/>
              <w:ind w:left="2"/>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Investitorët </w:t>
            </w:r>
          </w:p>
        </w:tc>
        <w:tc>
          <w:tcPr>
            <w:tcW w:w="694" w:type="pct"/>
          </w:tcPr>
          <w:p w14:paraId="183D9E91" w14:textId="77777777" w:rsidR="000B66DF" w:rsidRPr="00976D33" w:rsidRDefault="000B66DF">
            <w:pPr>
              <w:spacing w:after="0" w:line="259"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2017 - në vazhdim</w:t>
            </w:r>
          </w:p>
        </w:tc>
      </w:tr>
      <w:tr w:rsidR="000B66DF" w:rsidRPr="00976D33" w14:paraId="49E5C127" w14:textId="77777777" w:rsidTr="00516514">
        <w:trPr>
          <w:trHeight w:val="516"/>
        </w:trPr>
        <w:tc>
          <w:tcPr>
            <w:cnfStyle w:val="001000000000" w:firstRow="0" w:lastRow="0" w:firstColumn="1" w:lastColumn="0" w:oddVBand="0" w:evenVBand="0" w:oddHBand="0" w:evenHBand="0" w:firstRowFirstColumn="0" w:firstRowLastColumn="0" w:lastRowFirstColumn="0" w:lastRowLastColumn="0"/>
            <w:tcW w:w="966" w:type="pct"/>
            <w:vAlign w:val="center"/>
          </w:tcPr>
          <w:p w14:paraId="7B79A7A1" w14:textId="77777777" w:rsidR="000B66DF" w:rsidRPr="00976D33" w:rsidRDefault="00DA3282">
            <w:pPr>
              <w:spacing w:after="0" w:line="259" w:lineRule="auto"/>
              <w:ind w:left="2"/>
              <w:jc w:val="left"/>
              <w:rPr>
                <w:rFonts w:asciiTheme="majorHAnsi" w:hAnsiTheme="majorHAnsi" w:cstheme="majorHAnsi"/>
                <w:color w:val="FFFFFF" w:themeColor="background1"/>
                <w:sz w:val="16"/>
                <w:szCs w:val="16"/>
              </w:rPr>
            </w:pPr>
            <w:r>
              <w:rPr>
                <w:rFonts w:asciiTheme="majorHAnsi" w:hAnsiTheme="majorHAnsi"/>
                <w:color w:val="FFFFFF" w:themeColor="background1"/>
                <w:sz w:val="16"/>
              </w:rPr>
              <w:t xml:space="preserve">16. Lirimi nga </w:t>
            </w:r>
          </w:p>
          <w:p w14:paraId="0520C540" w14:textId="77777777" w:rsidR="000B66DF" w:rsidRPr="00976D33" w:rsidRDefault="000B66DF">
            <w:pPr>
              <w:spacing w:after="0" w:line="259" w:lineRule="auto"/>
              <w:ind w:left="2"/>
              <w:jc w:val="left"/>
              <w:rPr>
                <w:rFonts w:asciiTheme="majorHAnsi" w:hAnsiTheme="majorHAnsi" w:cstheme="majorHAnsi"/>
                <w:color w:val="FFFFFF" w:themeColor="background1"/>
                <w:sz w:val="16"/>
                <w:szCs w:val="16"/>
              </w:rPr>
            </w:pPr>
            <w:r>
              <w:rPr>
                <w:rFonts w:asciiTheme="majorHAnsi" w:hAnsiTheme="majorHAnsi"/>
                <w:color w:val="FFFFFF" w:themeColor="background1"/>
                <w:sz w:val="16"/>
              </w:rPr>
              <w:t xml:space="preserve">TVSH-ja  </w:t>
            </w:r>
          </w:p>
        </w:tc>
        <w:tc>
          <w:tcPr>
            <w:tcW w:w="724" w:type="pct"/>
          </w:tcPr>
          <w:p w14:paraId="553BE22B" w14:textId="77777777" w:rsidR="000B66DF" w:rsidRPr="00976D33" w:rsidRDefault="000B66DF">
            <w:pPr>
              <w:spacing w:after="0" w:line="259" w:lineRule="auto"/>
              <w:ind w:left="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Financiare </w:t>
            </w:r>
          </w:p>
        </w:tc>
        <w:tc>
          <w:tcPr>
            <w:tcW w:w="1707" w:type="pct"/>
          </w:tcPr>
          <w:p w14:paraId="7560751E" w14:textId="77777777" w:rsidR="000B66DF" w:rsidRPr="00976D33" w:rsidRDefault="000B66DF">
            <w:pPr>
              <w:spacing w:after="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Rritja e kosto-përfitimit të projekteve të BRE-së, tërheqja e investimeve </w:t>
            </w:r>
          </w:p>
        </w:tc>
        <w:tc>
          <w:tcPr>
            <w:tcW w:w="909" w:type="pct"/>
          </w:tcPr>
          <w:p w14:paraId="1079F683" w14:textId="77777777" w:rsidR="000B66DF" w:rsidRPr="00976D33" w:rsidRDefault="000B66DF">
            <w:pPr>
              <w:spacing w:after="0" w:line="259" w:lineRule="auto"/>
              <w:ind w:left="2"/>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Investitorët </w:t>
            </w:r>
          </w:p>
        </w:tc>
        <w:tc>
          <w:tcPr>
            <w:tcW w:w="694" w:type="pct"/>
          </w:tcPr>
          <w:p w14:paraId="31F2C7BF" w14:textId="77777777" w:rsidR="000B66DF" w:rsidRPr="00976D33" w:rsidRDefault="000B66DF">
            <w:pPr>
              <w:spacing w:after="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2017 - në vazhdim</w:t>
            </w:r>
          </w:p>
        </w:tc>
      </w:tr>
      <w:tr w:rsidR="000B66DF" w:rsidRPr="00976D33" w14:paraId="06818BA8" w14:textId="77777777" w:rsidTr="00516514">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966" w:type="pct"/>
            <w:vAlign w:val="center"/>
          </w:tcPr>
          <w:p w14:paraId="0E2FDC0C" w14:textId="77777777" w:rsidR="000B66DF" w:rsidRPr="00976D33" w:rsidRDefault="00DA3282">
            <w:pPr>
              <w:spacing w:after="0" w:line="259" w:lineRule="auto"/>
              <w:ind w:left="2"/>
              <w:jc w:val="left"/>
              <w:rPr>
                <w:rFonts w:asciiTheme="majorHAnsi" w:hAnsiTheme="majorHAnsi" w:cstheme="majorHAnsi"/>
                <w:color w:val="FFFFFF" w:themeColor="background1"/>
                <w:sz w:val="16"/>
                <w:szCs w:val="16"/>
              </w:rPr>
            </w:pPr>
            <w:r>
              <w:rPr>
                <w:rFonts w:asciiTheme="majorHAnsi" w:hAnsiTheme="majorHAnsi"/>
                <w:color w:val="FFFFFF" w:themeColor="background1"/>
                <w:sz w:val="16"/>
              </w:rPr>
              <w:t xml:space="preserve">17. Udhëzuesi për prodhuesit-konsumatorët  </w:t>
            </w:r>
          </w:p>
        </w:tc>
        <w:tc>
          <w:tcPr>
            <w:tcW w:w="724" w:type="pct"/>
          </w:tcPr>
          <w:p w14:paraId="5D197AE5" w14:textId="77777777" w:rsidR="000B66DF" w:rsidRPr="00976D33" w:rsidRDefault="000B66DF">
            <w:pPr>
              <w:spacing w:after="0" w:line="259" w:lineRule="auto"/>
              <w:ind w:left="2"/>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E butë </w:t>
            </w:r>
          </w:p>
        </w:tc>
        <w:tc>
          <w:tcPr>
            <w:tcW w:w="1707" w:type="pct"/>
          </w:tcPr>
          <w:p w14:paraId="358C886C" w14:textId="77777777" w:rsidR="000B66DF" w:rsidRPr="00976D33" w:rsidRDefault="000B66DF">
            <w:pPr>
              <w:spacing w:after="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Udhëzuesi shpjegon kushtet dhe kriteret për marrjen e statusit të prodhuesit-konsumatorit </w:t>
            </w:r>
          </w:p>
        </w:tc>
        <w:tc>
          <w:tcPr>
            <w:tcW w:w="909" w:type="pct"/>
          </w:tcPr>
          <w:p w14:paraId="6B5A59EB" w14:textId="77777777" w:rsidR="000B66DF" w:rsidRPr="00976D33" w:rsidRDefault="000B66DF" w:rsidP="00FE486A">
            <w:pPr>
              <w:spacing w:after="0" w:line="259" w:lineRule="auto"/>
              <w:ind w:left="2" w:right="346"/>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 xml:space="preserve">Të gjithë konsumatorët janë të lidhur në rrjetin e distribuimit të ulët </w:t>
            </w:r>
          </w:p>
        </w:tc>
        <w:tc>
          <w:tcPr>
            <w:tcW w:w="694" w:type="pct"/>
          </w:tcPr>
          <w:p w14:paraId="04387F8A" w14:textId="77777777" w:rsidR="000B66DF" w:rsidRPr="00976D33" w:rsidRDefault="000B66DF">
            <w:pPr>
              <w:spacing w:after="0" w:line="259"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sz w:val="16"/>
              </w:rPr>
              <w:t>2021 - në vazhdim</w:t>
            </w:r>
          </w:p>
        </w:tc>
      </w:tr>
    </w:tbl>
    <w:p w14:paraId="3E40FAD9" w14:textId="1D0FDFD6" w:rsidR="00B13BFF" w:rsidRPr="008C14F9" w:rsidRDefault="000B66DF" w:rsidP="0027589E">
      <w:pPr>
        <w:rPr>
          <w:i/>
          <w:iCs/>
          <w:sz w:val="16"/>
          <w:szCs w:val="16"/>
        </w:rPr>
      </w:pPr>
      <w:r>
        <w:rPr>
          <w:i/>
          <w:sz w:val="16"/>
        </w:rPr>
        <w:t>Burimi: Raporti i 5</w:t>
      </w:r>
      <w:r>
        <w:rPr>
          <w:i/>
          <w:sz w:val="16"/>
          <w:vertAlign w:val="superscript"/>
        </w:rPr>
        <w:t>-të</w:t>
      </w:r>
      <w:r>
        <w:rPr>
          <w:i/>
          <w:sz w:val="16"/>
        </w:rPr>
        <w:t xml:space="preserve"> i progresit të energjisë së ripërtëritshme të Republikës së Kosovës 2020-2021</w:t>
      </w:r>
    </w:p>
    <w:p w14:paraId="28F68E59" w14:textId="77777777" w:rsidR="00FE486A" w:rsidRDefault="00FE486A" w:rsidP="0027589E">
      <w:pPr>
        <w:rPr>
          <w:b/>
          <w:sz w:val="23"/>
        </w:rPr>
      </w:pPr>
    </w:p>
    <w:p w14:paraId="7500873F" w14:textId="77777777" w:rsidR="00FE486A" w:rsidRDefault="00FE486A" w:rsidP="0027589E">
      <w:pPr>
        <w:rPr>
          <w:b/>
          <w:sz w:val="23"/>
        </w:rPr>
      </w:pPr>
    </w:p>
    <w:p w14:paraId="543ADAB5" w14:textId="15BFAA9A" w:rsidR="0027589E" w:rsidRPr="00976D33" w:rsidRDefault="001A5B26" w:rsidP="0027589E">
      <w:pPr>
        <w:rPr>
          <w:rFonts w:cstheme="minorHAnsi"/>
          <w:b/>
          <w:bCs/>
          <w:sz w:val="23"/>
          <w:szCs w:val="23"/>
        </w:rPr>
      </w:pPr>
      <w:r>
        <w:rPr>
          <w:b/>
          <w:sz w:val="23"/>
        </w:rPr>
        <w:lastRenderedPageBreak/>
        <w:t>Dimensioni 2: Efiçienca e energjisë</w:t>
      </w:r>
    </w:p>
    <w:p w14:paraId="70E529F1" w14:textId="7A20B4E6" w:rsidR="00F31D1A" w:rsidRPr="00976D33" w:rsidRDefault="00F31D1A" w:rsidP="00F31D1A">
      <w:r>
        <w:t xml:space="preserve">Në adresimin e sfidave me të cilat ballafaqohet sektori energjetik si dhe detyrimeve që dalin nga Traktati i Komunitetit të Energjisë dhe si nënshkruese e Marrëveshjes së Stabilizim Asociimit, në aspektin e efiçiencës së energjisë, Kosova ka miratuar ligjet e mëposhtme: </w:t>
      </w:r>
    </w:p>
    <w:p w14:paraId="2286FABD" w14:textId="77777777" w:rsidR="00F31D1A" w:rsidRPr="00976D33" w:rsidRDefault="00F31D1A" w:rsidP="00F31D1A">
      <w:pPr>
        <w:pStyle w:val="ListParagraph"/>
      </w:pPr>
      <w:bookmarkStart w:id="39" w:name="_Toc35816041"/>
      <w:r>
        <w:t>Ligji për Energjinë Nr. 05/L-081</w:t>
      </w:r>
      <w:bookmarkEnd w:id="39"/>
    </w:p>
    <w:p w14:paraId="2F4DE5A0" w14:textId="77777777" w:rsidR="00F31D1A" w:rsidRPr="00976D33" w:rsidRDefault="00F31D1A" w:rsidP="00F31D1A">
      <w:pPr>
        <w:pStyle w:val="ListParagraph"/>
      </w:pPr>
      <w:bookmarkStart w:id="40" w:name="_Toc32239058"/>
      <w:bookmarkStart w:id="41" w:name="_Toc35816042"/>
      <w:r>
        <w:t>Ligji për Energjinë Elektrike Nr. 05/L-085</w:t>
      </w:r>
      <w:bookmarkEnd w:id="40"/>
      <w:bookmarkEnd w:id="41"/>
    </w:p>
    <w:p w14:paraId="5A6EF11B" w14:textId="77777777" w:rsidR="00F31D1A" w:rsidRPr="00976D33" w:rsidRDefault="00F31D1A" w:rsidP="00F31D1A">
      <w:pPr>
        <w:pStyle w:val="ListParagraph"/>
      </w:pPr>
      <w:r>
        <w:t xml:space="preserve">Ligji për Efiçiencë të Energjisë Nr. 06/L-079 </w:t>
      </w:r>
    </w:p>
    <w:p w14:paraId="6D248BAC" w14:textId="18736C40" w:rsidR="00F31D1A" w:rsidRPr="00976D33" w:rsidRDefault="00F31D1A" w:rsidP="00F31D1A">
      <w:pPr>
        <w:pStyle w:val="ListParagraph"/>
      </w:pPr>
      <w:r>
        <w:t xml:space="preserve">Ligji Nr. 08/L-242 për Performancën Energjetike në Ndërtesa </w:t>
      </w:r>
    </w:p>
    <w:p w14:paraId="2E0F30C8" w14:textId="77777777" w:rsidR="00F31D1A" w:rsidRPr="00976D33" w:rsidRDefault="00F31D1A" w:rsidP="00F31D1A">
      <w:pPr>
        <w:pStyle w:val="ListParagraph"/>
      </w:pPr>
      <w:bookmarkStart w:id="42" w:name="_Toc35816045"/>
      <w:r>
        <w:t>Ligji Nr. 05/L-052 për Energjinë Termike</w:t>
      </w:r>
      <w:bookmarkEnd w:id="42"/>
    </w:p>
    <w:p w14:paraId="17CF46B2" w14:textId="05251032" w:rsidR="000B66DF" w:rsidRPr="00976D33" w:rsidRDefault="002C63D0" w:rsidP="00F31D1A">
      <w:r>
        <w:t>Krahas pjesës së legjislacionit, në fillim të vitit 2023, u përgatit draft version i 5</w:t>
      </w:r>
      <w:r>
        <w:rPr>
          <w:vertAlign w:val="superscript"/>
        </w:rPr>
        <w:t>-të</w:t>
      </w:r>
      <w:r>
        <w:t xml:space="preserve"> i Planit Kombëtar të Veprimit për Efiçiencë të Energjisë (PKVEE) 2022-2024, dhe plani bazohet në PKVEE- e 4</w:t>
      </w:r>
      <w:r>
        <w:rPr>
          <w:vertAlign w:val="superscript"/>
        </w:rPr>
        <w:t>-të</w:t>
      </w:r>
      <w:r>
        <w:t>. Sipas këtij plani, caku për vitin 2018 nuk ishte arritur. Një nga sfidat kryesore të identifikuara në Plan është disponueshmëria e të dhënave, por është bërë një përpjekje ambicioze për mbledhjen e të dhënave për të adresuar këtë pengesë, ndërsa platforma e monitorimit dhe verifikimit është funksionalizuar. Është paraqitur një listë e politikave dhe masave të zbatuara për periudhën 2019-2021, shumica e tyre janë duke vazhduar të zbatohen dhe janë ende në fuqi (shih Kapitullin 3, pjesa e efiçiencës së energjisë). Lista e politikave dhe masave është paraqitur në (</w:t>
      </w:r>
      <w:r w:rsidR="000B66DF" w:rsidRPr="00976D33">
        <w:fldChar w:fldCharType="begin"/>
      </w:r>
      <w:r w:rsidR="000B66DF" w:rsidRPr="00976D33">
        <w:instrText xml:space="preserve"> REF _Ref69756362 \h </w:instrText>
      </w:r>
      <w:r w:rsidR="004A7007" w:rsidRPr="00976D33">
        <w:instrText xml:space="preserve"> \* MERGEFORMAT </w:instrText>
      </w:r>
      <w:r w:rsidR="000B66DF" w:rsidRPr="00976D33">
        <w:fldChar w:fldCharType="separate"/>
      </w:r>
      <w:r w:rsidR="003B7FFA">
        <w:t>Tabela 4</w:t>
      </w:r>
      <w:r w:rsidR="000B66DF" w:rsidRPr="00976D33">
        <w:fldChar w:fldCharType="end"/>
      </w:r>
      <w:r>
        <w:t xml:space="preserve">), </w:t>
      </w:r>
    </w:p>
    <w:p w14:paraId="05D7CC92" w14:textId="0E25BABC" w:rsidR="000B66DF" w:rsidRPr="00976D33" w:rsidRDefault="000B66DF" w:rsidP="000B66DF">
      <w:pPr>
        <w:pStyle w:val="Caption"/>
      </w:pPr>
      <w:bookmarkStart w:id="43" w:name="_Ref69756362"/>
      <w:bookmarkStart w:id="44" w:name="_Toc181867297"/>
      <w:r>
        <w:t xml:space="preserve">Tabela </w:t>
      </w:r>
      <w:r w:rsidRPr="00976D33">
        <w:fldChar w:fldCharType="begin"/>
      </w:r>
      <w:r w:rsidRPr="00976D33">
        <w:instrText>SEQ Table \* ARABIC</w:instrText>
      </w:r>
      <w:r w:rsidRPr="00976D33">
        <w:fldChar w:fldCharType="separate"/>
      </w:r>
      <w:r w:rsidR="003B7FFA">
        <w:rPr>
          <w:noProof/>
        </w:rPr>
        <w:t>4</w:t>
      </w:r>
      <w:r w:rsidRPr="00976D33">
        <w:fldChar w:fldCharType="end"/>
      </w:r>
      <w:bookmarkEnd w:id="43"/>
      <w:r>
        <w:t>. Politikat dhe masat aktuale të përfshira në Projekt Planin e 5-të Kombëtar të Veprimit për Efiçiencë të Energjisë</w:t>
      </w:r>
      <w:bookmarkEnd w:id="44"/>
    </w:p>
    <w:tbl>
      <w:tblPr>
        <w:tblStyle w:val="GridTable4-Accent1"/>
        <w:tblW w:w="8359" w:type="dxa"/>
        <w:tblLook w:val="04A0" w:firstRow="1" w:lastRow="0" w:firstColumn="1" w:lastColumn="0" w:noHBand="0" w:noVBand="1"/>
      </w:tblPr>
      <w:tblGrid>
        <w:gridCol w:w="8359"/>
      </w:tblGrid>
      <w:tr w:rsidR="000B66DF" w:rsidRPr="00976D33" w14:paraId="348B4B70" w14:textId="77777777" w:rsidTr="00022160">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8359" w:type="dxa"/>
            <w:vMerge w:val="restart"/>
            <w:vAlign w:val="center"/>
            <w:hideMark/>
          </w:tcPr>
          <w:p w14:paraId="42CFAF77" w14:textId="07BF23E7" w:rsidR="000B66DF" w:rsidRPr="00976D33" w:rsidRDefault="006F438E" w:rsidP="000B66DF">
            <w:pPr>
              <w:spacing w:before="0" w:after="0"/>
              <w:jc w:val="center"/>
              <w:rPr>
                <w:rFonts w:eastAsia="Times New Roman" w:cstheme="minorHAnsi"/>
                <w:color w:val="000000"/>
                <w:sz w:val="16"/>
                <w:szCs w:val="16"/>
              </w:rPr>
            </w:pPr>
            <w:r>
              <w:rPr>
                <w:color w:val="FFFFFF" w:themeColor="background1"/>
                <w:sz w:val="16"/>
              </w:rPr>
              <w:t>Masa</w:t>
            </w:r>
          </w:p>
        </w:tc>
      </w:tr>
      <w:tr w:rsidR="000B66DF" w:rsidRPr="00976D33" w14:paraId="64C26B56" w14:textId="77777777" w:rsidTr="0002216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8359" w:type="dxa"/>
            <w:vMerge/>
            <w:vAlign w:val="center"/>
            <w:hideMark/>
          </w:tcPr>
          <w:p w14:paraId="5ED9CE0B" w14:textId="77777777" w:rsidR="000B66DF" w:rsidRPr="00976D33" w:rsidRDefault="000B66DF" w:rsidP="000B66DF">
            <w:pPr>
              <w:spacing w:before="0" w:after="0"/>
              <w:jc w:val="left"/>
              <w:rPr>
                <w:rFonts w:eastAsia="Times New Roman" w:cstheme="minorHAnsi"/>
                <w:color w:val="000000"/>
                <w:sz w:val="16"/>
                <w:szCs w:val="16"/>
                <w:lang w:eastAsia="en-GB"/>
              </w:rPr>
            </w:pPr>
          </w:p>
        </w:tc>
      </w:tr>
      <w:tr w:rsidR="000B66DF" w:rsidRPr="00976D33" w14:paraId="4563A685" w14:textId="77777777" w:rsidTr="00022160">
        <w:trPr>
          <w:trHeight w:hRule="exact" w:val="284"/>
        </w:trPr>
        <w:tc>
          <w:tcPr>
            <w:cnfStyle w:val="001000000000" w:firstRow="0" w:lastRow="0" w:firstColumn="1" w:lastColumn="0" w:oddVBand="0" w:evenVBand="0" w:oddHBand="0" w:evenHBand="0" w:firstRowFirstColumn="0" w:firstRowLastColumn="0" w:lastRowFirstColumn="0" w:lastRowLastColumn="0"/>
            <w:tcW w:w="8359" w:type="dxa"/>
            <w:vAlign w:val="center"/>
          </w:tcPr>
          <w:p w14:paraId="119CBF4D" w14:textId="77777777" w:rsidR="000B66DF" w:rsidRPr="00976D33" w:rsidRDefault="000B66DF" w:rsidP="000B66DF">
            <w:pPr>
              <w:spacing w:before="0" w:after="0"/>
              <w:jc w:val="left"/>
              <w:rPr>
                <w:rFonts w:eastAsia="Times New Roman" w:cstheme="minorHAnsi"/>
                <w:b w:val="0"/>
                <w:color w:val="000000"/>
                <w:sz w:val="16"/>
                <w:szCs w:val="16"/>
              </w:rPr>
            </w:pPr>
            <w:r>
              <w:rPr>
                <w:color w:val="000000"/>
                <w:sz w:val="16"/>
              </w:rPr>
              <w:t>Masat në anën e kërkesës</w:t>
            </w:r>
          </w:p>
        </w:tc>
      </w:tr>
      <w:tr w:rsidR="000B66DF" w:rsidRPr="00976D33" w14:paraId="3796EF50" w14:textId="77777777" w:rsidTr="0002216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8359" w:type="dxa"/>
            <w:vAlign w:val="center"/>
            <w:hideMark/>
          </w:tcPr>
          <w:p w14:paraId="1AF802FA" w14:textId="77777777" w:rsidR="000B66DF" w:rsidRPr="008C14F9" w:rsidRDefault="000B66DF" w:rsidP="000B66DF">
            <w:pPr>
              <w:spacing w:before="0" w:after="0"/>
              <w:ind w:left="448" w:hanging="165"/>
              <w:jc w:val="left"/>
              <w:rPr>
                <w:rFonts w:eastAsia="Times New Roman" w:cstheme="minorHAnsi"/>
                <w:b w:val="0"/>
                <w:bCs w:val="0"/>
                <w:color w:val="000000"/>
                <w:sz w:val="16"/>
                <w:szCs w:val="16"/>
              </w:rPr>
            </w:pPr>
            <w:r>
              <w:rPr>
                <w:b w:val="0"/>
                <w:color w:val="000000"/>
                <w:sz w:val="16"/>
              </w:rPr>
              <w:t>Përmirësimi i EE-së përmes zbatimit të masave të EE-së në sektorin rezidencial</w:t>
            </w:r>
          </w:p>
        </w:tc>
      </w:tr>
      <w:tr w:rsidR="000B66DF" w:rsidRPr="00976D33" w14:paraId="04FCB67A" w14:textId="77777777" w:rsidTr="00022160">
        <w:trPr>
          <w:trHeight w:hRule="exact" w:val="284"/>
        </w:trPr>
        <w:tc>
          <w:tcPr>
            <w:cnfStyle w:val="001000000000" w:firstRow="0" w:lastRow="0" w:firstColumn="1" w:lastColumn="0" w:oddVBand="0" w:evenVBand="0" w:oddHBand="0" w:evenHBand="0" w:firstRowFirstColumn="0" w:firstRowLastColumn="0" w:lastRowFirstColumn="0" w:lastRowLastColumn="0"/>
            <w:tcW w:w="8359" w:type="dxa"/>
            <w:vAlign w:val="center"/>
            <w:hideMark/>
          </w:tcPr>
          <w:p w14:paraId="34679645" w14:textId="77777777" w:rsidR="000B66DF" w:rsidRPr="008C14F9" w:rsidRDefault="000B66DF" w:rsidP="000B66DF">
            <w:pPr>
              <w:spacing w:before="0" w:after="0"/>
              <w:ind w:left="448" w:hanging="165"/>
              <w:jc w:val="left"/>
              <w:rPr>
                <w:rFonts w:eastAsia="Times New Roman" w:cstheme="minorHAnsi"/>
                <w:b w:val="0"/>
                <w:bCs w:val="0"/>
                <w:color w:val="000000"/>
                <w:sz w:val="16"/>
                <w:szCs w:val="16"/>
              </w:rPr>
            </w:pPr>
            <w:r>
              <w:rPr>
                <w:b w:val="0"/>
                <w:color w:val="000000"/>
                <w:sz w:val="16"/>
              </w:rPr>
              <w:t>Rinovimi i ndërtesave të qeverisë qendrore</w:t>
            </w:r>
          </w:p>
        </w:tc>
      </w:tr>
      <w:tr w:rsidR="000B66DF" w:rsidRPr="00976D33" w14:paraId="563AEFFC" w14:textId="77777777" w:rsidTr="0002216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8359" w:type="dxa"/>
            <w:vAlign w:val="center"/>
            <w:hideMark/>
          </w:tcPr>
          <w:p w14:paraId="6DF11EE4" w14:textId="77777777" w:rsidR="000B66DF" w:rsidRPr="008C14F9" w:rsidRDefault="000B66DF" w:rsidP="000B66DF">
            <w:pPr>
              <w:spacing w:before="0" w:after="0"/>
              <w:ind w:left="448" w:hanging="165"/>
              <w:jc w:val="left"/>
              <w:rPr>
                <w:rFonts w:eastAsia="Times New Roman" w:cstheme="minorHAnsi"/>
                <w:b w:val="0"/>
                <w:bCs w:val="0"/>
                <w:color w:val="000000"/>
                <w:sz w:val="16"/>
                <w:szCs w:val="16"/>
              </w:rPr>
            </w:pPr>
            <w:r>
              <w:rPr>
                <w:b w:val="0"/>
                <w:color w:val="000000"/>
                <w:sz w:val="16"/>
              </w:rPr>
              <w:t>Përmirësimi i EE-së në ndërtesat e institucioneve publike në nivel qendror (projekti KEEREP)</w:t>
            </w:r>
          </w:p>
        </w:tc>
      </w:tr>
      <w:tr w:rsidR="000B66DF" w:rsidRPr="00976D33" w14:paraId="0B792A1E" w14:textId="77777777" w:rsidTr="00B33AC0">
        <w:trPr>
          <w:trHeight w:hRule="exact" w:val="458"/>
        </w:trPr>
        <w:tc>
          <w:tcPr>
            <w:cnfStyle w:val="001000000000" w:firstRow="0" w:lastRow="0" w:firstColumn="1" w:lastColumn="0" w:oddVBand="0" w:evenVBand="0" w:oddHBand="0" w:evenHBand="0" w:firstRowFirstColumn="0" w:firstRowLastColumn="0" w:lastRowFirstColumn="0" w:lastRowLastColumn="0"/>
            <w:tcW w:w="8359" w:type="dxa"/>
            <w:vAlign w:val="center"/>
            <w:hideMark/>
          </w:tcPr>
          <w:p w14:paraId="2E158AC3" w14:textId="77777777" w:rsidR="000B66DF" w:rsidRPr="008C14F9" w:rsidRDefault="000B66DF" w:rsidP="000B66DF">
            <w:pPr>
              <w:spacing w:before="0" w:after="0"/>
              <w:ind w:left="448" w:hanging="165"/>
              <w:jc w:val="left"/>
              <w:rPr>
                <w:rFonts w:eastAsia="Times New Roman" w:cstheme="minorHAnsi"/>
                <w:b w:val="0"/>
                <w:bCs w:val="0"/>
                <w:color w:val="000000"/>
                <w:sz w:val="16"/>
                <w:szCs w:val="16"/>
              </w:rPr>
            </w:pPr>
            <w:r>
              <w:rPr>
                <w:b w:val="0"/>
                <w:color w:val="000000"/>
                <w:sz w:val="16"/>
              </w:rPr>
              <w:t>Përmirësimi i EE-së në ndërtesat e institucioneve publike dhe në ndriçimin publik në nivel qendror dhe (MD, OSSH, MAP)</w:t>
            </w:r>
          </w:p>
        </w:tc>
      </w:tr>
      <w:tr w:rsidR="000B66DF" w:rsidRPr="00976D33" w14:paraId="4AED0CE8" w14:textId="77777777" w:rsidTr="0002216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8359" w:type="dxa"/>
            <w:vAlign w:val="center"/>
            <w:hideMark/>
          </w:tcPr>
          <w:p w14:paraId="42517B1E" w14:textId="77777777" w:rsidR="000B66DF" w:rsidRPr="008C14F9" w:rsidRDefault="000B66DF" w:rsidP="000B66DF">
            <w:pPr>
              <w:spacing w:before="0" w:after="0"/>
              <w:ind w:left="448" w:hanging="165"/>
              <w:jc w:val="left"/>
              <w:rPr>
                <w:rFonts w:eastAsia="Times New Roman" w:cstheme="minorHAnsi"/>
                <w:b w:val="0"/>
                <w:bCs w:val="0"/>
                <w:color w:val="000000"/>
                <w:sz w:val="16"/>
                <w:szCs w:val="16"/>
              </w:rPr>
            </w:pPr>
            <w:r>
              <w:rPr>
                <w:b w:val="0"/>
                <w:color w:val="000000"/>
                <w:sz w:val="16"/>
              </w:rPr>
              <w:t>Përmirësimi i EE-së në ndërtesat e institucioneve publike në nivel lokal (katër komuna, projekti i KfW-së)</w:t>
            </w:r>
          </w:p>
        </w:tc>
      </w:tr>
      <w:tr w:rsidR="000B66DF" w:rsidRPr="00976D33" w14:paraId="58A3B3B9" w14:textId="77777777" w:rsidTr="00022160">
        <w:trPr>
          <w:trHeight w:hRule="exact" w:val="284"/>
        </w:trPr>
        <w:tc>
          <w:tcPr>
            <w:cnfStyle w:val="001000000000" w:firstRow="0" w:lastRow="0" w:firstColumn="1" w:lastColumn="0" w:oddVBand="0" w:evenVBand="0" w:oddHBand="0" w:evenHBand="0" w:firstRowFirstColumn="0" w:firstRowLastColumn="0" w:lastRowFirstColumn="0" w:lastRowLastColumn="0"/>
            <w:tcW w:w="8359" w:type="dxa"/>
            <w:vAlign w:val="center"/>
            <w:hideMark/>
          </w:tcPr>
          <w:p w14:paraId="0315066A" w14:textId="77777777" w:rsidR="000B66DF" w:rsidRPr="008C14F9" w:rsidRDefault="000B66DF" w:rsidP="000B66DF">
            <w:pPr>
              <w:spacing w:before="0" w:after="0"/>
              <w:ind w:left="448" w:hanging="165"/>
              <w:jc w:val="left"/>
              <w:rPr>
                <w:rFonts w:eastAsia="Times New Roman" w:cstheme="minorHAnsi"/>
                <w:b w:val="0"/>
                <w:bCs w:val="0"/>
                <w:color w:val="000000"/>
                <w:sz w:val="16"/>
                <w:szCs w:val="16"/>
              </w:rPr>
            </w:pPr>
            <w:r>
              <w:rPr>
                <w:b w:val="0"/>
                <w:color w:val="000000"/>
                <w:sz w:val="16"/>
              </w:rPr>
              <w:t>Përmirësimi i EE-së në ndërtesat e institucioneve publike në nivel lokal</w:t>
            </w:r>
          </w:p>
        </w:tc>
      </w:tr>
      <w:tr w:rsidR="000B66DF" w:rsidRPr="00976D33" w14:paraId="016ECE77" w14:textId="77777777" w:rsidTr="0002216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8359" w:type="dxa"/>
            <w:vAlign w:val="center"/>
            <w:hideMark/>
          </w:tcPr>
          <w:p w14:paraId="1B32A84A" w14:textId="77777777" w:rsidR="000B66DF" w:rsidRPr="008C14F9" w:rsidRDefault="000B66DF" w:rsidP="000B66DF">
            <w:pPr>
              <w:spacing w:before="0" w:after="0"/>
              <w:ind w:left="448" w:hanging="165"/>
              <w:jc w:val="left"/>
              <w:rPr>
                <w:rFonts w:eastAsia="Times New Roman" w:cstheme="minorHAnsi"/>
                <w:b w:val="0"/>
                <w:bCs w:val="0"/>
                <w:color w:val="000000"/>
                <w:sz w:val="16"/>
                <w:szCs w:val="16"/>
              </w:rPr>
            </w:pPr>
            <w:r>
              <w:rPr>
                <w:b w:val="0"/>
                <w:color w:val="000000"/>
                <w:sz w:val="16"/>
              </w:rPr>
              <w:t>Përmirësimi i EE-së përmes zbatimit të masave për efiçiencë të energjisë në NVM</w:t>
            </w:r>
          </w:p>
        </w:tc>
      </w:tr>
      <w:tr w:rsidR="000B66DF" w:rsidRPr="00976D33" w14:paraId="1F7C20CC" w14:textId="77777777" w:rsidTr="00022160">
        <w:trPr>
          <w:trHeight w:hRule="exact" w:val="284"/>
        </w:trPr>
        <w:tc>
          <w:tcPr>
            <w:cnfStyle w:val="001000000000" w:firstRow="0" w:lastRow="0" w:firstColumn="1" w:lastColumn="0" w:oddVBand="0" w:evenVBand="0" w:oddHBand="0" w:evenHBand="0" w:firstRowFirstColumn="0" w:firstRowLastColumn="0" w:lastRowFirstColumn="0" w:lastRowLastColumn="0"/>
            <w:tcW w:w="8359" w:type="dxa"/>
            <w:vAlign w:val="center"/>
            <w:hideMark/>
          </w:tcPr>
          <w:p w14:paraId="12F36BD2" w14:textId="002C81AD" w:rsidR="000B66DF" w:rsidRPr="00976D33" w:rsidRDefault="000B66DF" w:rsidP="000B66DF">
            <w:pPr>
              <w:spacing w:before="0" w:after="0"/>
              <w:ind w:left="448" w:hanging="165"/>
              <w:jc w:val="left"/>
              <w:rPr>
                <w:rFonts w:eastAsia="Times New Roman" w:cstheme="minorHAnsi"/>
                <w:b w:val="0"/>
                <w:bCs w:val="0"/>
                <w:color w:val="000000"/>
                <w:sz w:val="16"/>
                <w:szCs w:val="16"/>
              </w:rPr>
            </w:pPr>
            <w:r>
              <w:rPr>
                <w:b w:val="0"/>
                <w:color w:val="000000"/>
                <w:sz w:val="16"/>
              </w:rPr>
              <w:t>Renovimi i objekteve rezidenciale</w:t>
            </w:r>
          </w:p>
        </w:tc>
      </w:tr>
      <w:tr w:rsidR="000B66DF" w:rsidRPr="00976D33" w14:paraId="24FE8CC5" w14:textId="77777777" w:rsidTr="0002216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8359" w:type="dxa"/>
            <w:noWrap/>
            <w:vAlign w:val="center"/>
            <w:hideMark/>
          </w:tcPr>
          <w:p w14:paraId="7802F85A" w14:textId="77777777" w:rsidR="000B66DF" w:rsidRPr="00976D33" w:rsidRDefault="000B66DF" w:rsidP="000B66DF">
            <w:pPr>
              <w:spacing w:before="0" w:after="0"/>
              <w:ind w:left="448" w:hanging="165"/>
              <w:jc w:val="left"/>
              <w:rPr>
                <w:rFonts w:eastAsia="Times New Roman" w:cstheme="minorHAnsi"/>
                <w:b w:val="0"/>
                <w:bCs w:val="0"/>
                <w:color w:val="000000"/>
                <w:sz w:val="16"/>
                <w:szCs w:val="16"/>
              </w:rPr>
            </w:pPr>
            <w:r>
              <w:rPr>
                <w:b w:val="0"/>
                <w:color w:val="000000"/>
                <w:sz w:val="16"/>
              </w:rPr>
              <w:t>Elektrifikimi</w:t>
            </w:r>
          </w:p>
        </w:tc>
      </w:tr>
      <w:tr w:rsidR="000B66DF" w:rsidRPr="00976D33" w14:paraId="2E6BB221" w14:textId="77777777" w:rsidTr="00022160">
        <w:trPr>
          <w:trHeight w:hRule="exact" w:val="284"/>
        </w:trPr>
        <w:tc>
          <w:tcPr>
            <w:cnfStyle w:val="001000000000" w:firstRow="0" w:lastRow="0" w:firstColumn="1" w:lastColumn="0" w:oddVBand="0" w:evenVBand="0" w:oddHBand="0" w:evenHBand="0" w:firstRowFirstColumn="0" w:firstRowLastColumn="0" w:lastRowFirstColumn="0" w:lastRowLastColumn="0"/>
            <w:tcW w:w="8359" w:type="dxa"/>
            <w:noWrap/>
            <w:vAlign w:val="center"/>
            <w:hideMark/>
          </w:tcPr>
          <w:p w14:paraId="546B2B5F" w14:textId="732932A4" w:rsidR="000B66DF" w:rsidRPr="00976D33" w:rsidRDefault="000B66DF" w:rsidP="000B66DF">
            <w:pPr>
              <w:spacing w:before="0" w:after="0"/>
              <w:ind w:left="448" w:hanging="165"/>
              <w:jc w:val="left"/>
              <w:rPr>
                <w:rFonts w:eastAsia="Times New Roman" w:cstheme="minorHAnsi"/>
                <w:b w:val="0"/>
                <w:bCs w:val="0"/>
                <w:color w:val="000000"/>
                <w:sz w:val="16"/>
                <w:szCs w:val="16"/>
              </w:rPr>
            </w:pPr>
            <w:r>
              <w:rPr>
                <w:b w:val="0"/>
                <w:color w:val="000000"/>
                <w:sz w:val="16"/>
              </w:rPr>
              <w:t>Veturat e reja</w:t>
            </w:r>
          </w:p>
        </w:tc>
      </w:tr>
      <w:tr w:rsidR="000B66DF" w:rsidRPr="00976D33" w14:paraId="579B993D" w14:textId="77777777" w:rsidTr="0002216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8359" w:type="dxa"/>
            <w:noWrap/>
            <w:vAlign w:val="center"/>
            <w:hideMark/>
          </w:tcPr>
          <w:p w14:paraId="749D74ED" w14:textId="77777777" w:rsidR="000B66DF" w:rsidRPr="00976D33" w:rsidRDefault="000B66DF" w:rsidP="000B66DF">
            <w:pPr>
              <w:spacing w:before="0" w:after="0"/>
              <w:ind w:left="448" w:hanging="165"/>
              <w:jc w:val="left"/>
              <w:rPr>
                <w:rFonts w:eastAsia="Times New Roman" w:cstheme="minorHAnsi"/>
                <w:b w:val="0"/>
                <w:bCs w:val="0"/>
                <w:color w:val="000000"/>
                <w:sz w:val="16"/>
                <w:szCs w:val="16"/>
              </w:rPr>
            </w:pPr>
            <w:r>
              <w:rPr>
                <w:b w:val="0"/>
                <w:color w:val="000000"/>
                <w:sz w:val="16"/>
              </w:rPr>
              <w:t>LCV dhe HGV të reja</w:t>
            </w:r>
          </w:p>
        </w:tc>
      </w:tr>
      <w:tr w:rsidR="000B66DF" w:rsidRPr="00976D33" w14:paraId="077C260D" w14:textId="77777777" w:rsidTr="00022160">
        <w:trPr>
          <w:trHeight w:hRule="exact" w:val="284"/>
        </w:trPr>
        <w:tc>
          <w:tcPr>
            <w:cnfStyle w:val="001000000000" w:firstRow="0" w:lastRow="0" w:firstColumn="1" w:lastColumn="0" w:oddVBand="0" w:evenVBand="0" w:oddHBand="0" w:evenHBand="0" w:firstRowFirstColumn="0" w:firstRowLastColumn="0" w:lastRowFirstColumn="0" w:lastRowLastColumn="0"/>
            <w:tcW w:w="8359" w:type="dxa"/>
            <w:noWrap/>
            <w:vAlign w:val="center"/>
            <w:hideMark/>
          </w:tcPr>
          <w:p w14:paraId="07529DCB" w14:textId="77777777" w:rsidR="000B66DF" w:rsidRPr="00976D33" w:rsidRDefault="000B66DF" w:rsidP="000B66DF">
            <w:pPr>
              <w:spacing w:before="0" w:after="0"/>
              <w:ind w:left="448" w:hanging="165"/>
              <w:jc w:val="left"/>
              <w:rPr>
                <w:rFonts w:eastAsia="Times New Roman" w:cstheme="minorHAnsi"/>
                <w:b w:val="0"/>
                <w:bCs w:val="0"/>
                <w:color w:val="000000"/>
                <w:sz w:val="16"/>
                <w:szCs w:val="16"/>
              </w:rPr>
            </w:pPr>
            <w:r>
              <w:rPr>
                <w:b w:val="0"/>
                <w:color w:val="000000"/>
                <w:sz w:val="16"/>
              </w:rPr>
              <w:t>Ndriçimi</w:t>
            </w:r>
          </w:p>
        </w:tc>
      </w:tr>
      <w:tr w:rsidR="000B66DF" w:rsidRPr="00976D33" w14:paraId="018F37CD" w14:textId="77777777" w:rsidTr="0002216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8359" w:type="dxa"/>
            <w:noWrap/>
            <w:vAlign w:val="center"/>
            <w:hideMark/>
          </w:tcPr>
          <w:p w14:paraId="40CC8821" w14:textId="77777777" w:rsidR="000B66DF" w:rsidRPr="00976D33" w:rsidRDefault="000B66DF" w:rsidP="000B66DF">
            <w:pPr>
              <w:spacing w:before="0" w:after="0"/>
              <w:ind w:left="448" w:hanging="165"/>
              <w:jc w:val="left"/>
              <w:rPr>
                <w:rFonts w:eastAsia="Times New Roman" w:cstheme="minorHAnsi"/>
                <w:b w:val="0"/>
                <w:bCs w:val="0"/>
                <w:color w:val="000000"/>
                <w:sz w:val="16"/>
                <w:szCs w:val="16"/>
              </w:rPr>
            </w:pPr>
            <w:r>
              <w:rPr>
                <w:b w:val="0"/>
                <w:color w:val="000000"/>
                <w:sz w:val="16"/>
              </w:rPr>
              <w:t>Kolektorët termikë solarë</w:t>
            </w:r>
          </w:p>
        </w:tc>
      </w:tr>
      <w:tr w:rsidR="000B66DF" w:rsidRPr="00976D33" w14:paraId="6C47AE88" w14:textId="77777777" w:rsidTr="00022160">
        <w:trPr>
          <w:trHeight w:val="290"/>
        </w:trPr>
        <w:tc>
          <w:tcPr>
            <w:cnfStyle w:val="001000000000" w:firstRow="0" w:lastRow="0" w:firstColumn="1" w:lastColumn="0" w:oddVBand="0" w:evenVBand="0" w:oddHBand="0" w:evenHBand="0" w:firstRowFirstColumn="0" w:firstRowLastColumn="0" w:lastRowFirstColumn="0" w:lastRowLastColumn="0"/>
            <w:tcW w:w="8359" w:type="dxa"/>
            <w:noWrap/>
          </w:tcPr>
          <w:p w14:paraId="6E5C76D5" w14:textId="77777777" w:rsidR="000B66DF" w:rsidRPr="00976D33" w:rsidRDefault="000B66DF">
            <w:pPr>
              <w:spacing w:after="0"/>
              <w:jc w:val="left"/>
              <w:rPr>
                <w:rFonts w:eastAsia="Times New Roman" w:cstheme="minorHAnsi"/>
                <w:color w:val="000000"/>
                <w:sz w:val="16"/>
                <w:szCs w:val="16"/>
              </w:rPr>
            </w:pPr>
            <w:r>
              <w:rPr>
                <w:color w:val="000000"/>
                <w:sz w:val="16"/>
              </w:rPr>
              <w:t>Masat në anën e ofertës</w:t>
            </w:r>
          </w:p>
        </w:tc>
      </w:tr>
      <w:tr w:rsidR="000B66DF" w:rsidRPr="00976D33" w14:paraId="299F2D7E" w14:textId="77777777" w:rsidTr="0002216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359" w:type="dxa"/>
            <w:noWrap/>
            <w:hideMark/>
          </w:tcPr>
          <w:p w14:paraId="14FF8508" w14:textId="77777777" w:rsidR="000B66DF" w:rsidRPr="00976D33" w:rsidRDefault="000B66DF" w:rsidP="000B66DF">
            <w:pPr>
              <w:spacing w:after="0"/>
              <w:ind w:left="448" w:hanging="165"/>
              <w:jc w:val="left"/>
              <w:rPr>
                <w:rFonts w:eastAsia="Times New Roman" w:cstheme="minorHAnsi"/>
                <w:b w:val="0"/>
                <w:bCs w:val="0"/>
                <w:color w:val="000000"/>
                <w:sz w:val="16"/>
                <w:szCs w:val="16"/>
              </w:rPr>
            </w:pPr>
            <w:r>
              <w:rPr>
                <w:b w:val="0"/>
                <w:color w:val="000000"/>
                <w:sz w:val="16"/>
              </w:rPr>
              <w:t>Reduktimi i humbjeve (energjia elektrike)</w:t>
            </w:r>
          </w:p>
        </w:tc>
      </w:tr>
      <w:tr w:rsidR="000B66DF" w:rsidRPr="00976D33" w14:paraId="6F89C940" w14:textId="77777777" w:rsidTr="00022160">
        <w:trPr>
          <w:trHeight w:val="290"/>
        </w:trPr>
        <w:tc>
          <w:tcPr>
            <w:cnfStyle w:val="001000000000" w:firstRow="0" w:lastRow="0" w:firstColumn="1" w:lastColumn="0" w:oddVBand="0" w:evenVBand="0" w:oddHBand="0" w:evenHBand="0" w:firstRowFirstColumn="0" w:firstRowLastColumn="0" w:lastRowFirstColumn="0" w:lastRowLastColumn="0"/>
            <w:tcW w:w="8359" w:type="dxa"/>
            <w:noWrap/>
            <w:hideMark/>
          </w:tcPr>
          <w:p w14:paraId="5AA10D58" w14:textId="77777777" w:rsidR="000B66DF" w:rsidRPr="00976D33" w:rsidRDefault="000B66DF" w:rsidP="000B66DF">
            <w:pPr>
              <w:spacing w:after="0"/>
              <w:ind w:left="448" w:hanging="165"/>
              <w:jc w:val="left"/>
              <w:rPr>
                <w:rFonts w:eastAsia="Times New Roman" w:cstheme="minorBidi"/>
                <w:b w:val="0"/>
                <w:color w:val="000000"/>
                <w:sz w:val="16"/>
                <w:szCs w:val="16"/>
              </w:rPr>
            </w:pPr>
            <w:r>
              <w:rPr>
                <w:b w:val="0"/>
                <w:color w:val="000000"/>
                <w:sz w:val="16"/>
              </w:rPr>
              <w:t>Tarifat nxitëse</w:t>
            </w:r>
          </w:p>
        </w:tc>
      </w:tr>
      <w:tr w:rsidR="000B66DF" w:rsidRPr="00976D33" w14:paraId="0CE9E700" w14:textId="77777777" w:rsidTr="0002216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359" w:type="dxa"/>
            <w:noWrap/>
            <w:hideMark/>
          </w:tcPr>
          <w:p w14:paraId="13FA85C1" w14:textId="77777777" w:rsidR="000B66DF" w:rsidRPr="00976D33" w:rsidRDefault="000B66DF" w:rsidP="000B66DF">
            <w:pPr>
              <w:spacing w:after="0"/>
              <w:ind w:left="448" w:hanging="165"/>
              <w:jc w:val="left"/>
              <w:rPr>
                <w:rFonts w:eastAsia="Times New Roman" w:cstheme="minorHAnsi"/>
                <w:b w:val="0"/>
                <w:bCs w:val="0"/>
                <w:color w:val="000000"/>
                <w:sz w:val="16"/>
                <w:szCs w:val="16"/>
              </w:rPr>
            </w:pPr>
            <w:r>
              <w:rPr>
                <w:b w:val="0"/>
                <w:color w:val="000000"/>
                <w:sz w:val="16"/>
              </w:rPr>
              <w:t>Mungesa e tarifës nxitëse</w:t>
            </w:r>
          </w:p>
        </w:tc>
      </w:tr>
      <w:tr w:rsidR="000B66DF" w:rsidRPr="00976D33" w14:paraId="0095FC6F" w14:textId="77777777" w:rsidTr="00022160">
        <w:trPr>
          <w:trHeight w:val="290"/>
        </w:trPr>
        <w:tc>
          <w:tcPr>
            <w:cnfStyle w:val="001000000000" w:firstRow="0" w:lastRow="0" w:firstColumn="1" w:lastColumn="0" w:oddVBand="0" w:evenVBand="0" w:oddHBand="0" w:evenHBand="0" w:firstRowFirstColumn="0" w:firstRowLastColumn="0" w:lastRowFirstColumn="0" w:lastRowLastColumn="0"/>
            <w:tcW w:w="8359" w:type="dxa"/>
            <w:noWrap/>
            <w:hideMark/>
          </w:tcPr>
          <w:p w14:paraId="044FB316" w14:textId="77777777" w:rsidR="000B66DF" w:rsidRPr="00976D33" w:rsidRDefault="000B66DF" w:rsidP="000B66DF">
            <w:pPr>
              <w:spacing w:after="0"/>
              <w:ind w:left="448" w:hanging="165"/>
              <w:jc w:val="left"/>
              <w:rPr>
                <w:rFonts w:eastAsia="Times New Roman" w:cstheme="minorHAnsi"/>
                <w:b w:val="0"/>
                <w:bCs w:val="0"/>
                <w:color w:val="000000"/>
                <w:sz w:val="16"/>
                <w:szCs w:val="16"/>
              </w:rPr>
            </w:pPr>
            <w:r>
              <w:rPr>
                <w:b w:val="0"/>
                <w:color w:val="000000"/>
                <w:sz w:val="16"/>
              </w:rPr>
              <w:t>Tavani në çatinë e ndërtesës (vetë-konsumimi)</w:t>
            </w:r>
          </w:p>
        </w:tc>
      </w:tr>
    </w:tbl>
    <w:p w14:paraId="3E4F2FEB" w14:textId="77777777" w:rsidR="00FE486A" w:rsidRDefault="00FE486A" w:rsidP="000B66DF"/>
    <w:p w14:paraId="1501CC99" w14:textId="305169A8" w:rsidR="000B66DF" w:rsidRPr="00976D33" w:rsidRDefault="000B66DF" w:rsidP="000B66DF">
      <w:r>
        <w:t xml:space="preserve">Efiçienca e energjisë është gjithashtu pjesë e Strategjisë Kombëtare të Energjisë së Kosovës të adresuar me 2 objektiva specifike: </w:t>
      </w:r>
    </w:p>
    <w:p w14:paraId="0112CBC0" w14:textId="77777777" w:rsidR="000B66DF" w:rsidRPr="00976D33" w:rsidRDefault="000B66DF" w:rsidP="00AF7BBF">
      <w:pPr>
        <w:pStyle w:val="ListParagraph"/>
        <w:numPr>
          <w:ilvl w:val="0"/>
          <w:numId w:val="71"/>
        </w:numPr>
      </w:pPr>
      <w:r>
        <w:t xml:space="preserve">Përmirësimi i efiçiencës së energjisë </w:t>
      </w:r>
    </w:p>
    <w:p w14:paraId="491F2C46" w14:textId="77777777" w:rsidR="000B66DF" w:rsidRPr="00976D33" w:rsidRDefault="000B66DF" w:rsidP="00AF7BBF">
      <w:pPr>
        <w:pStyle w:val="ListParagraph"/>
        <w:numPr>
          <w:ilvl w:val="0"/>
          <w:numId w:val="71"/>
        </w:numPr>
      </w:pPr>
      <w:r>
        <w:t xml:space="preserve">Promovimi i kogjenerimit efiçient dhe sistemeve efiçiente të ngrohjes qendrore </w:t>
      </w:r>
    </w:p>
    <w:p w14:paraId="0E9CF810" w14:textId="77777777" w:rsidR="00FE486A" w:rsidRDefault="00FE486A" w:rsidP="001A5B26">
      <w:pPr>
        <w:rPr>
          <w:b/>
          <w:sz w:val="23"/>
        </w:rPr>
      </w:pPr>
    </w:p>
    <w:p w14:paraId="12EE268E" w14:textId="77777777" w:rsidR="00FE486A" w:rsidRDefault="00FE486A" w:rsidP="001A5B26">
      <w:pPr>
        <w:rPr>
          <w:b/>
          <w:sz w:val="23"/>
        </w:rPr>
      </w:pPr>
    </w:p>
    <w:p w14:paraId="4BF25F5F" w14:textId="36E539FB" w:rsidR="001A5B26" w:rsidRPr="00976D33" w:rsidRDefault="001A5B26" w:rsidP="001A5B26">
      <w:pPr>
        <w:rPr>
          <w:rFonts w:cstheme="minorHAnsi"/>
          <w:b/>
          <w:bCs/>
          <w:sz w:val="23"/>
          <w:szCs w:val="23"/>
        </w:rPr>
      </w:pPr>
      <w:r>
        <w:rPr>
          <w:b/>
          <w:sz w:val="23"/>
        </w:rPr>
        <w:lastRenderedPageBreak/>
        <w:t>Dimensioni 3: Siguria e furnizimit me energji</w:t>
      </w:r>
    </w:p>
    <w:p w14:paraId="2C41965B" w14:textId="00048F9F" w:rsidR="000B66DF" w:rsidRPr="008C14F9" w:rsidRDefault="00160D4B" w:rsidP="00497F60">
      <w:r>
        <w:t xml:space="preserve">Garantimi i sigurisë së furnizimit është një nga objektivat kyçe të përfshira në Strategjinë Kombëtare të Energjisë, në përputhje me objektivat e BE-së. Objektivi strategjik përkatës “përmirësimi i qëndrueshmërisë së sistemit” adreson katër objektiva të veçantë, duke ditur se garantimi i sigurisë së furnizimit kërkon kapacitete të përshtatshme për furnizim dhe rezerva, besueshmëri, fleksibilitet dhe efikasitet të njësive të gjenerimit, elementeve të rrjetit dhe tregjeve të integruara:  </w:t>
      </w:r>
    </w:p>
    <w:p w14:paraId="6B31E88A" w14:textId="77777777" w:rsidR="000B66DF" w:rsidRPr="008C14F9" w:rsidRDefault="000B66DF" w:rsidP="00AF7BBF">
      <w:pPr>
        <w:pStyle w:val="ListParagraph"/>
        <w:numPr>
          <w:ilvl w:val="0"/>
          <w:numId w:val="72"/>
        </w:numPr>
      </w:pPr>
      <w:r>
        <w:t>Përmirësimi i fleksibilitetit të sistemit</w:t>
      </w:r>
    </w:p>
    <w:p w14:paraId="74B2DAE9" w14:textId="77777777" w:rsidR="000B66DF" w:rsidRPr="008C14F9" w:rsidRDefault="000B66DF" w:rsidP="00AF7BBF">
      <w:pPr>
        <w:pStyle w:val="ListParagraph"/>
        <w:numPr>
          <w:ilvl w:val="0"/>
          <w:numId w:val="72"/>
        </w:numPr>
      </w:pPr>
      <w:r>
        <w:t>Modernizimi i rrjeteve dhe reduktimi i humbjeve në rrjet</w:t>
      </w:r>
    </w:p>
    <w:p w14:paraId="0C850253" w14:textId="77777777" w:rsidR="000B66DF" w:rsidRPr="008C14F9" w:rsidRDefault="000B66DF" w:rsidP="00AF7BBF">
      <w:pPr>
        <w:pStyle w:val="ListParagraph"/>
        <w:numPr>
          <w:ilvl w:val="0"/>
          <w:numId w:val="72"/>
        </w:numPr>
      </w:pPr>
      <w:r>
        <w:t>Rehabilitimi i kapaciteteve ekzistuese të prodhimit të energjisë elektrike dhe investimet në kapacitete të reja, dhe</w:t>
      </w:r>
    </w:p>
    <w:p w14:paraId="65B6F05C" w14:textId="77777777" w:rsidR="000B66DF" w:rsidRPr="008C14F9" w:rsidRDefault="000B66DF" w:rsidP="00AF7BBF">
      <w:pPr>
        <w:pStyle w:val="ListParagraph"/>
        <w:numPr>
          <w:ilvl w:val="0"/>
          <w:numId w:val="72"/>
        </w:numPr>
      </w:pPr>
      <w:r>
        <w:t>Garantimi i sigurisë kibernetike të sektorit energjetik</w:t>
      </w:r>
    </w:p>
    <w:p w14:paraId="3B90AB17" w14:textId="77777777" w:rsidR="00483CBD" w:rsidRPr="008C14F9" w:rsidRDefault="00C00890" w:rsidP="00483CBD">
      <w:r>
        <w:t xml:space="preserve">Përveç përmirësimit të qëndrueshmërisë së sistemit, strategjia e lidh në mënyrë të qartë qëllimin e sigurimit të furnizimit me objektivat e ndërlidhura me dekarbonizimin dhe promovimin e energjisë së ripërtërishme si një mënyrë për të zvogëluar varësinë nga importet, efiçiencën e energjisë si mjet për të reduktuar kërkesën dhe forcimin e bashkëpunimit rajonal dhe funksionimit të tregut për të lejuar qasje në burime energjetike të diversifikuara dhe shërbime të rrjetit me kosto efektive. Një objektiv tjetër kyç në lidhje me sigurinë energjetike ndërlidhet me reduktimin e humbjeve teknike dhe komerciale në rrjetin e distribuimit si elemente kyçe për të siguruar si qëndrueshmërinë ashtu edhe cilësinë e furnizimit me energji elektrike.  </w:t>
      </w:r>
    </w:p>
    <w:p w14:paraId="1E29D2C9" w14:textId="25C44A4D" w:rsidR="00DE114C" w:rsidRPr="008C14F9" w:rsidRDefault="008A0B67" w:rsidP="00A94A61">
      <w:r>
        <w:t xml:space="preserve">Masat kyçe në këtë drejtim lidhen, ndër të tjera, me instalimin e ruajtjes përmes baterive, modernizimin e rrjetit elektrik për të reduktuar humbjet në rrjet, rinovimin e njësive të linjitit të Kosovës B1 dhe B2, si dhe krijimin e Ekipeve të Reagimit ndaj Incidenteve të Sigurisë Kompjuterike. </w:t>
      </w:r>
    </w:p>
    <w:p w14:paraId="362FDAD4" w14:textId="60E2ECA7" w:rsidR="001A5B26" w:rsidRPr="00976D33" w:rsidRDefault="001A5B26" w:rsidP="007B31FC">
      <w:r>
        <w:t>Si palë kontraktuese e Traktatit të Komunitetit të Energjisë, Kosova është e detyruar të miratojë rregullisht Deklaratat e Sigurisë së Furnizimit dhe ta njoftojë Sekretariatin. Deklaratat përshkruajnë në veçanti diversitetin e furnizimit, sigurinë teknologjike dhe origjinën gjeografike të lëndës djegëse të importuar. Deklaratat duhet të përditësohen çdo dy vjet. Organi përgjegjës për monitorimin e sigurisë së furnizimit në Kosovë është Zyra e Rregullatorit për Energji.</w:t>
      </w:r>
    </w:p>
    <w:p w14:paraId="64EAD5F3" w14:textId="77777777" w:rsidR="007A4BDF" w:rsidRDefault="001A5B26" w:rsidP="001A5B26">
      <w:r>
        <w:t>Referojuni dimensionit të tregut të energjisë për informacion të mëtejshëm lidhur me kornizën legjislative.</w:t>
      </w:r>
    </w:p>
    <w:p w14:paraId="5ED22FB6" w14:textId="77777777" w:rsidR="00E466B9" w:rsidRPr="00976D33" w:rsidRDefault="00E466B9" w:rsidP="001A5B26"/>
    <w:p w14:paraId="201EAA70" w14:textId="50DC94AF" w:rsidR="00357F35" w:rsidRPr="00976D33" w:rsidRDefault="00357F35" w:rsidP="00357F35">
      <w:pPr>
        <w:rPr>
          <w:b/>
          <w:bCs/>
          <w:sz w:val="23"/>
          <w:szCs w:val="23"/>
        </w:rPr>
      </w:pPr>
      <w:r>
        <w:rPr>
          <w:b/>
          <w:sz w:val="23"/>
        </w:rPr>
        <w:t xml:space="preserve">Dimensioni 4: Tregu i brendshëm energjetik </w:t>
      </w:r>
    </w:p>
    <w:p w14:paraId="537D5863" w14:textId="4A6608D6" w:rsidR="000B66DF" w:rsidRPr="00976D33" w:rsidRDefault="0080397B" w:rsidP="001A5B26">
      <w:r>
        <w:t>Legjislacioni primar aktuale dhe korniza rregullative janë në përputhje me paketën e tretë të KE-së. Deri në fund të vitit 2024, tri ligjet ekzistuese (Ligji për Energjinë, Ligji për Energjinë Elektrike dhe Ligji për Rregullatorin e Energjisë) do të zëvendësohen me ligje të reja për t’u përafruar me Pakon për Energji të Pastër, ndërsa Ligji për Promovimin e Përdorimit e Burimeve të Ripërtëritshme të Energjisë u miratuan në prill të vitit 2024.</w:t>
      </w:r>
    </w:p>
    <w:p w14:paraId="0AB4B5AB" w14:textId="17081105" w:rsidR="000B66DF" w:rsidRPr="00976D33" w:rsidRDefault="000B66DF" w:rsidP="000B66DF">
      <w:r>
        <w:t>Një nga masat më të rëndësishme të zbatuara në dimensionin e tregut të brendshëm energjetik është krijimi i një tregu të organizuar të ditës në avancë të energjisë elektrike dhe në të njëjtën kohë bashkimi me tregun shqiptar të ditës në avancë. Në vitin 2020, KOSTT-i dhe Operatori Shqiptar i Sistemit të Transmisionit (OST) themeluan Bursën Shqiptare të Energjisë (ALPEX). Zyra e Rregullatorit për Energji dhe Enti Rregullator i Energjisë, së bashku me operatorët e sistemit të transmisionit të të dy vendeve, KOSTT-in dhe OST-in, nënshkruan marrëveshjen për bashkimin e tregjeve të energjisë elektrike më 21 tetor 2021 në Tiranë.</w:t>
      </w:r>
    </w:p>
    <w:p w14:paraId="51AA2395" w14:textId="77777777" w:rsidR="000B66DF" w:rsidRPr="00976D33" w:rsidRDefault="000B66DF" w:rsidP="000B66DF">
      <w:r>
        <w:t>Nëpërmjet marrëveshjes, palët nënshkruese njohin Bursën Shqiptare të Energjisë Elektrike ALPEX si të vetmen bursë të energjisë elektrike për tregtimin e ditës në avancë dhe brenda të njëjtës ditë për zonat tregtare të të dy vendeve. Kjo marrëveshje është edhe parakusht për marrëveshjet e mëpasshme që mundësojnë funksionimin e shkëmbimit të përbashkët të energjisë elektrike përmes ALPEX-it.</w:t>
      </w:r>
    </w:p>
    <w:p w14:paraId="7960F624" w14:textId="2B81A803" w:rsidR="00E5692E" w:rsidRDefault="000B66DF" w:rsidP="000B66DF">
      <w:r>
        <w:t>Nënshkrimi i marrëveshjes u realizua në kuadër të takimit të grupit ligjor punues për përcaktimin e aktiviteteve dhe marrëveshjeve që duhet të zbatohen për funksionalizimin e bursës së përbashkët të energjisë ALPEX. Më 31 janar 2024, ALPEX mbajti ankandin e parë të ditës në avancë për furnizimin e energjisë elektrike në Kosovë. Operacioni në Shqipëri kishte filluar qysh në prill të vitit 2023. Kjo shënon inaugurimin e tregut të ditës në avancë në Kosovë dhe në këtë mënyrë inicimin e bashkimit të tregut të ditës në avancë mes dy vendeve.</w:t>
      </w:r>
    </w:p>
    <w:p w14:paraId="07BD6824" w14:textId="77777777" w:rsidR="005F0A6C" w:rsidRPr="00976D33" w:rsidRDefault="005F0A6C" w:rsidP="00CF4E52">
      <w:pPr>
        <w:rPr>
          <w:b/>
        </w:rPr>
      </w:pPr>
      <w:r>
        <w:rPr>
          <w:b/>
        </w:rPr>
        <w:lastRenderedPageBreak/>
        <w:t>Gaz natyror</w:t>
      </w:r>
    </w:p>
    <w:p w14:paraId="0850D325" w14:textId="77777777" w:rsidR="00CF4E52" w:rsidRPr="00976D33" w:rsidRDefault="00CF4E52" w:rsidP="00CF4E52">
      <w:r>
        <w:t>Aktualisht, Kosova nuk ka rrjet të transmisionit të gazit dhe një lidhje të vetme operative me sistemet e transmisionit të gazit natyror, qoftë Gazsjellësi Trans-Adriatik (TAP) ose terminalet e gazit natyror të lëngshëm (LNG) në detin Egje ose Jon, d.m.th. përmes Maqedonisë së Veriut ose Shqipërisë, do të kërkonte minimalisht 7-9 vite planifikim dhe ndërtim. Nëse ndërtohet një interkoneksion, do të mundësonte funksionimin e prodhimit të energjisë të bazuar në gaz dhe potencialisht shfrytëzimin e gazit natyror në industri.</w:t>
      </w:r>
    </w:p>
    <w:p w14:paraId="1FC0F069" w14:textId="071B1275" w:rsidR="00CF4E52" w:rsidRPr="00976D33" w:rsidRDefault="00F07AF1" w:rsidP="00CF4E52">
      <w:r>
        <w:t>Sipas Strategjisë Kombëtare të Energjisë, Kosova ka edhe opsionin e shfrytëzimit të infrastrukturës së gazit të planifikuar në Shqipëri (lidhja me TAP ose qasja në terminalin LNG në Vlorë). Infrastruktura e gazit në këto vende dhe në Greqi ofron mundësi për (bashkë)investime në kapacitetet prodhuese të energjisë elektrike.</w:t>
      </w:r>
    </w:p>
    <w:p w14:paraId="1DDE7A15" w14:textId="27AB7390" w:rsidR="006E1636" w:rsidRPr="00976D33" w:rsidRDefault="005F0A6C" w:rsidP="006E1636">
      <w:pPr>
        <w:spacing w:before="120" w:after="0" w:line="240" w:lineRule="auto"/>
      </w:pPr>
      <w:r>
        <w:t>Edhe pse nuk ka infrastrukturë të gazit natyror në Kosovë, korniza ligjore për adresimin e gazit është e rregulluar me Ligjin për Gazin Natyror Nr. 05/L-082 i cili përcakton strukturën dhe funksionimin e sektorit të gazit natyror në Kosovë. Ai mbulon aspekte të ndryshme si qasjes në treg, kushtet dhe kriteret për t’u angazhuar në aktivitete që lidhen me transmisionin, ruajtjen, shpërndarjen dhe furnizimin e gazit natyror. Për më tepër, ky ligj përputhet me Direktivën Nr. 2009/73/EC, e cila përcakton rregulloret e përbashkëta për tregun e brendshëm të gazit natyror në Evropë, dhe Rregulloren Nr. 715/2009/EC, e cila përshkruan kushtet për qasje në rrjetet e transmetimit të gazit natyror.</w:t>
      </w:r>
    </w:p>
    <w:p w14:paraId="7AFE2D93" w14:textId="77777777" w:rsidR="00196DC9" w:rsidRPr="00976D33" w:rsidRDefault="005F0A6C" w:rsidP="0027589E">
      <w:r>
        <w:rPr>
          <w:b/>
          <w:sz w:val="23"/>
        </w:rPr>
        <w:t>Dimensioni 5: Hulumtimi, inovacioni dhe konkurrueshmëria</w:t>
      </w:r>
    </w:p>
    <w:p w14:paraId="04275837" w14:textId="375F5735" w:rsidR="0CBB749B" w:rsidRPr="00976D33" w:rsidRDefault="0CBB749B">
      <w:pPr>
        <w:rPr>
          <w:rFonts w:eastAsia="Arial" w:cs="Arial"/>
          <w:szCs w:val="20"/>
        </w:rPr>
      </w:pPr>
      <w:r>
        <w:t xml:space="preserve">Hulumtimi dhe inovacioni mbulohen nga Programi Kombëtar i Shkencës 2023-2028 (nga dhjetori 2022, në proces të konsultimit publik) ndërsa konkurrueshmëria trajtohet nga shtylla e Strategjisë Kombëtare për Zhvillim 2030 që lidhet me zhvillimin e qëndrueshëm ekonomik, veçanërisht nga objektivin i saj të parë zhvillimor (Ndërtimi i ekonomisë inovative, qarkore dhe konkurruese). Deri më tani, ndarja buxhetore për hulumtim shkencor nga të gjitha qeveritë e Kosovës nuk ka kaluar 0.1% të buxhetit vjetor, edhe pse Ligji për Veprimtari Hulumtuese-Shkencore (nr. 04/l-135) parasheh ndarjen prej 0.7%. Në Kornizën Afatmesme të Shpenzimeve për periudhën 2021-2025 të Ministrisë së Arsimit, Shkencës, Teknologjisë dhe Inovacionit, ekziston një skemë për “Përmirësimin e Mjedisit të </w:t>
      </w:r>
      <w:r w:rsidR="009D45CD">
        <w:t>Hulumt</w:t>
      </w:r>
      <w:r>
        <w:t xml:space="preserve">imit dhe Inovacionit”, d.m.th., aktivitetet që adresojnë në mënyrë specifike sfidat e shkencës dhe </w:t>
      </w:r>
      <w:r w:rsidR="009D45CD">
        <w:t>hulumt</w:t>
      </w:r>
      <w:r>
        <w:t>imit shkencor, me ndarjet buxhetore për themelimin e Fondit të Shkencës, financimin e statusit të asociuar të Kosovës në Horizon Europe, dhe themelimin e një fondi të veçantë për bashkëfinancimin e projekteve</w:t>
      </w:r>
      <w:r w:rsidR="00283B66">
        <w:t xml:space="preserve"> hulumtuese</w:t>
      </w:r>
      <w:r>
        <w:t xml:space="preserve"> që janë rezultat i bashkëpunimit ndërkombëtar , dhe për përgatitjen e projekteve të bashkëpunimit shkencor ndërkombëtar.</w:t>
      </w:r>
    </w:p>
    <w:p w14:paraId="746FFA89" w14:textId="77777777" w:rsidR="00B26FAA" w:rsidRPr="00976D33" w:rsidRDefault="0088143A" w:rsidP="00BD4E9E">
      <w:pPr>
        <w:pStyle w:val="Heading3"/>
      </w:pPr>
      <w:bookmarkStart w:id="45" w:name="_Toc182302251"/>
      <w:r>
        <w:t>Çështjet kryesore me rëndësi ndërkufitare</w:t>
      </w:r>
      <w:bookmarkEnd w:id="45"/>
      <w:r>
        <w:t xml:space="preserve"> </w:t>
      </w:r>
    </w:p>
    <w:p w14:paraId="06EB61B1" w14:textId="4D933CA1" w:rsidR="00B26FAA" w:rsidRPr="00976D33" w:rsidRDefault="00B26FAA" w:rsidP="00B26FAA">
      <w:r>
        <w:t xml:space="preserve">Tregu energjetik është i lidhur ngushtë me bashkëpunimin ndërkufitar. Sistemi i transmisionit të energjisë elektrike në Kosovë mundëson shkëmbimin e energjisë elektrike me vendet fqinje si dhe mbështet transitin e energjisë në të gjitha drejtimet. Në përgatitjen e PKEK-së, Kosova konfirmon zotimin e saj për të bashkëpunuar me vendet fqinje dhe për të planifikuar zhvillimin e duhur të infrastrukturës së transmisionit që do të mundësojë transmisionin e energjisë elektrike dhe do të sigurojë kushte për funksionimin e tregut të energjisë me të gjitha vendet fqinje dhe rajonin më të gjerë. </w:t>
      </w:r>
    </w:p>
    <w:p w14:paraId="0F0F89F6" w14:textId="63532BA4" w:rsidR="0088143A" w:rsidRPr="00976D33" w:rsidRDefault="009E6700" w:rsidP="00B26FAA">
      <w:r>
        <w:t>Sa i përket gazit natyror, studimi i fizibilitetit për interkoneksionin Kosovë-Maqedonia e Veriut ka përfunduar. Gjithashtu, ka përfunduar përgatitja e masterplanit për gazin në Kosovë dhe vlerësimi strategjik i mjedisit. Të dyja këto mbështeten në kuadër të Kornizës së Investimeve për Ballkanin Perëndimor. Lidhja e Kosovës me tubacionet rajonale të gazit, TAP dhe IAP, konsiderohet përmes Maqedonisë së Veriut dhe/ose Shqipërisë, prandaj kërkohet bashkëpunim i ngushtë me këto dy vende fqinje për sa i përket planeve potenciale për kërkesën për gaz natyror dhe zhvillimin e tregut të gazit natyror.</w:t>
      </w:r>
    </w:p>
    <w:p w14:paraId="622C60DB" w14:textId="057A1C4E" w:rsidR="00FB18AB" w:rsidRPr="00976D33" w:rsidRDefault="00FB18AB" w:rsidP="00086F15">
      <w:r>
        <w:t xml:space="preserve">Komuniteti i Energjisë luan rol vendimtar në këtë proces, përmes funksionit të tij këshillues dhe kontributit të rëndësishëm në përmirësimin e komunikimit ndërmjet vendeve anëtare. Komunikimi efektiv është jetik për të siguruar një kuptim të përbashkët të aspekteve të ndryshme që ndërlidhen me projektet ndërkufitare. Studimet e kryera dhe të publikuara nga Komuniteti i Energjisë, siç janë Projektet me Interes të Komunitetit të Energjisë (PIKE) dhe Projektet me Interes të Ndërsjellë (PIN), ofrojnë mbulim gjithëpërfshirës të të gjitha vendeve anëtare dhe mundësojnë një kuptim më të mirë të situatës rajonale. Projektet e PIKE-së dhe PIN-it nxisin bashkëpunimin ndërkufitar ndërmjet palëve kontraktuese të Komunitetit të Energjisë. PIN përfshijnë në mënyrë specifike bashkëpunimet ndërmjet palëve kontraktuese të Komunitetit të Energjisë dhe shteteve </w:t>
      </w:r>
      <w:r>
        <w:lastRenderedPageBreak/>
        <w:t>anëtare të Bashkimit Evropian dhe janë të ndryshme nga Projektet me Interes të Përbashkët (PIP) në kuadër të Bashkimit Evropian. Kjo listë e projekteve përditësohet çdo dy vjet. Projektet e përfshira në këtë listë kanë të drejtë për aplikim për financim nëpërmjet Kornizës së Investimeve për Ballkanin Perëndimor (WBIF) me mbështetjen e Institucioni Financiar Ndërkombëtar (IFI), siç është Banka Evropiane e Investimeve (BEI). Projektet e dukshme që janë shfaqur në këto lista për Kosovën përfshijnë vetëm projektet e gazit që përfshijnë ndërtimin e tubacioneve drejt Maqedonisë së Veriut dhe Shqipërisë.  Është interesante se në vitin 2022, me Vendimin e Këshillit Ministror 2021/11/MC-EnC, që ndryshon Vendimin 2015/09/MC-EnC për zbatimin e Rregullores (BE) Nr. 347/2013, është pezulluar miratimi i listës së projekteve infrastrukturore energjetike të Komunitetit të Energjisë çdo dy vjet, në pritje të miratimit nga Bashkimi Evropian të Rregullores së re TEN-E dhe përfshirjes dhe miratimit të saj të mëvonshëm në acquis Communautaire të Komunitetit të Energjisë, kështu që lista e fundit është nga viti 2020. Më 14 dhjetor, Këshilli Ministror i Komunitetit të Energjisë miratoi Rregulloren TEN-E (Rregullorja (BE) 2022/869). Procesi i ri i përzgjedhjes për projektet e PIKE-së tashmë ka filluar dhe sipas informacioneve të publikuara nga Komuniteti i Energjisë, pritet të përfundojë deri në vjeshtën e vitit 2024.</w:t>
      </w:r>
    </w:p>
    <w:p w14:paraId="5B8C9E21" w14:textId="77777777" w:rsidR="00086F15" w:rsidRPr="00976D33" w:rsidRDefault="00086F15" w:rsidP="00086F15">
      <w:r>
        <w:t>Komuniteti i Energjisë përgatit gjithashtu raporte vjetore të zbatimit mbi progresin e palëve kontraktuese në përputhje me direktivat dhe rregulloret e përshtatura të BE-së. Edhe pse pjesa më e madhe e legjislacionit të BE-së përmes EnC-së është transpozuar në palët kontraktuese të Traktatit të EnC-së, prezantimi i mekanizmit të çmimit të karbonit është ende në pritje. Vënia në funksion e këtij mekanizmi mund të ndikojë ndjeshëm në situatën në rajon dhe veçanërisht në tregun e energjisë elektrike.</w:t>
      </w:r>
    </w:p>
    <w:p w14:paraId="3C9B3965" w14:textId="1C9228D7" w:rsidR="00086F15" w:rsidRPr="00976D33" w:rsidRDefault="00086F15" w:rsidP="00086F15">
      <w:r>
        <w:t>Përmbushja e objektivave të përcaktuara në Strategjinë Kombëtare të Energjisë (të cilat janë përfshirë plotësisht në këtë plan) nënkupton ndërtimin e kapaciteteve të mëdha të BRE-ve. Burimet e ripërtëritshme do të nënkuptojnë futjen e pasigurisë në sistem dhe balancimin që kërkon bashkëpunim ndërkufitar (tashmë të adresuar në studimin e EnC - Zhvillimi i një udhërrëfyesi drejt një bashkëpunimi balancues rajonal). Komuniteti i Energjisë ka përgatitur një studim mbi përshtatshmërinë e sistemeve të energjisë elektrike të BP6. Qëllimi i këtij raporti është të kryejë një analizë largpamëse të mjaftueshmërisë së burimeve të sistemeve të energjisë elektrike të BP6 në kalimin e tyre në rregulloren e BE-së - domethënë, të vlerësojë nëse do të ketë kapacitet të mjaftueshëm për të garantuar sigurinë e furnizimit. Përveç kësaj, ai studim heton shkallën në të cilën kalimi në modelin e synuar të tregut të energjisë elektrike të BE-së, si dhe zbatimi i kërkesave mjedisore të arritshme të BE-së dhe kalimi në çmimin e CO2 mund t’i bëjë impiantet ekzistuese joprofitabile për të operuar dhe të shkaktojë çaktivizimin e tyre, gjë që nga ana tjetër mund të krijojë probleme të përshtatshmërisë.</w:t>
      </w:r>
    </w:p>
    <w:p w14:paraId="29F5B6A1" w14:textId="77777777" w:rsidR="006A2723" w:rsidRPr="00976D33" w:rsidRDefault="006A2723" w:rsidP="00086F15">
      <w:r>
        <w:t>Komuniteti i Energjisë ka përfshirë sigurinë kibernetike në programin e tij për të rritur sigurinë e energjisë dhe rrjetit. Në janar të vitit 2020, u publikua një studim mbi sigurinë kibernetike në sektorin energjetik. Ky studim ofron një pasqyrë gjithëpërfshirëse të organizatave përgjegjëse për sigurinë kibernetike dhe legjislacionit përkatës të zbatueshëm për energjinë, së bashku me kryerjen e analizave të kërcënimeve dhe vlerësimit të rrezikut. Për më tepër, ai ofron një sërë rekomandimesh, duke synuar si nivelin lokal ashtu edhe atë rajonal, për të forcuar qëndrueshmërinë dhe sigurinë e infrastrukturës energjetike. Komuniteti i Energjisë ka marrë drejtimin në krijimin e mekanizmave bashkëpunues që lehtësojnë masat e sigurisë kibernetike. Këto masa përfshijnë identifikimin e infrastrukturës kritike të energjisë, zbatimin e standardeve teknike të sigurisë kibernetike në sektorin energjetik, krijimin e Qendrës së Ndarjes dhe Analizës së Informacionit të Komunitetit të Energjisë (EnC ISAC) dhe zhvillimin e një platforme të gjerë për edukim dhe aftësim në siguri kibernetike të quajtur Akademia e Sigurisë Kibernetike. Për më tepër, Komuniteti i Energjisë aspiron të krijojë bashkëpunime konkrete me agjencinë e BE-së për siguri kibernetike ENISA, Rrjetin Evropian të Informacionit dhe Sigurisë së Energjisë (EE-ISAC) dhe subjektet dhe shoqatat të tjera të sigurisë kibernetike që operojnë në sektorin e energjisë në Evropë dhe më gjerë.</w:t>
      </w:r>
    </w:p>
    <w:p w14:paraId="526BF748" w14:textId="77777777" w:rsidR="0088143A" w:rsidRPr="00976D33" w:rsidRDefault="0088143A" w:rsidP="00BD4E9E">
      <w:pPr>
        <w:pStyle w:val="Heading3"/>
      </w:pPr>
      <w:bookmarkStart w:id="46" w:name="_Toc182302252"/>
      <w:r>
        <w:t>Struktura administrative e zbatimit të politikave kombëtare për energji dhe klimë</w:t>
      </w:r>
      <w:bookmarkEnd w:id="46"/>
    </w:p>
    <w:p w14:paraId="71A39F46" w14:textId="2F2ACA81" w:rsidR="00206544" w:rsidRDefault="00206544" w:rsidP="00C73FEB">
      <w:pPr>
        <w:spacing w:before="120" w:after="0" w:line="240" w:lineRule="auto"/>
      </w:pPr>
      <w:r>
        <w:t>Procesi u zhvillua në dy faza - një në vitin 2021 dhe një tjetër në vitin 2023. Me vendim të Ministres së Ekonomisë është themeluar Grupi Drejtues Ndërministror, ​​i kryesuar nga Ministria e Ekonomisë dhe i bashkë-kryesuar nga Ministria e Mjedisit, Planifikimit Hapësinor dhe Infrastrukturës. Pjesëmarrësit e grupit përfshinin përfaqësues të ministrive sektoriale, zyrës së kryeministrit, Zyrës së Rregullatorit të Energjisë, Agjencisë së Statistikave, Agjencisë për Efiçiencë të Energjisë, Asociacionit të Komunave, shoqërisë civile, akademisë dhe sektorit të biznesit. Lidhur me zhvillimin e draftit të PKEK-së në janar të vitit 2023, grupet fillestare punuese të organizuara përgjatë pesë dimensioneve të bashkimit energjetik u shkrinë në një grup të vetëm.</w:t>
      </w:r>
    </w:p>
    <w:p w14:paraId="2E09410C" w14:textId="53355856" w:rsidR="00B26FAA" w:rsidRPr="00976D33" w:rsidRDefault="00206544" w:rsidP="00C73FEB">
      <w:pPr>
        <w:spacing w:before="120" w:after="0" w:line="240" w:lineRule="auto"/>
      </w:pPr>
      <w:r>
        <w:lastRenderedPageBreak/>
        <w:t>Në vitin 2021, grup i ka raportuar Ministres së ME-së dhe bashkë-kryesohej nga ME dhe MMPHI. Institucionet pjesëmarrëse janë si në vijim:</w:t>
      </w:r>
    </w:p>
    <w:p w14:paraId="34112BD2" w14:textId="5A230BE6" w:rsidR="00B26FAA" w:rsidRPr="00976D33" w:rsidRDefault="00B26FAA" w:rsidP="00B26FAA">
      <w:pPr>
        <w:pStyle w:val="ListParagraph"/>
      </w:pPr>
      <w:r>
        <w:t>Ministria e Ekonomisë (ME) (bashkëkryesuese);</w:t>
      </w:r>
    </w:p>
    <w:p w14:paraId="11CAF58D" w14:textId="075D0ACA" w:rsidR="00B26FAA" w:rsidRPr="00976D33" w:rsidRDefault="00B26FAA" w:rsidP="00B26FAA">
      <w:pPr>
        <w:pStyle w:val="ListParagraph"/>
      </w:pPr>
      <w:r>
        <w:t xml:space="preserve">Ministria e Mjedisit, Planifikimit Hapësinor dhe Infrastrukturës (MMPHI) (bashkëkryesuese); </w:t>
      </w:r>
    </w:p>
    <w:p w14:paraId="323AE908" w14:textId="49B70CDC" w:rsidR="00B26FAA" w:rsidRPr="00976D33" w:rsidRDefault="00B26FAA" w:rsidP="00B26FAA">
      <w:pPr>
        <w:pStyle w:val="ListParagraph"/>
      </w:pPr>
      <w:r>
        <w:t xml:space="preserve">Zyra e Kryeministrit (ZKM); </w:t>
      </w:r>
    </w:p>
    <w:p w14:paraId="190AA456" w14:textId="77777777" w:rsidR="00B26FAA" w:rsidRPr="00976D33" w:rsidRDefault="00B26FAA" w:rsidP="00B26FAA">
      <w:pPr>
        <w:pStyle w:val="ListParagraph"/>
      </w:pPr>
      <w:r>
        <w:t>Zyra e Rregullatorit për Energji (ZRRE);</w:t>
      </w:r>
    </w:p>
    <w:p w14:paraId="484F3535" w14:textId="64FF7C94" w:rsidR="00B26FAA" w:rsidRPr="00976D33" w:rsidRDefault="00B26FAA" w:rsidP="00B26FAA">
      <w:pPr>
        <w:pStyle w:val="ListParagraph"/>
      </w:pPr>
      <w:r>
        <w:t xml:space="preserve">Ministria e Financave; </w:t>
      </w:r>
    </w:p>
    <w:p w14:paraId="21B9146A" w14:textId="77777777" w:rsidR="00B26FAA" w:rsidRPr="00976D33" w:rsidRDefault="00B26FAA" w:rsidP="00B26FAA">
      <w:pPr>
        <w:pStyle w:val="ListParagraph"/>
      </w:pPr>
      <w:r>
        <w:t>Ministria e Integrimeve Evropiane;</w:t>
      </w:r>
    </w:p>
    <w:p w14:paraId="3C7CAD95" w14:textId="050287C0" w:rsidR="00B26FAA" w:rsidRPr="00976D33" w:rsidRDefault="00B26FAA" w:rsidP="00B26FAA">
      <w:pPr>
        <w:pStyle w:val="ListParagraph"/>
      </w:pPr>
      <w:r>
        <w:t xml:space="preserve">Ministria e Bujqësisë, Pylltarisë dhe Zhvillimit Rural (MBPZHR); </w:t>
      </w:r>
    </w:p>
    <w:p w14:paraId="161BFE94" w14:textId="2E3376AA" w:rsidR="00B26FAA" w:rsidRPr="00976D33" w:rsidRDefault="00B26FAA" w:rsidP="00B26FAA">
      <w:pPr>
        <w:pStyle w:val="ListParagraph"/>
      </w:pPr>
      <w:r>
        <w:t xml:space="preserve">Ministria e Inovacionit dhe Ndërmarrësisë; </w:t>
      </w:r>
    </w:p>
    <w:p w14:paraId="4B023840" w14:textId="77777777" w:rsidR="00B26FAA" w:rsidRPr="00976D33" w:rsidRDefault="00B26FAA" w:rsidP="00B26FAA">
      <w:pPr>
        <w:pStyle w:val="ListParagraph"/>
      </w:pPr>
      <w:r>
        <w:t xml:space="preserve">Asociacioni i Komunave të Kosovës; </w:t>
      </w:r>
    </w:p>
    <w:p w14:paraId="2F34C9D7" w14:textId="77777777" w:rsidR="00B26FAA" w:rsidRPr="00976D33" w:rsidRDefault="00B26FAA" w:rsidP="00B26FAA">
      <w:pPr>
        <w:pStyle w:val="ListParagraph"/>
      </w:pPr>
      <w:r>
        <w:t xml:space="preserve">Agjencia e Statistikave të Kosovës; </w:t>
      </w:r>
    </w:p>
    <w:p w14:paraId="173007BD" w14:textId="77777777" w:rsidR="00B26FAA" w:rsidRPr="00976D33" w:rsidRDefault="00B26FAA" w:rsidP="00B26FAA">
      <w:pPr>
        <w:pStyle w:val="ListParagraph"/>
      </w:pPr>
      <w:r>
        <w:t>Agjencia e Kosovës për Efiçiencë të Energjisë (AKEE);</w:t>
      </w:r>
    </w:p>
    <w:p w14:paraId="28A58DD7" w14:textId="77777777" w:rsidR="00B26FAA" w:rsidRPr="00976D33" w:rsidRDefault="00B26FAA" w:rsidP="00B26FAA">
      <w:pPr>
        <w:pStyle w:val="ListParagraph"/>
      </w:pPr>
      <w:r>
        <w:t xml:space="preserve">Shoqëria civile; </w:t>
      </w:r>
    </w:p>
    <w:p w14:paraId="723F4313" w14:textId="77777777" w:rsidR="00B26FAA" w:rsidRPr="00976D33" w:rsidRDefault="00B26FAA" w:rsidP="00B26FAA">
      <w:pPr>
        <w:pStyle w:val="ListParagraph"/>
      </w:pPr>
      <w:r>
        <w:t xml:space="preserve">Universiteti i Prishtinës; </w:t>
      </w:r>
    </w:p>
    <w:p w14:paraId="7FFD2529" w14:textId="77777777" w:rsidR="00B26FAA" w:rsidRPr="00976D33" w:rsidRDefault="00B26FAA" w:rsidP="00B26FAA">
      <w:pPr>
        <w:pStyle w:val="ListParagraph"/>
      </w:pPr>
      <w:r>
        <w:t xml:space="preserve">Oda Ekonomike e Kosovës; </w:t>
      </w:r>
    </w:p>
    <w:p w14:paraId="2D87A070" w14:textId="77777777" w:rsidR="00B26FAA" w:rsidRPr="00976D33" w:rsidRDefault="00B26FAA" w:rsidP="00B26FAA">
      <w:pPr>
        <w:pStyle w:val="ListParagraph"/>
      </w:pPr>
      <w:r>
        <w:t xml:space="preserve">Ministria e Punës dhe Mirëqenies Sociale; </w:t>
      </w:r>
    </w:p>
    <w:p w14:paraId="4722BCFB" w14:textId="073B09BF" w:rsidR="00B26FAA" w:rsidRPr="00976D33" w:rsidRDefault="00DA0753" w:rsidP="00B26FAA">
      <w:pPr>
        <w:pStyle w:val="ListParagraph"/>
      </w:pPr>
      <w:r>
        <w:t>Operatori i Transmisionit, Sistemit dhe Tregut (KOSTT)</w:t>
      </w:r>
    </w:p>
    <w:p w14:paraId="1AB8D04A" w14:textId="77777777" w:rsidR="009F0730" w:rsidRPr="00976D33" w:rsidRDefault="009F0730" w:rsidP="009F0730">
      <w:pPr>
        <w:pStyle w:val="ListParagraph"/>
      </w:pPr>
      <w:r>
        <w:t>Korporata Energjetike e Kosovës (KEK);</w:t>
      </w:r>
    </w:p>
    <w:p w14:paraId="3F1B57F6" w14:textId="075C20E4" w:rsidR="009F0730" w:rsidRPr="00976D33" w:rsidRDefault="009F0730" w:rsidP="009F0730">
      <w:pPr>
        <w:pStyle w:val="ListParagraph"/>
      </w:pPr>
      <w:r>
        <w:t>Kompania Kosovare për Distribuim të Energjisë Elektrike (KEDS);</w:t>
      </w:r>
    </w:p>
    <w:p w14:paraId="170A513C" w14:textId="793812EF" w:rsidR="00B26FAA" w:rsidRPr="00976D33" w:rsidRDefault="00B26FAA" w:rsidP="00B26FAA">
      <w:pPr>
        <w:tabs>
          <w:tab w:val="left" w:pos="807"/>
          <w:tab w:val="left" w:pos="927"/>
        </w:tabs>
      </w:pPr>
      <w:r>
        <w:t xml:space="preserve">Përveç listës së Grupit Drejtues Ndërministror, rolin kryesor për shqyrtimin dhe miratimin e PKEK-së e ka Komitetit Kombëtar për ndryshimet klimatike dhe për miratim Qeveria e Qeveria Kosovës.  </w:t>
      </w:r>
    </w:p>
    <w:p w14:paraId="01DB2E9C" w14:textId="77777777" w:rsidR="00B26FAA" w:rsidRPr="00976D33" w:rsidRDefault="00B26FAA" w:rsidP="00B26FAA">
      <w:pPr>
        <w:tabs>
          <w:tab w:val="left" w:pos="807"/>
          <w:tab w:val="left" w:pos="927"/>
        </w:tabs>
      </w:pPr>
      <w:r>
        <w:t xml:space="preserve">Palë të tjera të rëndësishëm të interesit në zhvillimin dhe zbatimin e PKEK-së janë: </w:t>
      </w:r>
    </w:p>
    <w:p w14:paraId="5097D8E8" w14:textId="77777777" w:rsidR="00B26FAA" w:rsidRPr="00976D33" w:rsidRDefault="00B26FAA" w:rsidP="00B26FAA">
      <w:pPr>
        <w:pStyle w:val="ListParagraph"/>
      </w:pPr>
      <w:r>
        <w:t>Komisioni i Pavarur për Miniera dhe Minerale (KPMM)</w:t>
      </w:r>
    </w:p>
    <w:p w14:paraId="6C692C00" w14:textId="77777777" w:rsidR="00B26FAA" w:rsidRPr="00976D33" w:rsidRDefault="00B26FAA" w:rsidP="00B26FAA">
      <w:pPr>
        <w:pStyle w:val="ListParagraph"/>
      </w:pPr>
      <w:r>
        <w:t>Kompania Kosovare për Furnizimin me Energji Elektrike (KESCO);</w:t>
      </w:r>
    </w:p>
    <w:p w14:paraId="19C9E62D" w14:textId="77777777" w:rsidR="00B26FAA" w:rsidRPr="00976D33" w:rsidRDefault="00B26FAA" w:rsidP="00B26FAA">
      <w:pPr>
        <w:pStyle w:val="ListParagraph"/>
      </w:pPr>
      <w:r>
        <w:t>Kompanitë e Ngrohjes Qendrore;</w:t>
      </w:r>
    </w:p>
    <w:p w14:paraId="71900EA8" w14:textId="77777777" w:rsidR="00B26FAA" w:rsidRPr="00976D33" w:rsidRDefault="00B26FAA" w:rsidP="00B26FAA">
      <w:pPr>
        <w:pStyle w:val="ListParagraph"/>
      </w:pPr>
      <w:r>
        <w:t xml:space="preserve">Prodhuesit e pavarur të energjisë elektrike; </w:t>
      </w:r>
    </w:p>
    <w:p w14:paraId="3E8F39B8" w14:textId="77777777" w:rsidR="00B26FAA" w:rsidRPr="00976D33" w:rsidRDefault="00B26FAA" w:rsidP="00B26FAA">
      <w:pPr>
        <w:pStyle w:val="ListParagraph"/>
      </w:pPr>
      <w:r>
        <w:t>Furnizuesit e licencuar të energjisë elektrike;</w:t>
      </w:r>
    </w:p>
    <w:p w14:paraId="17A616E5" w14:textId="77777777" w:rsidR="00B26FAA" w:rsidRPr="00976D33" w:rsidRDefault="00B26FAA" w:rsidP="00B26FAA">
      <w:pPr>
        <w:pStyle w:val="ListParagraph"/>
      </w:pPr>
      <w:r>
        <w:t>Pjesëmarrësit e licencuar të tregut të energjisë;</w:t>
      </w:r>
    </w:p>
    <w:p w14:paraId="59C91ADE" w14:textId="77777777" w:rsidR="00B26FAA" w:rsidRPr="00976D33" w:rsidRDefault="00B26FAA" w:rsidP="00B26FAA">
      <w:pPr>
        <w:pStyle w:val="ListParagraph"/>
      </w:pPr>
      <w:r>
        <w:t xml:space="preserve">Agjencitë dhe organizatat e tjera. </w:t>
      </w:r>
    </w:p>
    <w:p w14:paraId="1318A206" w14:textId="17E2ED82" w:rsidR="00B26FAA" w:rsidRPr="00976D33" w:rsidRDefault="00B26FAA" w:rsidP="00B26FAA">
      <w:pPr>
        <w:spacing w:before="120" w:after="0" w:line="240" w:lineRule="auto"/>
      </w:pPr>
      <w:r>
        <w:t>Për zhvillimin teknik të PKEK-së është krijuar diagrami organizativ i mëposhtëm me 6 Grupe Tematike (GT) (</w:t>
      </w:r>
      <w:r w:rsidR="00645F8E" w:rsidRPr="00976D33">
        <w:fldChar w:fldCharType="begin"/>
      </w:r>
      <w:r w:rsidR="00645F8E" w:rsidRPr="00976D33">
        <w:instrText xml:space="preserve"> REF _Ref69867214 \h </w:instrText>
      </w:r>
      <w:r w:rsidR="004A7007" w:rsidRPr="00976D33">
        <w:instrText xml:space="preserve"> \* MERGEFORMAT </w:instrText>
      </w:r>
      <w:r w:rsidR="00645F8E" w:rsidRPr="00976D33">
        <w:fldChar w:fldCharType="separate"/>
      </w:r>
      <w:r w:rsidR="003B7FFA">
        <w:t>Figura 8</w:t>
      </w:r>
      <w:r w:rsidR="00645F8E" w:rsidRPr="00976D33">
        <w:fldChar w:fldCharType="end"/>
      </w:r>
      <w:r>
        <w:t>):</w:t>
      </w:r>
    </w:p>
    <w:p w14:paraId="016A1270" w14:textId="3B9C33A3" w:rsidR="00B26FAA" w:rsidRPr="00976D33" w:rsidRDefault="003A5942" w:rsidP="003A5942">
      <w:pPr>
        <w:pStyle w:val="Caption"/>
      </w:pPr>
      <w:bookmarkStart w:id="47" w:name="_Ref69867214"/>
      <w:bookmarkStart w:id="48" w:name="_Toc138983691"/>
      <w:bookmarkStart w:id="49" w:name="_Toc181867211"/>
      <w:r>
        <w:t xml:space="preserve">Figura </w:t>
      </w:r>
      <w:r w:rsidR="00062E07">
        <w:fldChar w:fldCharType="begin"/>
      </w:r>
      <w:r w:rsidR="00062E07">
        <w:instrText xml:space="preserve"> SEQ Figure \* ARABIC </w:instrText>
      </w:r>
      <w:r w:rsidR="00062E07">
        <w:fldChar w:fldCharType="separate"/>
      </w:r>
      <w:r w:rsidR="003B7FFA">
        <w:rPr>
          <w:noProof/>
        </w:rPr>
        <w:t>8</w:t>
      </w:r>
      <w:r w:rsidR="00062E07">
        <w:rPr>
          <w:noProof/>
        </w:rPr>
        <w:fldChar w:fldCharType="end"/>
      </w:r>
      <w:bookmarkEnd w:id="47"/>
      <w:r>
        <w:t>. Diagrami organizativ</w:t>
      </w:r>
      <w:bookmarkEnd w:id="48"/>
      <w:bookmarkEnd w:id="49"/>
    </w:p>
    <w:p w14:paraId="5D52057D" w14:textId="77777777" w:rsidR="00022160" w:rsidRPr="00976D33" w:rsidRDefault="00B26FAA" w:rsidP="00BF0700">
      <w:r>
        <w:rPr>
          <w:noProof/>
          <w:sz w:val="24"/>
          <w:lang w:val="en-US"/>
        </w:rPr>
        <w:drawing>
          <wp:inline distT="0" distB="0" distL="0" distR="0" wp14:anchorId="2F48DD86" wp14:editId="0FDFE65D">
            <wp:extent cx="5480050" cy="1749425"/>
            <wp:effectExtent l="0" t="0" r="25400" b="0"/>
            <wp:docPr id="84" name="Diagram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2EA96C19" w14:textId="7927D07E" w:rsidR="00BF0700" w:rsidRPr="00976D33" w:rsidRDefault="00314CA7" w:rsidP="00BF0700">
      <w:r>
        <w:t>Pas miratimit të caqeve në nivel të Komunitetit të Energjisë dhe miratimit të strategjisë së energjisë, në janar të vitit 2023, me vendim të Qeverisë krijohet grupi i ri punues i përbërë nga 15 anëtarë institucionalë, përkatësisht:</w:t>
      </w:r>
    </w:p>
    <w:p w14:paraId="34A4B84D" w14:textId="1F0C9843" w:rsidR="00BF0700" w:rsidRPr="00976D33" w:rsidRDefault="00BF0700" w:rsidP="00BF0700">
      <w:pPr>
        <w:pStyle w:val="ListParagraph"/>
      </w:pPr>
      <w:r>
        <w:t>Ministria e Ekonomisë – ME (bashkëkryesuese)</w:t>
      </w:r>
    </w:p>
    <w:p w14:paraId="2E3F24CF" w14:textId="59200278" w:rsidR="00BF0700" w:rsidRPr="00976D33" w:rsidRDefault="00BF0700" w:rsidP="00BF0700">
      <w:pPr>
        <w:pStyle w:val="ListParagraph"/>
      </w:pPr>
      <w:r>
        <w:t>Ministria e Mjedisi, Planifikimit Hapësinor dhe Infrastrukturës– MMPHI (bashkëkryesuese)</w:t>
      </w:r>
    </w:p>
    <w:p w14:paraId="4773F3F0" w14:textId="158EC221" w:rsidR="00BF0700" w:rsidRPr="00976D33" w:rsidRDefault="00BF0700" w:rsidP="00BF0700">
      <w:pPr>
        <w:pStyle w:val="ListParagraph"/>
      </w:pPr>
      <w:r>
        <w:t>Zyra e Kryeministrit - ZKM</w:t>
      </w:r>
    </w:p>
    <w:p w14:paraId="466216C1" w14:textId="4C178010" w:rsidR="00BF0700" w:rsidRPr="00976D33" w:rsidRDefault="00BF0700" w:rsidP="00BF0700">
      <w:pPr>
        <w:pStyle w:val="ListParagraph"/>
      </w:pPr>
      <w:r>
        <w:lastRenderedPageBreak/>
        <w:t>Ministria e Financave, Punës dhe Transfereve - MFPT</w:t>
      </w:r>
    </w:p>
    <w:p w14:paraId="3C0FB86A" w14:textId="77777777" w:rsidR="00BF0700" w:rsidRPr="00976D33" w:rsidRDefault="00BF0700" w:rsidP="00BF0700">
      <w:pPr>
        <w:pStyle w:val="ListParagraph"/>
      </w:pPr>
      <w:r>
        <w:t>Oda Ekonomike e Kosovës</w:t>
      </w:r>
    </w:p>
    <w:p w14:paraId="42228D3B" w14:textId="7F862274" w:rsidR="00BF0700" w:rsidRPr="00976D33" w:rsidRDefault="00BF0700" w:rsidP="00BF0700">
      <w:pPr>
        <w:pStyle w:val="ListParagraph"/>
      </w:pPr>
      <w:r>
        <w:t>Ministria e Industrisë, Ndërmarrësisë dhe Tregtisë - MINT</w:t>
      </w:r>
    </w:p>
    <w:p w14:paraId="4290D84A" w14:textId="77777777" w:rsidR="00BF0700" w:rsidRPr="00976D33" w:rsidRDefault="00BF0700" w:rsidP="00BF0700">
      <w:pPr>
        <w:pStyle w:val="ListParagraph"/>
      </w:pPr>
      <w:r>
        <w:t>Universiteti i Prishtinë</w:t>
      </w:r>
    </w:p>
    <w:p w14:paraId="49C67024" w14:textId="37902164" w:rsidR="00BF0700" w:rsidRPr="00976D33" w:rsidRDefault="00BF0700" w:rsidP="00BF0700">
      <w:pPr>
        <w:pStyle w:val="ListParagraph"/>
      </w:pPr>
      <w:r>
        <w:t>Operatori i Transmisionit, Sistemit dhe Tregut - KOSTT</w:t>
      </w:r>
    </w:p>
    <w:p w14:paraId="5CC8E613" w14:textId="78E5A6D6" w:rsidR="00BF0700" w:rsidRPr="00976D33" w:rsidRDefault="00BF0700" w:rsidP="00BF0700">
      <w:pPr>
        <w:pStyle w:val="ListParagraph"/>
      </w:pPr>
      <w:r>
        <w:t>Zyra e Rregullatorit për Energji (ZRRE)</w:t>
      </w:r>
    </w:p>
    <w:p w14:paraId="222F4E4E" w14:textId="2C99AB12" w:rsidR="00BF0700" w:rsidRPr="00976D33" w:rsidRDefault="00BF0700" w:rsidP="00BF0700">
      <w:pPr>
        <w:pStyle w:val="ListParagraph"/>
      </w:pPr>
      <w:r>
        <w:t>Ministria e Arsimit, Shkencës, Teknologjisë dhe Inovacionit - MASHTI</w:t>
      </w:r>
    </w:p>
    <w:p w14:paraId="0BDBD34A" w14:textId="4FCFE246" w:rsidR="00BF0700" w:rsidRPr="00976D33" w:rsidRDefault="00BF0700" w:rsidP="00BF0700">
      <w:pPr>
        <w:pStyle w:val="ListParagraph"/>
      </w:pPr>
      <w:r>
        <w:t>Korporata Energjetike e Kosovës - KEK</w:t>
      </w:r>
    </w:p>
    <w:p w14:paraId="0B458644" w14:textId="07A4A41A" w:rsidR="00BF0700" w:rsidRPr="00976D33" w:rsidRDefault="00BF0700" w:rsidP="00BF0700">
      <w:pPr>
        <w:pStyle w:val="ListParagraph"/>
      </w:pPr>
      <w:r>
        <w:t>Ministria e Bujqësisë, Pylltarisë dhe Zhvillimit Rural - MBPZHR</w:t>
      </w:r>
    </w:p>
    <w:p w14:paraId="053CA404" w14:textId="5FE882D7" w:rsidR="00BF0700" w:rsidRPr="00976D33" w:rsidRDefault="00BF0700" w:rsidP="00BF0700">
      <w:pPr>
        <w:pStyle w:val="ListParagraph"/>
      </w:pPr>
      <w:r>
        <w:t>Kompania Kosovare për Distribuim të Energjisë Elektrike - KEDS</w:t>
      </w:r>
    </w:p>
    <w:p w14:paraId="026CE19B" w14:textId="77777777" w:rsidR="00BF0700" w:rsidRPr="00976D33" w:rsidRDefault="00D97C24">
      <w:pPr>
        <w:pStyle w:val="ListParagraph"/>
        <w:tabs>
          <w:tab w:val="left" w:pos="807"/>
          <w:tab w:val="left" w:pos="927"/>
        </w:tabs>
      </w:pPr>
      <w:r>
        <w:t xml:space="preserve">  Instituti për Zhvillimin e Politikave Energjetike - OJQ</w:t>
      </w:r>
    </w:p>
    <w:p w14:paraId="2617BAF9" w14:textId="77777777" w:rsidR="00474920" w:rsidRPr="00976D33" w:rsidRDefault="00D97C24" w:rsidP="00BF0700">
      <w:pPr>
        <w:pStyle w:val="ListParagraph"/>
        <w:tabs>
          <w:tab w:val="left" w:pos="807"/>
          <w:tab w:val="left" w:pos="927"/>
        </w:tabs>
      </w:pPr>
      <w:r>
        <w:t xml:space="preserve">  Balkan Green Foundation – OJQ</w:t>
      </w:r>
    </w:p>
    <w:p w14:paraId="776C96C2" w14:textId="044CBB87" w:rsidR="00474920" w:rsidRPr="00976D33" w:rsidRDefault="00A62475" w:rsidP="00B26FAA">
      <w:r>
        <w:t>Këto do të mbetën palët kryesore të interesit për zbatimin e politikave dhe masave të përshkruara në PKEK. Nëse ndonjë prej këtyre institucioneve i nënshtrohet ristrukturimit, përgjegjësitë e tyre do të kalojnë në subjektet e sapoemëruara.</w:t>
      </w:r>
    </w:p>
    <w:p w14:paraId="1BE07914" w14:textId="77777777" w:rsidR="0088143A" w:rsidRPr="00976D33" w:rsidRDefault="0088143A" w:rsidP="00BD4E9E">
      <w:pPr>
        <w:pStyle w:val="Heading2"/>
      </w:pPr>
      <w:bookmarkStart w:id="50" w:name="_Toc182302253"/>
      <w:r>
        <w:t>Konsultimet dhe përfshirja e subjekteve kombëtare dhe të Komunitetit të Energjisë dhe rezultati i tyre</w:t>
      </w:r>
      <w:bookmarkEnd w:id="50"/>
      <w:r>
        <w:t xml:space="preserve"> </w:t>
      </w:r>
    </w:p>
    <w:p w14:paraId="0D91BDA0" w14:textId="77777777" w:rsidR="0088143A" w:rsidRPr="00976D33" w:rsidRDefault="0088143A" w:rsidP="00AF7BBF">
      <w:pPr>
        <w:pStyle w:val="Heading3"/>
        <w:numPr>
          <w:ilvl w:val="0"/>
          <w:numId w:val="3"/>
        </w:numPr>
      </w:pPr>
      <w:bookmarkStart w:id="51" w:name="_Toc182302254"/>
      <w:r>
        <w:t>Përfshirja e parlamentit kombëtar</w:t>
      </w:r>
      <w:bookmarkEnd w:id="51"/>
    </w:p>
    <w:p w14:paraId="2B244FEF" w14:textId="229AC6AD" w:rsidR="00086F15" w:rsidRPr="00976D33" w:rsidRDefault="00086F15" w:rsidP="00086F15">
      <w:r>
        <w:t>Në kornizën aktuale legjislative të Kosovës, roli i Kuvendit është vendimtar për sektorin energjetik. Kuvendi i Kosovës ka mandat të miratojë Strategjinë Kombëtare të Energjisë dhe të miratojë dhe ndryshojë ligjet primare. Kuvendi është gjithashtu përgjegjës për monitorimin e obligimeve ndërkombëtare të Kosovës, siç janë Traktati i Komunitetit të Energjisë dhe Marrëveshja e Stabilizim Asociimit. Për më tepër</w:t>
      </w:r>
      <w:r>
        <w:rPr>
          <w:rFonts w:asciiTheme="majorHAnsi" w:hAnsiTheme="majorHAnsi"/>
        </w:rPr>
        <w:t>, sipas</w:t>
      </w:r>
      <w:r>
        <w:t xml:space="preserve"> Ligji për Energjinë Elektrike, të drejtat e aksionarit të Operatorit të Sistemit të Transmisionit dhe Tregut (KOSTT) do të ushtrohen nga Kuvendi i Kosovës. Gjithashtu, Raporti Vjetor i KOSTT-it shqyrtohet dhe miratohet nga Kuvendi. </w:t>
      </w:r>
    </w:p>
    <w:p w14:paraId="2B1B4F21" w14:textId="6FADE4F6" w:rsidR="00086F15" w:rsidRPr="00976D33" w:rsidRDefault="00195D46" w:rsidP="00086F15">
      <w:r>
        <w:t>Për sa i përket PKEK-së, ndërkohë që nuk parashikohet përfshirja e drejtpërdrejtë e Kuvendit, miratimi i Strategjisë Kombëtare të Energjisë nga ana e tij si dhe pjesëve tjera të kornizës legjislative përkatës kontribuon në mënyrë indirekte në proces.</w:t>
      </w:r>
    </w:p>
    <w:p w14:paraId="51B76D85" w14:textId="77777777" w:rsidR="0088143A" w:rsidRPr="00976D33" w:rsidRDefault="0088143A" w:rsidP="00BD4E9E">
      <w:pPr>
        <w:pStyle w:val="Heading3"/>
      </w:pPr>
      <w:bookmarkStart w:id="52" w:name="_Toc182302255"/>
      <w:r>
        <w:t>Përfshirja e autoriteteve lokale dhe rajonale</w:t>
      </w:r>
      <w:bookmarkEnd w:id="52"/>
    </w:p>
    <w:p w14:paraId="04F15A91" w14:textId="24963E61" w:rsidR="00C97763" w:rsidRPr="00976D33" w:rsidRDefault="004F6F2F" w:rsidP="00C97763">
      <w:r>
        <w:t>Ministria e Ekonomisë, Ministria e Mjedisit, Planifikimit Hapësinor dhe Infrastrukturës, ministritë përkatëse dhe institucion</w:t>
      </w:r>
      <w:r w:rsidR="0037748E">
        <w:t>et e tjera</w:t>
      </w:r>
      <w:r>
        <w:t xml:space="preserve"> relevante kanë kontribuar në mënyrë aktive në hartimin e Planit Kombëtar për Energji dhe Klimë. Ndërsa dokument</w:t>
      </w:r>
      <w:r w:rsidR="0037748E">
        <w:t>et e tjera</w:t>
      </w:r>
      <w:r>
        <w:t xml:space="preserve"> strategjike të PKEK-së do t’i nënshtrohet konsultimeve publike dhe ndërkufitare siç kërkohet me Ligjin për Ndryshimet Klimatike. Përfshirja e publikut në të gjitha fazat e zhvillimit të PKEK-së lejohet dhe njihet si thelbësore për zbatimin e suksesshëm të PKEK-së për periudhën mbuluese. </w:t>
      </w:r>
    </w:p>
    <w:p w14:paraId="3A2C1896" w14:textId="1E0145CC" w:rsidR="0088143A" w:rsidRPr="00976D33" w:rsidRDefault="0088143A" w:rsidP="00BD4E9E">
      <w:pPr>
        <w:pStyle w:val="Heading3"/>
      </w:pPr>
      <w:bookmarkStart w:id="53" w:name="_Toc182302256"/>
      <w:r>
        <w:t>Konsultimet me palët e interesit, duke përfshirë partnerët socialë, dhe angazhimin e shoqërisë civile dhe publikut të gjerë</w:t>
      </w:r>
      <w:bookmarkEnd w:id="53"/>
    </w:p>
    <w:p w14:paraId="48B7F6E7" w14:textId="0ADD8051" w:rsidR="00C97763" w:rsidRPr="00976D33" w:rsidRDefault="00C97763" w:rsidP="00C97763">
      <w:r>
        <w:t xml:space="preserve">Caqet dhe objektivat e përgjithshme, si dhe politikat dhe masat kryesore të PKEK-së u janë komunikuar palëve të interesit përmes seminareve konsultative në kuadër të hartimit të PKEK-së. Në mars dhe prill të vitit 2023, u organizuan katër punëtori me palët e interesit ku u diskutua skenari me masat ekzistuese (WEM), si dhe politikat dhe masat shtesë (WAM). Në fillim të vitit 2023, palët e interesit u konsultuan për të dhënat hyrëse që përdoren në modelin LEAP. Pas marrjes së rekomandimeve për draftin e PKEK nga Sekretariati i Komunitetit të Energjisë në dhjetor të vitit 2023, u organizuan tri punëtori shtesë në mars të vitit 2024, gjatë të cilave u përcaktuan vendimet përfundimtare për çështje specifike të hapura. Të gjitha punëtoritë përfshinin përfaqësues të shoqërisë civile si pjesë e Grupit Punues të PKEK-së. </w:t>
      </w:r>
    </w:p>
    <w:p w14:paraId="25028257" w14:textId="5DB782FD" w:rsidR="007919D2" w:rsidRPr="00976D33" w:rsidRDefault="00CE60FB" w:rsidP="00C97763">
      <w:r>
        <w:t xml:space="preserve">Draft PKEK 2025-2030 fillimisht u përkthye në tri gjuhët zyrtare (shqipe, serbe dhe angleze) dhe iu dorëzua Komunitetit të Energjisë. Pas marrjes së komenteve nga Komuniteti i Energjisë në dhjetor të vitit 2023, ato u </w:t>
      </w:r>
      <w:r>
        <w:lastRenderedPageBreak/>
        <w:t>trajtuan në grupe të përbashkëta punues, duke përfshirë shoqërinë civile. Një konsultim përfundimtar ndërinstitucional do të zhvillohet në kuadër të Këshillit Kombëtar për Ndryshimet Klimatike. Procesi përfshin që Këshilli Kombëtar për Ndryshimet Klimatike të diskutojë dhe miratojë publikimin e draftit në faqet e internetit të MMPHI-së dhe ME-së për konsultim publik. Rezultatet e konsultimit do të konsiderohen dhe inkorporohen, dhe versioni përfundimtar do të përkthehet zyrtarisht dhe do të vihet në dispozicion në gjuhën shqipe, serbe dhe angleze. Drafti përfundimtar i PKEK-së, me rekomandime nga Këshilli Kombëtar për Ndryshimet Klimatike dhe propozim nga MMPHI, pritet të miratohet nga Qeveria e Kosovës.</w:t>
      </w:r>
    </w:p>
    <w:p w14:paraId="7931AFE1" w14:textId="77777777" w:rsidR="0088143A" w:rsidRPr="00976D33" w:rsidRDefault="0088143A" w:rsidP="00BD4E9E">
      <w:pPr>
        <w:pStyle w:val="Heading3"/>
      </w:pPr>
      <w:bookmarkStart w:id="54" w:name="_Toc182302257"/>
      <w:r>
        <w:t>Konsultimet me palët tjera kontraktuese dhe shtetet anëtare të Bashkimit Evropian</w:t>
      </w:r>
      <w:bookmarkEnd w:id="54"/>
    </w:p>
    <w:p w14:paraId="02354746" w14:textId="77777777" w:rsidR="004F1CA4" w:rsidRPr="00976D33" w:rsidRDefault="004F1CA4" w:rsidP="004F1CA4">
      <w:r>
        <w:t>Konsultimet e PKEK-së me palët e tjera kontraktuese realizohen përmes organeve dhe mekanizmave tashmë të krijuar për bashkëpunim rajonal:</w:t>
      </w:r>
    </w:p>
    <w:p w14:paraId="50FBF7B5" w14:textId="2AC0B8C6" w:rsidR="004F1CA4" w:rsidRPr="00976D33" w:rsidRDefault="004F1CA4" w:rsidP="004F1CA4">
      <w:r>
        <w:t xml:space="preserve">• Ballkani Perëndimor 6, lidhja energjetike e Evropës Qendrore dhe Juglindore (CESEC), </w:t>
      </w:r>
    </w:p>
    <w:p w14:paraId="6D5ACC32" w14:textId="77777777" w:rsidR="004F1CA4" w:rsidRPr="00976D33" w:rsidRDefault="004F1CA4" w:rsidP="004F1CA4">
      <w:r>
        <w:t xml:space="preserve">• Këshilli Ministror i Komunitetit të Energjisë, </w:t>
      </w:r>
    </w:p>
    <w:p w14:paraId="4F588B28" w14:textId="77777777" w:rsidR="004F1CA4" w:rsidRPr="00976D33" w:rsidRDefault="004F1CA4" w:rsidP="004F1CA4">
      <w:r>
        <w:t xml:space="preserve">• Komiteti i Energjisë dhe Klimës, </w:t>
      </w:r>
    </w:p>
    <w:p w14:paraId="12DF5414" w14:textId="77777777" w:rsidR="004F1CA4" w:rsidRPr="00976D33" w:rsidRDefault="004F1CA4" w:rsidP="004F1CA4">
      <w:r>
        <w:t xml:space="preserve">• Grupi Punues Teknik për Energji dhe Klimë, </w:t>
      </w:r>
    </w:p>
    <w:p w14:paraId="1CA92EE0" w14:textId="77777777" w:rsidR="004F1CA4" w:rsidRPr="00976D33" w:rsidRDefault="004F1CA4" w:rsidP="004F1CA4">
      <w:r>
        <w:t xml:space="preserve">• Grupi Koordinues për Energji të Ripërtëritshme, </w:t>
      </w:r>
    </w:p>
    <w:p w14:paraId="21781647" w14:textId="77777777" w:rsidR="004F1CA4" w:rsidRPr="00976D33" w:rsidRDefault="004F1CA4" w:rsidP="004F1CA4">
      <w:r>
        <w:t xml:space="preserve">• Grupi Punues për Efiçiencë të Energjisë, </w:t>
      </w:r>
    </w:p>
    <w:p w14:paraId="16FB5F89" w14:textId="77777777" w:rsidR="004F1CA4" w:rsidRPr="00976D33" w:rsidRDefault="004F1CA4" w:rsidP="004F1CA4">
      <w:r>
        <w:t xml:space="preserve">• Task Forca Mjedisore, </w:t>
      </w:r>
    </w:p>
    <w:p w14:paraId="448CD805" w14:textId="77256FDB" w:rsidR="004F1CA4" w:rsidRPr="00976D33" w:rsidRDefault="004F1CA4" w:rsidP="004F1CA4">
      <w:r>
        <w:t xml:space="preserve">• Grupi i Përhershëm i Nivelit të Lartë EnC </w:t>
      </w:r>
    </w:p>
    <w:p w14:paraId="6A481C11" w14:textId="45EA58A8" w:rsidR="004F1CA4" w:rsidRPr="00976D33" w:rsidRDefault="004F1CA4" w:rsidP="004F1CA4">
      <w:r>
        <w:t>Për më tepër, Kosova ka marrë pjesë dhe ka kontribuar në platformat e ndryshme rajonale përmes takimeve dhe punëtorive, si dhe shkëmbimeve rajonale të cilat janë organizaur nga partnerë të ndryshëm zhvillimor, d.m.th.;   Sekretariati i Komunitetit të Energjisë, Fondi i Hapur Rajonal GIZ – Energjia, Transporti dhe Mbrojtja Klimatike (ORF-ETC), mbi temat që lidhen me qasjet e modelimit të PKEK-së, disponueshmërinë dhe cilësinë e të dhënave, sfidat, praktikat më të mira, çështjet ndërsektoriale dhe rajonale.</w:t>
      </w:r>
    </w:p>
    <w:p w14:paraId="6B69B9B9" w14:textId="31DF6306" w:rsidR="0088143A" w:rsidRPr="00976D33" w:rsidRDefault="0088143A" w:rsidP="00BD4E9E">
      <w:pPr>
        <w:pStyle w:val="Heading3"/>
      </w:pPr>
      <w:bookmarkStart w:id="55" w:name="_Toc182302258"/>
      <w:r>
        <w:t>Procesi i përsëritur me Sekretariatin e Komunitetit të Energjisë</w:t>
      </w:r>
      <w:bookmarkEnd w:id="55"/>
    </w:p>
    <w:p w14:paraId="3B9F83D6" w14:textId="77777777" w:rsidR="00A831CE" w:rsidRPr="00976D33" w:rsidRDefault="00DB7D86" w:rsidP="00DB7D86">
      <w:r>
        <w:t xml:space="preserve">Siç përcaktohet në Rregulloren e Qeverisjes së Komunitetit të Energjisë, neni 9(1) (“Rregullorja e Qeverisjes”), çdo Palë Kontraktuese e Komunitetit të Energjisë (“Palë Kontraktuese”) është e detyruar të përgatisë dhe t’i paraqesë Sekretariatit të Komunitetit të Energjisë (“Sekretariati”) një draft plan të integruar kombëtar për energji dhe klimë (“PKEK”) që mbulon periudhën nga viti 2025 deri në vitin 2030 në përputhje me nenin 9(1) dhe me Shtojcën I. </w:t>
      </w:r>
    </w:p>
    <w:p w14:paraId="36D34A84" w14:textId="77777777" w:rsidR="005F21B1" w:rsidRPr="00976D33" w:rsidRDefault="00FE55B0" w:rsidP="001850EB">
      <w:r>
        <w:t>Procesi u zhvillua në dy faza - një në vitin 2021 dhe një tjetër në vitin 2023. Me vendim të Ministres së Ekonomisë është themeluar Grupi Drejtues Ndërministror, ​​i kryesuar nga Ministria e Ekonomisë dhe i bashkë-kryesuar nga Ministria e Mjedisit, Planifikimit Hapësinor dhe Infrastrukturës. Pjesëmarrësit e grupit përfshinin përfaqësues të ministrive sektoriale, zyrës së kryeministrit, Zyrës së Rregullatorit të Energjisë, Agjencisë së Statistikave, Agjencisë për Efiçiencë të Energjisë, Asociacionit të Komunave, shoqërisë civile, akademisë dhe sektorit të biznesit. Lidhur me zhvillimin e draftit të PKEP-së në janar të vitit 2023, grupet fillestare punuese të organizuara përgjatë pesë dimensioneve të bashkimit energjetik u shkrinë në një grup të vetëm.</w:t>
      </w:r>
    </w:p>
    <w:p w14:paraId="11EE7943" w14:textId="050C4281" w:rsidR="00F432CC" w:rsidRPr="00976D33" w:rsidRDefault="001850EB" w:rsidP="005F21B1">
      <w:r>
        <w:t xml:space="preserve">Gjatë kësaj periudhe përfaqësues të Ministrisë së Ekonomisë (ME) dhe Ministrisë së Mjedisit, Planifikimit Hapësinor dhe Infrastrukturës (MMPHI) morën pjesë në punën dhe takimet e grupeve punuese të Komunitetit të Energjisë për hartimin e PKEK 2025-2030. Diskutimi ndërlidhet me metodologjinë, sfidat, ambiciet e politikave dhe masave dhe kontributin në caqet e përgjithshme të Komunitetit të Energjisë 2030 në caqet specifike të dakorduara për Kosovën. Draft PKEK është finalizuar dhe i është dorëzuar Sekretariatit të Komunitetit të Energjisë më 10 korrik 2023, menjëherë pasi ka vijuar puna për hartimin e VSM dhe draft Raporti i është dorëzuar Sekretariatit më 30 nëntor 2023. </w:t>
      </w:r>
    </w:p>
    <w:p w14:paraId="37C455E2" w14:textId="48065894" w:rsidR="005F21B1" w:rsidRPr="00976D33" w:rsidRDefault="005A06C5" w:rsidP="005F21B1">
      <w:r>
        <w:t xml:space="preserve">Sekretariati i Komunitetit të Energjisë e ka vlerësuar PKEK-në dhe VSM-në dhe ka nxjerrë rekomandimet në dhjetor të vitit 2023 sipas “Rekomandimit 3/2023 për Draft Planin Kombëtar të Integruar për Energji dhe Klimë për Kosovën” siç parashihet në nenin 9 të Rregullores së Qeverisjes. </w:t>
      </w:r>
    </w:p>
    <w:p w14:paraId="7BBF943B" w14:textId="0B838352" w:rsidR="00844791" w:rsidRPr="00976D33" w:rsidRDefault="00E5601C" w:rsidP="006E69DA">
      <w:r>
        <w:lastRenderedPageBreak/>
        <w:t>Krahas konsultimeve bilaterale me Sekretariatin e Komunitetit të Energjisë për një temë specifike, dy (2) punëtori të njëpasnjëshme janë organizuar së bashku me Sekretariatin e Komunitetit të Energjisë për të diskutuar rekomandimet, pritjet dhe opsionet që Kosova i adreson ato.  Pjesëmarrës të punëtorive ishin përfaqësuesit kryesorë të ministrive sektoriale nga ME, MMPHI, përfaqësues të Sekretariatit përkatës, GIZ, GET dhe ekspertë të përfshirë në hartimin e PKEK-së. Komentet janë adresuar dhe përfshirë në këtë version të PKEK-së. Siç është planifikuar pas konsultimeve të brendshme dhe rajonale, Kosova synon të dorëzojë planin përfundimtar deri në fund të qershorit 2024.</w:t>
      </w:r>
    </w:p>
    <w:p w14:paraId="6F486010" w14:textId="0FFFBD60" w:rsidR="004F1CA4" w:rsidRPr="00976D33" w:rsidRDefault="00317E06" w:rsidP="004F1CA4">
      <w:r>
        <w:t>Siç kërkohet me Ligjin për Ndryshimet Klimatike, versioni i miratuar i PKEK 2025-2030 do t’i dorëzohet Komunitetit të Energjisë deri fund të vitit 2024.</w:t>
      </w:r>
    </w:p>
    <w:p w14:paraId="26C201AF" w14:textId="125C1D78" w:rsidR="004F1CA4" w:rsidRDefault="004F1CA4" w:rsidP="0088143A">
      <w:pPr>
        <w:spacing w:after="143" w:line="259" w:lineRule="auto"/>
        <w:jc w:val="left"/>
      </w:pPr>
    </w:p>
    <w:p w14:paraId="3252E3B8" w14:textId="77777777" w:rsidR="00FE486A" w:rsidRPr="00976D33" w:rsidRDefault="00FE486A" w:rsidP="0088143A">
      <w:pPr>
        <w:spacing w:after="143" w:line="259" w:lineRule="auto"/>
        <w:jc w:val="left"/>
      </w:pPr>
    </w:p>
    <w:p w14:paraId="7BC756DC" w14:textId="77777777" w:rsidR="0088143A" w:rsidRPr="00976D33" w:rsidRDefault="0088143A" w:rsidP="00BD4E9E">
      <w:pPr>
        <w:pStyle w:val="Heading2"/>
      </w:pPr>
      <w:bookmarkStart w:id="56" w:name="_Toc182302259"/>
      <w:r>
        <w:t>Bashkëpunimi rajonal në përgatitjen e planit</w:t>
      </w:r>
      <w:bookmarkEnd w:id="56"/>
    </w:p>
    <w:p w14:paraId="295C3048" w14:textId="77777777" w:rsidR="0088143A" w:rsidRPr="00976D33" w:rsidRDefault="0069102F" w:rsidP="00AF7BBF">
      <w:pPr>
        <w:pStyle w:val="Heading3"/>
        <w:numPr>
          <w:ilvl w:val="0"/>
          <w:numId w:val="4"/>
        </w:numPr>
      </w:pPr>
      <w:bookmarkStart w:id="57" w:name="_Toc182302260"/>
      <w:r>
        <w:t>Elementet që i nënshtrohen planifikimit të përbashkët ose të koordinuar me palët e tjera kontraktuese dhe shtetet anëtare të Bashkimit Evropian</w:t>
      </w:r>
      <w:bookmarkEnd w:id="57"/>
      <w:r>
        <w:t xml:space="preserve"> </w:t>
      </w:r>
    </w:p>
    <w:p w14:paraId="50B50575" w14:textId="77777777" w:rsidR="004F1CA4" w:rsidRPr="00976D33" w:rsidRDefault="004F1CA4" w:rsidP="004F1CA4">
      <w:r>
        <w:t>Elementet që janë ose mund të jenë subjekt i bashkëpunimit rajonal janë paraqitur më poshtë sipas dimensionit.</w:t>
      </w:r>
    </w:p>
    <w:p w14:paraId="4B9F4866" w14:textId="77777777" w:rsidR="004F1CA4" w:rsidRPr="00976D33" w:rsidRDefault="004F1CA4" w:rsidP="004F1CA4">
      <w:r>
        <w:t>1  Dekarbonizimi</w:t>
      </w:r>
    </w:p>
    <w:p w14:paraId="38A9444D" w14:textId="77777777" w:rsidR="004F1CA4" w:rsidRPr="00976D33" w:rsidRDefault="0099568A" w:rsidP="004F1CA4">
      <w:pPr>
        <w:pStyle w:val="ListParagraph"/>
      </w:pPr>
      <w:r>
        <w:t>Prezantimi i çmimit të karbonit,</w:t>
      </w:r>
    </w:p>
    <w:p w14:paraId="50AE103E" w14:textId="77777777" w:rsidR="00A959BE" w:rsidRPr="00976D33" w:rsidRDefault="0099568A" w:rsidP="004F1CA4">
      <w:pPr>
        <w:pStyle w:val="ListParagraph"/>
      </w:pPr>
      <w:r>
        <w:t>Adresimi i ndikimit të Mekanizmave të Rregullimit të Kufirit të Karbonit (CBAM)</w:t>
      </w:r>
    </w:p>
    <w:p w14:paraId="40B2054C" w14:textId="77777777" w:rsidR="004F1CA4" w:rsidRPr="00976D33" w:rsidRDefault="0099568A" w:rsidP="004F1CA4">
      <w:pPr>
        <w:pStyle w:val="ListParagraph"/>
      </w:pPr>
      <w:r>
        <w:t>Përcaktimi se cilat industri duhet të jenë pjesë e Sistemit të Tregtimit të Emisioneve (ETS) ose do të paguajnë taksën e karbonit</w:t>
      </w:r>
    </w:p>
    <w:p w14:paraId="0882083C" w14:textId="77777777" w:rsidR="004F1CA4" w:rsidRPr="00976D33" w:rsidRDefault="004F1CA4" w:rsidP="004F1CA4">
      <w:pPr>
        <w:pStyle w:val="ListParagraph"/>
      </w:pPr>
      <w:r>
        <w:t>Shkëmbimi i kuotave të BRE-së,</w:t>
      </w:r>
    </w:p>
    <w:p w14:paraId="7F828E2E" w14:textId="77777777" w:rsidR="004F1CA4" w:rsidRPr="00976D33" w:rsidRDefault="0099568A" w:rsidP="004F1CA4">
      <w:pPr>
        <w:pStyle w:val="ListParagraph"/>
      </w:pPr>
      <w:r>
        <w:t>Shkëmbimi i garancive të origjinës, si dhe shkëmbimi i njohurive,</w:t>
      </w:r>
    </w:p>
    <w:p w14:paraId="4E95773E" w14:textId="77777777" w:rsidR="004F1CA4" w:rsidRPr="00976D33" w:rsidRDefault="0099568A" w:rsidP="004F1CA4">
      <w:pPr>
        <w:pStyle w:val="ListParagraph"/>
      </w:pPr>
      <w:r>
        <w:t>Pjesëmarrja në Grupin Koordinues për Efiçiencë të Energjisë të EnC,</w:t>
      </w:r>
    </w:p>
    <w:p w14:paraId="570C5B2A" w14:textId="77777777" w:rsidR="004F1CA4" w:rsidRPr="00976D33" w:rsidRDefault="0099568A" w:rsidP="004F1CA4">
      <w:pPr>
        <w:pStyle w:val="ListParagraph"/>
      </w:pPr>
      <w:r>
        <w:t>Pjesëmarrja në Task Forcën Mjedisore të EnC,</w:t>
      </w:r>
    </w:p>
    <w:p w14:paraId="10124BB4" w14:textId="77777777" w:rsidR="004F1CA4" w:rsidRPr="00976D33" w:rsidRDefault="0099568A" w:rsidP="004F1CA4">
      <w:pPr>
        <w:pStyle w:val="ListParagraph"/>
      </w:pPr>
      <w:r>
        <w:t>Pjesëmarrja në Komitetin e EnC për Energji dhe Klimë.</w:t>
      </w:r>
    </w:p>
    <w:p w14:paraId="28EEEC05" w14:textId="77777777" w:rsidR="004F1CA4" w:rsidRPr="00976D33" w:rsidRDefault="004F1CA4" w:rsidP="004F1CA4">
      <w:r>
        <w:t>2  Efiçienca e energjisë</w:t>
      </w:r>
    </w:p>
    <w:p w14:paraId="70E1350F" w14:textId="77777777" w:rsidR="004F1CA4" w:rsidRPr="00976D33" w:rsidRDefault="004F1CA4" w:rsidP="004F1CA4">
      <w:pPr>
        <w:pStyle w:val="ListParagraph"/>
      </w:pPr>
      <w:r>
        <w:t xml:space="preserve">Projekte dypalëshe dhe rajonale për efiçiencë të energjisë </w:t>
      </w:r>
    </w:p>
    <w:p w14:paraId="0ABD77F7" w14:textId="77777777" w:rsidR="004F1CA4" w:rsidRPr="00976D33" w:rsidRDefault="0099568A" w:rsidP="004F1CA4">
      <w:pPr>
        <w:pStyle w:val="ListParagraph"/>
      </w:pPr>
      <w:r>
        <w:t>Pjesëmarrja në Grupin Koordinues për Efiçiencë të Energjisë të EnC,</w:t>
      </w:r>
    </w:p>
    <w:p w14:paraId="21AFE76B" w14:textId="77777777" w:rsidR="004F1CA4" w:rsidRPr="00976D33" w:rsidRDefault="004F1CA4" w:rsidP="004F1CA4">
      <w:r>
        <w:t>3  Siguria e furnizimit</w:t>
      </w:r>
    </w:p>
    <w:p w14:paraId="744DBF8C" w14:textId="77777777" w:rsidR="004F1CA4" w:rsidRPr="00976D33" w:rsidRDefault="0099568A" w:rsidP="004F1CA4">
      <w:pPr>
        <w:pStyle w:val="ListParagraph"/>
      </w:pPr>
      <w:r>
        <w:t>Rrjeti i transmisionit të gazit me Shqipërinë dhe Maqedoninë e Veriut.</w:t>
      </w:r>
    </w:p>
    <w:p w14:paraId="65BA493B" w14:textId="77777777" w:rsidR="004F1CA4" w:rsidRPr="00976D33" w:rsidRDefault="0099568A" w:rsidP="004F1CA4">
      <w:pPr>
        <w:pStyle w:val="ListParagraph"/>
      </w:pPr>
      <w:r>
        <w:t>Pjesëmarrja në Grupin Koordinues të EnC SoS,</w:t>
      </w:r>
    </w:p>
    <w:p w14:paraId="36984183" w14:textId="77777777" w:rsidR="004F1CA4" w:rsidRPr="00976D33" w:rsidRDefault="004F1CA4" w:rsidP="004F1CA4">
      <w:r>
        <w:t>4  Tregu i brendshëm energjetik</w:t>
      </w:r>
    </w:p>
    <w:p w14:paraId="0A1619B5" w14:textId="77777777" w:rsidR="004F1CA4" w:rsidRPr="00976D33" w:rsidRDefault="0099568A" w:rsidP="004F1CA4">
      <w:pPr>
        <w:pStyle w:val="ListParagraph"/>
      </w:pPr>
      <w:r>
        <w:t>Bashkimi i tregut me Shqipërinë,</w:t>
      </w:r>
    </w:p>
    <w:p w14:paraId="0CE4E370" w14:textId="77777777" w:rsidR="004F1CA4" w:rsidRPr="00976D33" w:rsidRDefault="0099568A" w:rsidP="004F1CA4">
      <w:pPr>
        <w:pStyle w:val="ListParagraph"/>
      </w:pPr>
      <w:r>
        <w:t>Bashkimi rajonal i tregut të energjisë elektrike,</w:t>
      </w:r>
    </w:p>
    <w:p w14:paraId="43F5F962" w14:textId="77777777" w:rsidR="004F1CA4" w:rsidRPr="00976D33" w:rsidRDefault="0099568A" w:rsidP="004F1CA4">
      <w:pPr>
        <w:pStyle w:val="ListParagraph"/>
      </w:pPr>
      <w:r>
        <w:t>Pjesëmarrja në SEE CAO,</w:t>
      </w:r>
    </w:p>
    <w:p w14:paraId="4E6CF932" w14:textId="77777777" w:rsidR="004F1CA4" w:rsidRPr="00976D33" w:rsidRDefault="0099568A" w:rsidP="004F1CA4">
      <w:pPr>
        <w:pStyle w:val="ListParagraph"/>
      </w:pPr>
      <w:r>
        <w:t>Pjesëmarrja në ENTSO-E,</w:t>
      </w:r>
    </w:p>
    <w:p w14:paraId="45A0CFC7" w14:textId="77777777" w:rsidR="004F1CA4" w:rsidRPr="00976D33" w:rsidRDefault="0099568A" w:rsidP="004F1CA4">
      <w:pPr>
        <w:pStyle w:val="ListParagraph"/>
      </w:pPr>
      <w:r>
        <w:t>Pjesëmarrja në CEER.</w:t>
      </w:r>
    </w:p>
    <w:p w14:paraId="454FCC40" w14:textId="77777777" w:rsidR="004F1CA4" w:rsidRPr="00976D33" w:rsidRDefault="004F1CA4" w:rsidP="004F1CA4">
      <w:r>
        <w:t>5  Hulumtimi, inovacioni dhe konkurrueshmëria</w:t>
      </w:r>
    </w:p>
    <w:p w14:paraId="215B8D9E" w14:textId="77777777" w:rsidR="004F1CA4" w:rsidRPr="00976D33" w:rsidRDefault="004F1CA4" w:rsidP="004F1CA4">
      <w:pPr>
        <w:pStyle w:val="ListParagraph"/>
      </w:pPr>
      <w:r>
        <w:t>Projektet hulumtuese dypalëshe ose shumëpalëshe,</w:t>
      </w:r>
    </w:p>
    <w:p w14:paraId="50549C1F" w14:textId="77777777" w:rsidR="004F1CA4" w:rsidRPr="00976D33" w:rsidRDefault="7576975A" w:rsidP="004F1CA4">
      <w:pPr>
        <w:pStyle w:val="ListParagraph"/>
      </w:pPr>
      <w:r>
        <w:t>Horizon Europe</w:t>
      </w:r>
    </w:p>
    <w:p w14:paraId="58F6342A" w14:textId="66DFB615" w:rsidR="004F1CA4" w:rsidRPr="00976D33" w:rsidRDefault="004F1CA4" w:rsidP="004F1CA4">
      <w:pPr>
        <w:pStyle w:val="ListParagraph"/>
      </w:pPr>
      <w:r>
        <w:t>Fond</w:t>
      </w:r>
      <w:r w:rsidR="0037748E">
        <w:t>et e tjera</w:t>
      </w:r>
      <w:r>
        <w:t xml:space="preserve"> rajonale dhe ndërkombëtare për hulumtim, inovacionin dhe konkurrueshmëri.</w:t>
      </w:r>
    </w:p>
    <w:p w14:paraId="783C2677" w14:textId="61E6B4B2" w:rsidR="0088143A" w:rsidRPr="00976D33" w:rsidRDefault="0088143A" w:rsidP="00BD4E9E">
      <w:pPr>
        <w:pStyle w:val="Heading3"/>
      </w:pPr>
      <w:bookmarkStart w:id="58" w:name="_Toc182302261"/>
      <w:r>
        <w:lastRenderedPageBreak/>
        <w:t>Shpjegimi se si bashkëpunimi rajonal konsiderohet në plan</w:t>
      </w:r>
      <w:bookmarkEnd w:id="58"/>
      <w:r>
        <w:t xml:space="preserve"> </w:t>
      </w:r>
    </w:p>
    <w:p w14:paraId="369CA30F" w14:textId="77777777" w:rsidR="004F1CA4" w:rsidRPr="00976D33" w:rsidRDefault="004F1CA4" w:rsidP="004F1CA4">
      <w:pPr>
        <w:rPr>
          <w:rFonts w:cstheme="minorHAnsi"/>
        </w:rPr>
      </w:pPr>
      <w:r>
        <w:t>Duke qenë element jetik i stabilizimit dhe asociimit – procesit që drejton Ballkanin Perëndimor drejt anëtarësimit në BE dhe ndihmon rajonin për të adresuar sfidat e përbashkëta siç janë mungesat e energjisë, ndotja, infrastruktura e transportit, çështjet ndërkufitare dhe të tjera –, bashkëpunimi rajonal, gjithashtu në kuadër të PKEK-së, shihet si një bllok themelor ndërtues dhe mjet i rëndësishëm për realizimin e një sërë aktivitetesh. PKEK përfshin aktivitetet që ndjekin Iniciativën e Ballkanit Perëndimor 6 (Procesi i Berlinit) që synon të mbështesë gjashtë palët kontraktuese të Komunitetit të Energjisë në Evropën Juglindore në forcimin e bashkëpunimit rajonal dhe nxitjen e rritjes së qëndrueshme dhe vendeve të punës.</w:t>
      </w:r>
    </w:p>
    <w:p w14:paraId="32284BCB" w14:textId="35113FF7" w:rsidR="0027589E" w:rsidRPr="00976D33" w:rsidRDefault="0027589E" w:rsidP="0027589E">
      <w:pPr>
        <w:rPr>
          <w:rFonts w:cstheme="minorHAnsi"/>
        </w:rPr>
      </w:pPr>
      <w:r>
        <w:t>Bashkëpunimi rajonal do të realizohet gjithashtu në formën e shkëmbimit të njohurive dhe përvojave në kuadër të Komitetit për Energji dhe Klimë të Komunitetit të Energjisë dhe Grupit të tij Teknik të Punës, të cilët shërbejnë si platformë për bashkëpunim ndërmjet përfaqësuesve të ministrive dhe palëve të tjera relevante të interesit dhe vëzhguesit e Komunitetit të Energjisë në fushat e mëposhtme:</w:t>
      </w:r>
    </w:p>
    <w:p w14:paraId="4EF08050" w14:textId="4B8DA089" w:rsidR="0027589E" w:rsidRPr="00976D33" w:rsidRDefault="0027589E" w:rsidP="0027589E">
      <w:pPr>
        <w:pStyle w:val="ListParagraph"/>
      </w:pPr>
      <w:r>
        <w:t>Zbatimi dhe përafrimi i legjislacionit të palëve kontraktuese me Rregulloren e Mekanizmit Monitorues (MMR). Kjo përfshin krijimin e inventarit të emetimeve të GS-ve, hartimin e strategjive zhvillimore me karbon të ulët dhe përmirësimin e sistemeve kombëtare për raportim lidhur me politikat dhe masat dhe për raportim lidhur projeksionet e emetimeve antropogjene të GS-ve,</w:t>
      </w:r>
    </w:p>
    <w:p w14:paraId="7B776788" w14:textId="77777777" w:rsidR="0027589E" w:rsidRPr="00976D33" w:rsidRDefault="0027589E" w:rsidP="0027589E">
      <w:pPr>
        <w:pStyle w:val="ListParagraph"/>
      </w:pPr>
      <w:r>
        <w:t>Përgatitja e planeve të integruara kombëtare për energji dhe klimë, zbatimi i Udhëzimit të Politikave të Komunitetit të Energjisë dhe Rregullores për Qeverisje – shkëmbimi i praktikave më të mira dhe mësimeve të nxjerra.</w:t>
      </w:r>
    </w:p>
    <w:p w14:paraId="2ECBD0E1" w14:textId="77777777" w:rsidR="0027589E" w:rsidRPr="00976D33" w:rsidRDefault="0027589E" w:rsidP="0027589E">
      <w:pPr>
        <w:pStyle w:val="ListParagraph"/>
      </w:pPr>
      <w:r>
        <w:t>Përmirësimi i konsideratave të ndryshimit klimatike në politika të tjera sektoriale - shkëmbimi i praktikave më të mira dhe mësimeve të nxjerra.</w:t>
      </w:r>
    </w:p>
    <w:p w14:paraId="5C1926F9" w14:textId="77777777" w:rsidR="0027589E" w:rsidRPr="00976D33" w:rsidRDefault="0027589E" w:rsidP="0027589E">
      <w:pPr>
        <w:pStyle w:val="ListParagraph"/>
      </w:pPr>
      <w:r>
        <w:t xml:space="preserve">Bashkëpunimi rajonal në nivel të Komunitetit të Energjisë do të jetë gjithashtu thelbësor për krijimin e mekanizmit më të përshtatshëm për çmimin e karbonit, duke marrë gjithashtu parasysh CBAM në përgatitje nga Bashkimi Evropian; </w:t>
      </w:r>
    </w:p>
    <w:p w14:paraId="4BF8F320" w14:textId="77777777" w:rsidR="0027589E" w:rsidRPr="00976D33" w:rsidRDefault="00647757" w:rsidP="0027589E">
      <w:pPr>
        <w:pStyle w:val="ListParagraph"/>
      </w:pPr>
      <w:r>
        <w:t>Sigurimi i pjesëmarrjes aktive, si dhe diskutimeve rigoroze, të efektshme dhe gjithëpërfshirëse të palëve kontraktuese për efiçiencën e energjisë, burimet e ripërtëritshme, mjedisin, energjinë elektrike, gazin etj. - të ndihmuar nga Grupi Koordinues për Efiçiencë të Energjisë, Grupi Koordinues për Energji të Ripërtëritshme, Task Forca Mjedisore, Grupi Punues i ECRB-së për Energjinë Elektrike dhe Grupi Punues për Gazin si dhe Grupi Punues për Konsumatorët dhe Tregjet me Pakicë).</w:t>
      </w:r>
    </w:p>
    <w:p w14:paraId="2893F635" w14:textId="56018FE0" w:rsidR="0027589E" w:rsidRPr="00976D33" w:rsidRDefault="00ED7981" w:rsidP="0027589E">
      <w:pPr>
        <w:rPr>
          <w:rFonts w:cstheme="minorHAnsi"/>
        </w:rPr>
      </w:pPr>
      <w:r>
        <w:t>PKEK mund të përfitojë gjithashtu nga puna e Këshillit për Bashkëpunim Rajonal, duke kontribuar në realizimin e dy objektivave të mëposhtëm të rajonit tonë energjetik: (1) Marrëveshja e Parisit për Ndryshimet Klimatike për të mbajtur rritjen e temperaturës shumë më poshtë se 2</w:t>
      </w:r>
      <w:r>
        <w:rPr>
          <w:rFonts w:ascii="Cambria Math" w:hAnsi="Cambria Math"/>
        </w:rPr>
        <w:t>℃</w:t>
      </w:r>
      <w:r>
        <w:t xml:space="preserve">  të zbatuar dhe (2) caqet e politikës kornizë për energji dhe klimë 2030 të përcaktuara dhe të arritura me sukses. </w:t>
      </w:r>
    </w:p>
    <w:p w14:paraId="15F5CC46" w14:textId="7E82C8C0" w:rsidR="004E29DC" w:rsidRPr="00976D33" w:rsidRDefault="004E29DC" w:rsidP="004E29DC">
      <w:pPr>
        <w:rPr>
          <w:rFonts w:cstheme="minorHAnsi"/>
        </w:rPr>
      </w:pPr>
      <w:r>
        <w:t xml:space="preserve">Elementi i fundit kyç në sigurimin e bashkëpunimit rajonal për zhvillimin e PKEK-së konsiston në konsultimet ndërkufitare, në të cilat vendet fqinje japin komente mbi draftin e PKEK-së. </w:t>
      </w:r>
    </w:p>
    <w:p w14:paraId="2B0628D4" w14:textId="54E951D9" w:rsidR="003E5846" w:rsidRPr="00976D33" w:rsidRDefault="003E5846" w:rsidP="0027589E">
      <w:pPr>
        <w:rPr>
          <w:rFonts w:cstheme="minorHAnsi"/>
        </w:rPr>
      </w:pPr>
      <w:r>
        <w:t xml:space="preserve"> </w:t>
      </w:r>
    </w:p>
    <w:p w14:paraId="4F591217" w14:textId="77777777" w:rsidR="00CC47F0" w:rsidRPr="00976D33" w:rsidRDefault="00CC47F0" w:rsidP="00061B1B">
      <w:pPr>
        <w:rPr>
          <w:rFonts w:cstheme="minorHAnsi"/>
        </w:rPr>
      </w:pPr>
    </w:p>
    <w:p w14:paraId="2717D718" w14:textId="77777777" w:rsidR="0069102F" w:rsidRPr="00976D33" w:rsidRDefault="0069102F" w:rsidP="008C14F9">
      <w:pPr>
        <w:pStyle w:val="Heading1"/>
        <w:numPr>
          <w:ilvl w:val="0"/>
          <w:numId w:val="0"/>
        </w:numPr>
        <w:sectPr w:rsidR="0069102F" w:rsidRPr="00976D33" w:rsidSect="007E6A8A">
          <w:footnotePr>
            <w:numRestart w:val="eachSect"/>
          </w:footnotePr>
          <w:pgSz w:w="11906" w:h="16838" w:code="9"/>
          <w:pgMar w:top="1469" w:right="1022" w:bottom="1138" w:left="1310" w:header="1001" w:footer="720" w:gutter="0"/>
          <w:cols w:space="720"/>
        </w:sectPr>
      </w:pPr>
    </w:p>
    <w:p w14:paraId="15499AD3" w14:textId="77777777" w:rsidR="00CC47F0" w:rsidRPr="00976D33" w:rsidRDefault="00CC47F0" w:rsidP="005969E0">
      <w:pPr>
        <w:pStyle w:val="Heading1"/>
        <w:numPr>
          <w:ilvl w:val="0"/>
          <w:numId w:val="0"/>
        </w:numPr>
        <w:sectPr w:rsidR="00CC47F0" w:rsidRPr="00976D33" w:rsidSect="007E6A8A">
          <w:footnotePr>
            <w:numRestart w:val="eachSect"/>
          </w:footnotePr>
          <w:pgSz w:w="11906" w:h="16838" w:code="9"/>
          <w:pgMar w:top="1469" w:right="1022" w:bottom="1138" w:left="1310" w:header="1001" w:footer="720" w:gutter="0"/>
          <w:cols w:space="720"/>
        </w:sectPr>
      </w:pPr>
    </w:p>
    <w:p w14:paraId="43C53D03" w14:textId="77777777" w:rsidR="0088143A" w:rsidRPr="00976D33" w:rsidRDefault="0088143A" w:rsidP="00BD4E9E">
      <w:pPr>
        <w:pStyle w:val="Heading1"/>
        <w:rPr>
          <w:sz w:val="44"/>
          <w:szCs w:val="24"/>
        </w:rPr>
      </w:pPr>
      <w:bookmarkStart w:id="59" w:name="_Toc182302262"/>
      <w:r>
        <w:rPr>
          <w:sz w:val="44"/>
        </w:rPr>
        <w:t>OBJEKTIVAT DHE CAQET KOMBËTARE</w:t>
      </w:r>
      <w:bookmarkEnd w:id="59"/>
      <w:r>
        <w:rPr>
          <w:sz w:val="44"/>
        </w:rPr>
        <w:t xml:space="preserve"> </w:t>
      </w:r>
    </w:p>
    <w:p w14:paraId="00C263F3" w14:textId="77777777" w:rsidR="0088143A" w:rsidRPr="00976D33" w:rsidRDefault="0088143A" w:rsidP="0088143A">
      <w:pPr>
        <w:spacing w:after="143" w:line="259" w:lineRule="auto"/>
        <w:jc w:val="left"/>
      </w:pPr>
    </w:p>
    <w:p w14:paraId="3C811C2C" w14:textId="77777777" w:rsidR="009D02EF" w:rsidRPr="00976D33" w:rsidRDefault="009D02EF" w:rsidP="009D02EF">
      <w:pPr>
        <w:pStyle w:val="Heading2"/>
      </w:pPr>
      <w:bookmarkStart w:id="60" w:name="_Toc71271791"/>
      <w:bookmarkStart w:id="61" w:name="_Toc182302263"/>
      <w:r>
        <w:t>Dimensioni i dekarbonizimit</w:t>
      </w:r>
      <w:bookmarkEnd w:id="60"/>
      <w:bookmarkEnd w:id="61"/>
      <w:r>
        <w:t xml:space="preserve"> </w:t>
      </w:r>
    </w:p>
    <w:p w14:paraId="09BA540D" w14:textId="74A0EE31" w:rsidR="009D02EF" w:rsidRPr="00976D33" w:rsidRDefault="009D02EF" w:rsidP="00AF7BBF">
      <w:pPr>
        <w:pStyle w:val="Heading3"/>
        <w:numPr>
          <w:ilvl w:val="0"/>
          <w:numId w:val="110"/>
        </w:numPr>
      </w:pPr>
      <w:bookmarkStart w:id="62" w:name="_Toc71271792"/>
      <w:bookmarkStart w:id="63" w:name="_Toc182302264"/>
      <w:r>
        <w:t>Emetimet dhe largimet e GS-ve</w:t>
      </w:r>
      <w:bookmarkEnd w:id="62"/>
      <w:r>
        <w:t xml:space="preserve"> Elementet e përcaktuara në pikën (a)(1) të nenit 4</w:t>
      </w:r>
      <w:bookmarkEnd w:id="63"/>
      <w:r>
        <w:t xml:space="preserve"> </w:t>
      </w:r>
    </w:p>
    <w:p w14:paraId="4C373BA8" w14:textId="6AFF77C5" w:rsidR="009D02EF" w:rsidRPr="00976D33" w:rsidRDefault="00872BFA" w:rsidP="009D02EF">
      <w:r>
        <w:t xml:space="preserve">Caqet e </w:t>
      </w:r>
      <w:r>
        <w:rPr>
          <w:b/>
        </w:rPr>
        <w:t>GS-së në mbarë ekonominë e Kosovës</w:t>
      </w:r>
      <w:r>
        <w:t xml:space="preserve"> të miratuara nga Këshilli Ministror i Komunitetit të Energjisë për vitin 2030 në terma absolutë janë 8,95 Mt CO</w:t>
      </w:r>
      <w:r>
        <w:rPr>
          <w:vertAlign w:val="subscript"/>
        </w:rPr>
        <w:t>2</w:t>
      </w:r>
      <w:r>
        <w:t xml:space="preserve">-eq ose një reduktim prej 16.3% krahasuar me nivelet e GS-së të vitit 2016. </w:t>
      </w:r>
      <w:r w:rsidR="009D02EF" w:rsidRPr="00976D33">
        <w:fldChar w:fldCharType="begin"/>
      </w:r>
      <w:r w:rsidR="009D02EF" w:rsidRPr="00976D33">
        <w:instrText xml:space="preserve"> REF _Ref69821724 \h </w:instrText>
      </w:r>
      <w:r w:rsidR="004A7007" w:rsidRPr="00976D33">
        <w:instrText xml:space="preserve"> \* MERGEFORMAT </w:instrText>
      </w:r>
      <w:r w:rsidR="009D02EF" w:rsidRPr="00976D33">
        <w:fldChar w:fldCharType="separate"/>
      </w:r>
      <w:r w:rsidR="003B7FFA">
        <w:t>Figura 9</w:t>
      </w:r>
      <w:r w:rsidR="009D02EF" w:rsidRPr="00976D33">
        <w:fldChar w:fldCharType="end"/>
      </w:r>
      <w:r>
        <w:t xml:space="preserve"> përshkruan emetimet e GS-ve nga skenari me masat ekzistuese (WEM), skenari me masat shtesë (WAM), emetimet neto të GS-së në vitin 2016 dhe vlerën e caktuar për emetimet neto të GS-së në vitin 2030. Në të dy skenarët e paraqitur në këtë PKEK, vlerat e GS-ve për 2030 janë më të ulëta në krahasim me cakun tashmë të miratuar të GS-së. Skenari WEM ka një ulje prej 28% të emetimeve të GS-ve në vitin 2030 krahasuar me nivelin e emetimit të GS-ve në vitin 2016, ndërsa në skenarin WAM emetimet e GS-ve janë më të ulëta për 42% krahasuar me nivelin e vitit 2016.</w:t>
      </w:r>
    </w:p>
    <w:p w14:paraId="4E53D41B" w14:textId="31C9CF9A" w:rsidR="0071766D" w:rsidRPr="00976D33" w:rsidRDefault="0071766D" w:rsidP="009D02EF">
      <w:r>
        <w:t>Krahasuar me nivelin e cakut në vitin 2030, të dy skenarët e tejkalojnë cakun. Në raport me vlerën që ka qenë cak për vitin 2030, në skenarin WEM emetimet janë më të ulëta për 14% dhe në skenarin WAM janë më të ulëta për 30%. Caku mbulon emetimet neto duke përfshirë emetimet dhe largimet në sektorin LULUCF.</w:t>
      </w:r>
    </w:p>
    <w:p w14:paraId="406FB671" w14:textId="6DA62AE1" w:rsidR="00872BFA" w:rsidRPr="00976D33" w:rsidRDefault="009D02EF" w:rsidP="006E6E51">
      <w:pPr>
        <w:pStyle w:val="Caption"/>
      </w:pPr>
      <w:r>
        <w:t xml:space="preserve"> </w:t>
      </w:r>
      <w:bookmarkStart w:id="64" w:name="_Ref69821724"/>
      <w:bookmarkStart w:id="65" w:name="_Toc46216234"/>
      <w:bookmarkStart w:id="66" w:name="_Toc181867212"/>
      <w:r>
        <w:t xml:space="preserve">Figura </w:t>
      </w:r>
      <w:r w:rsidRPr="00976D33">
        <w:rPr>
          <w:b w:val="0"/>
          <w:i w:val="0"/>
        </w:rPr>
        <w:fldChar w:fldCharType="begin"/>
      </w:r>
      <w:r w:rsidRPr="00976D33">
        <w:instrText>SEQ Figure \* ARABIC</w:instrText>
      </w:r>
      <w:r w:rsidRPr="00976D33">
        <w:rPr>
          <w:b w:val="0"/>
          <w:i w:val="0"/>
        </w:rPr>
        <w:fldChar w:fldCharType="separate"/>
      </w:r>
      <w:r w:rsidR="003B7FFA">
        <w:rPr>
          <w:noProof/>
        </w:rPr>
        <w:t>9</w:t>
      </w:r>
      <w:r w:rsidRPr="00976D33">
        <w:rPr>
          <w:b w:val="0"/>
          <w:i w:val="0"/>
        </w:rPr>
        <w:fldChar w:fldCharType="end"/>
      </w:r>
      <w:bookmarkEnd w:id="64"/>
      <w:r>
        <w:t>. Caqet dhe trajektorja treguese për reduktimin e emetimeve të GS-së</w:t>
      </w:r>
      <w:bookmarkEnd w:id="65"/>
      <w:bookmarkEnd w:id="66"/>
      <w:r>
        <w:t xml:space="preserve"> </w:t>
      </w:r>
    </w:p>
    <w:p w14:paraId="6AE37252" w14:textId="183A306B" w:rsidR="00B0679C" w:rsidRPr="008C14F9" w:rsidRDefault="00B0679C" w:rsidP="009D02EF">
      <w:pPr>
        <w:pStyle w:val="BodyText"/>
        <w:rPr>
          <w:i w:val="0"/>
          <w:iCs/>
        </w:rPr>
      </w:pPr>
      <w:r>
        <w:rPr>
          <w:noProof/>
          <w:lang w:val="en-US"/>
        </w:rPr>
        <w:drawing>
          <wp:inline distT="0" distB="0" distL="0" distR="0" wp14:anchorId="63634C97" wp14:editId="21141467">
            <wp:extent cx="6079490" cy="3216275"/>
            <wp:effectExtent l="0" t="0" r="0" b="0"/>
            <wp:docPr id="687292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79490" cy="3216275"/>
                    </a:xfrm>
                    <a:prstGeom prst="rect">
                      <a:avLst/>
                    </a:prstGeom>
                    <a:noFill/>
                    <a:ln>
                      <a:noFill/>
                    </a:ln>
                  </pic:spPr>
                </pic:pic>
              </a:graphicData>
            </a:graphic>
          </wp:inline>
        </w:drawing>
      </w:r>
    </w:p>
    <w:p w14:paraId="18B6E5FE" w14:textId="1D6FF3AA" w:rsidR="009D02EF" w:rsidRPr="00976D33" w:rsidRDefault="009D02EF" w:rsidP="009D02EF">
      <w:pPr>
        <w:pStyle w:val="BodyText"/>
      </w:pPr>
      <w:r>
        <w:t xml:space="preserve">Burimi: Rezultatet nga modelimi </w:t>
      </w:r>
    </w:p>
    <w:p w14:paraId="4C3CCECA" w14:textId="3357EC31" w:rsidR="00DA03E9" w:rsidRPr="00976D33" w:rsidRDefault="00DA03E9" w:rsidP="00683D94">
      <w:r>
        <w:t>Emetimet në WEM dhe WAM, të cilat bien nën nivelet e përcaktuara nga EnC, janë planifikuar të arrihen vetëm nëpërmjet masave specifike të sektorit të përshkruara në Kapitullin 3. Kjo tregon se Kosova, përveç caqeve të ekonomisë për vitin 2030 për GHG, mund të arrijë edhe reduktim të emetimeve sipas sektorëve të veçantë. Këto reduktime sektoriale janë indikative dhe paraqiten në mënyrë me dy nivele, duke shërbyer për të ndjekur progresin drejt objektivit të përgjithshëm të GS-së në mbarë ekonominë e PKEK dhe nëse Kosova është në rrugën e duhur për të arritur caqet për WAM dhe/ose skenarin WEM. Rrjedhimisht, Kosova mund të synojë të arrijë objektivat e reduktimit të emetimeve të GS-së për secilin sektor në mënyrë të pavarur, kështu që emetimi i GS-së në vitin 2030 për secilin sektor parashikohet të arrijë në:</w:t>
      </w:r>
    </w:p>
    <w:p w14:paraId="7FED0E00" w14:textId="0A1FA25A" w:rsidR="00683D94" w:rsidRPr="00976D33" w:rsidRDefault="00683D94" w:rsidP="00AF7BBF">
      <w:pPr>
        <w:pStyle w:val="ListParagraph"/>
        <w:numPr>
          <w:ilvl w:val="0"/>
          <w:numId w:val="88"/>
        </w:numPr>
      </w:pPr>
      <w:r>
        <w:lastRenderedPageBreak/>
        <w:t>Sektorët e furnizimit me energji dhe transformimit të energjisë: 4.16 MtCO</w:t>
      </w:r>
      <w:r>
        <w:rPr>
          <w:vertAlign w:val="subscript"/>
        </w:rPr>
        <w:t>2</w:t>
      </w:r>
      <w:r>
        <w:t>-eq (WEM); 3.47 MtCO</w:t>
      </w:r>
      <w:r>
        <w:rPr>
          <w:vertAlign w:val="subscript"/>
        </w:rPr>
        <w:t>2</w:t>
      </w:r>
      <w:r>
        <w:t xml:space="preserve">-eq (WAM); </w:t>
      </w:r>
    </w:p>
    <w:p w14:paraId="443F2424" w14:textId="16F3FE62" w:rsidR="00683D94" w:rsidRPr="00976D33" w:rsidRDefault="00683D94" w:rsidP="00AF7BBF">
      <w:pPr>
        <w:pStyle w:val="ListParagraph"/>
        <w:numPr>
          <w:ilvl w:val="0"/>
          <w:numId w:val="88"/>
        </w:numPr>
      </w:pPr>
      <w:r>
        <w:t>Sektori i industrisë (emetimet e ndërlidhura me energjinë): 0.86 MtCO</w:t>
      </w:r>
      <w:r>
        <w:rPr>
          <w:vertAlign w:val="subscript"/>
        </w:rPr>
        <w:t>2</w:t>
      </w:r>
      <w:r>
        <w:t>-eq (WEM); 0.86 MtCO</w:t>
      </w:r>
      <w:r>
        <w:rPr>
          <w:vertAlign w:val="subscript"/>
        </w:rPr>
        <w:t>2</w:t>
      </w:r>
      <w:r>
        <w:t xml:space="preserve">-eq (WAM); </w:t>
      </w:r>
    </w:p>
    <w:p w14:paraId="455A4295" w14:textId="6555AF22" w:rsidR="00683D94" w:rsidRPr="00976D33" w:rsidRDefault="00683D94" w:rsidP="00AF7BBF">
      <w:pPr>
        <w:pStyle w:val="ListParagraph"/>
        <w:numPr>
          <w:ilvl w:val="0"/>
          <w:numId w:val="88"/>
        </w:numPr>
      </w:pPr>
      <w:r>
        <w:t>Sektori i mbeturinave (emetimet e ndërlidhura me energjinë): 1.82 MtCO</w:t>
      </w:r>
      <w:r>
        <w:rPr>
          <w:vertAlign w:val="subscript"/>
        </w:rPr>
        <w:t>2</w:t>
      </w:r>
      <w:r>
        <w:t>-eq (WEM); 1.76 MtCO</w:t>
      </w:r>
      <w:r>
        <w:rPr>
          <w:vertAlign w:val="subscript"/>
        </w:rPr>
        <w:t>2</w:t>
      </w:r>
      <w:r>
        <w:t>-eq (WAM);</w:t>
      </w:r>
    </w:p>
    <w:p w14:paraId="32B92F3D" w14:textId="5E37528F" w:rsidR="00683D94" w:rsidRPr="00976D33" w:rsidRDefault="00683D94" w:rsidP="00AF7BBF">
      <w:pPr>
        <w:pStyle w:val="ListParagraph"/>
        <w:numPr>
          <w:ilvl w:val="0"/>
          <w:numId w:val="88"/>
        </w:numPr>
      </w:pPr>
      <w:r>
        <w:t>Sektori rezidencial (emetimet e ndërlidhura me energjinë): 0.05 MtCO</w:t>
      </w:r>
      <w:r>
        <w:rPr>
          <w:vertAlign w:val="subscript"/>
        </w:rPr>
        <w:t>2</w:t>
      </w:r>
      <w:r>
        <w:t>-eq (WEM); 0.05 MtCO</w:t>
      </w:r>
      <w:r>
        <w:rPr>
          <w:vertAlign w:val="subscript"/>
        </w:rPr>
        <w:t>2</w:t>
      </w:r>
      <w:r>
        <w:t>-eq (WAM);</w:t>
      </w:r>
    </w:p>
    <w:p w14:paraId="0555FA3A" w14:textId="0B672832" w:rsidR="00683D94" w:rsidRPr="00976D33" w:rsidRDefault="00683D94" w:rsidP="00AF7BBF">
      <w:pPr>
        <w:pStyle w:val="ListParagraph"/>
        <w:numPr>
          <w:ilvl w:val="0"/>
          <w:numId w:val="88"/>
        </w:numPr>
      </w:pPr>
      <w:r>
        <w:t>Sektori i shërbimeve (emetimet e ndërlidhura me energjinë): 0.14 MtCO</w:t>
      </w:r>
      <w:r>
        <w:rPr>
          <w:vertAlign w:val="subscript"/>
        </w:rPr>
        <w:t>2</w:t>
      </w:r>
      <w:r>
        <w:t>-eq (WEM); 0.12 MtCO</w:t>
      </w:r>
      <w:r>
        <w:rPr>
          <w:vertAlign w:val="subscript"/>
        </w:rPr>
        <w:t>2</w:t>
      </w:r>
      <w:r>
        <w:t>-eq (WAM);</w:t>
      </w:r>
    </w:p>
    <w:p w14:paraId="4E6D25FD" w14:textId="0F7DBD64" w:rsidR="00683D94" w:rsidRPr="00976D33" w:rsidRDefault="00683D94" w:rsidP="00AF7BBF">
      <w:pPr>
        <w:pStyle w:val="ListParagraph"/>
        <w:numPr>
          <w:ilvl w:val="0"/>
          <w:numId w:val="88"/>
        </w:numPr>
      </w:pPr>
      <w:r>
        <w:t>Sektori bujqësisë dhe pylltarisë (emetimet e ndërlidhura me energjinë): 0.09 MtCO</w:t>
      </w:r>
      <w:r>
        <w:rPr>
          <w:vertAlign w:val="subscript"/>
        </w:rPr>
        <w:t>2</w:t>
      </w:r>
      <w:r>
        <w:t>-eq (WEM); 0.09 MtCO</w:t>
      </w:r>
      <w:r>
        <w:rPr>
          <w:vertAlign w:val="subscript"/>
        </w:rPr>
        <w:t>2</w:t>
      </w:r>
      <w:r>
        <w:t>-eq (WAM);</w:t>
      </w:r>
    </w:p>
    <w:p w14:paraId="4C57271D" w14:textId="65D753C8" w:rsidR="00683D94" w:rsidRPr="00976D33" w:rsidRDefault="00683D94" w:rsidP="00AF7BBF">
      <w:pPr>
        <w:pStyle w:val="ListParagraph"/>
        <w:numPr>
          <w:ilvl w:val="0"/>
          <w:numId w:val="88"/>
        </w:numPr>
      </w:pPr>
      <w:r>
        <w:t>Sektorët e bujqësisë, pyjeve dhe përdorimit tjetër të tokës (BPPTT, emetimet që nuk ndërlidhen me energjinë): -0.28 MtCO</w:t>
      </w:r>
      <w:r>
        <w:rPr>
          <w:vertAlign w:val="subscript"/>
        </w:rPr>
        <w:t>2</w:t>
      </w:r>
      <w:r>
        <w:t>-eq (WEM); -0.99 MtCO</w:t>
      </w:r>
      <w:r>
        <w:rPr>
          <w:vertAlign w:val="subscript"/>
        </w:rPr>
        <w:t>2</w:t>
      </w:r>
      <w:r>
        <w:t>-eq (WAM);</w:t>
      </w:r>
    </w:p>
    <w:p w14:paraId="468452F6" w14:textId="27CA7119" w:rsidR="00683D94" w:rsidRPr="00976D33" w:rsidRDefault="00683D94" w:rsidP="00AF7BBF">
      <w:pPr>
        <w:pStyle w:val="ListParagraph"/>
        <w:numPr>
          <w:ilvl w:val="0"/>
          <w:numId w:val="88"/>
        </w:numPr>
      </w:pPr>
      <w:r>
        <w:t>Sektori i mbeturinave (emetimet e ndërlidhura me energjinë): 0.63 MtCO</w:t>
      </w:r>
      <w:r>
        <w:rPr>
          <w:vertAlign w:val="subscript"/>
        </w:rPr>
        <w:t>2</w:t>
      </w:r>
      <w:r>
        <w:t>-eq (WEM); 0.61 MtCO</w:t>
      </w:r>
      <w:r>
        <w:rPr>
          <w:vertAlign w:val="subscript"/>
        </w:rPr>
        <w:t>2</w:t>
      </w:r>
      <w:r>
        <w:t>-eq (WAM);</w:t>
      </w:r>
    </w:p>
    <w:p w14:paraId="5D6F6F86" w14:textId="33BDA5F1" w:rsidR="00683D94" w:rsidRPr="00976D33" w:rsidRDefault="00683D94" w:rsidP="00AF7BBF">
      <w:pPr>
        <w:pStyle w:val="ListParagraph"/>
        <w:numPr>
          <w:ilvl w:val="0"/>
          <w:numId w:val="88"/>
        </w:numPr>
      </w:pPr>
      <w:r>
        <w:t>Proceset industriale dhe përdorimi i produkteve (IPPU, emetimet që nuk ndërlidhen me energjinë): 0.21 MtCO</w:t>
      </w:r>
      <w:r>
        <w:rPr>
          <w:vertAlign w:val="subscript"/>
        </w:rPr>
        <w:t>2</w:t>
      </w:r>
      <w:r>
        <w:t>-eq (WEM); 0.21 MtCO</w:t>
      </w:r>
      <w:r>
        <w:rPr>
          <w:vertAlign w:val="subscript"/>
        </w:rPr>
        <w:t>2</w:t>
      </w:r>
      <w:r>
        <w:t>-eq (WAM);</w:t>
      </w:r>
    </w:p>
    <w:p w14:paraId="3C7A280B" w14:textId="77777777" w:rsidR="008D14B0" w:rsidRPr="00976D33" w:rsidRDefault="008D14B0" w:rsidP="009D02EF"/>
    <w:p w14:paraId="52B53333" w14:textId="0A59046C" w:rsidR="009D02EF" w:rsidRPr="00976D33" w:rsidRDefault="009D02EF" w:rsidP="0069102F">
      <w:pPr>
        <w:pStyle w:val="Heading4"/>
      </w:pPr>
      <w:r>
        <w:t>Kur është e aplikueshme, objektiva dhe caq</w:t>
      </w:r>
      <w:r w:rsidR="0037748E">
        <w:t>et e tjera</w:t>
      </w:r>
      <w:r>
        <w:t xml:space="preserve"> kombëtare në përputhje me Marrëveshjen e Parisit dhe strategjitë ekzistuese afatgjata. Kur është e aplikueshme për kontributin ndaj angazhimit të përgjithshëm të palëve kontraktuese për reduktimin e emetimeve të GS-ve, objektiva dhe caqe tjera, duke përfshirë caqet e sektorit dhe objektivat e përshtatjes, nëse janë në dispozicion </w:t>
      </w:r>
    </w:p>
    <w:p w14:paraId="2F5B2F2B" w14:textId="16D7CC02" w:rsidR="00656D32" w:rsidRPr="00976D33" w:rsidRDefault="00F65906" w:rsidP="005B5409">
      <w:r>
        <w:t>Kosova nuk është palë nënshkruese e Konventës Kornizë të Kombeve të Bashkuara për Ndryshimet Klimatike (UNFCCC) dhe nuk  është as palë e Marrëveshjes së Parisit. Strategjia Afatgjatë e Dekarbonizimit është në zhvillim e sipër, por nuk është miratuar ende. Megjithatë, siç u përmend në seksionin e mëparshëm, më 15 dhjetor 2022, Këshilli Ministror i Komunitetit të Energjisë miratoi Vendimin 2022/02/MC-EnC, ku përcaktohen caqet e palëve kontraktuese për energji dhe klimë në vitin 2030. Në rastin e Kosovës, caku për emetimet neto të GS-së në vitin 2030 është -16.3% në raport me emetimet e GS-së në vitin 2016, ose në vlerë absolute, emetimet në vitin 2030 duhet të jenë 8.95 Mt CO</w:t>
      </w:r>
      <w:r>
        <w:rPr>
          <w:vertAlign w:val="subscript"/>
        </w:rPr>
        <w:t>2</w:t>
      </w:r>
      <w:r>
        <w:t xml:space="preserve">-eq.  Në janar 2024, është miratuar për herë të parë Ligji për Ndryshimet Klimatike, duke përcaktuar detyrat dhe përgjegjësitë e autoriteteve shtetërore në zbutjen e efekteve të ndryshimeve klimatike, koordinimin dhe monitorimin e rezultateve të tyre dhe përmbushjen e detyrimeve të përcaktuara në marrëveshjet ndërkombëtare të detyrueshme për Kosovën.  Ligji për Ndryshimet Klimatike krijon kornizën ligjore për PKEK. Ai përcakton bazën ligjore për zhvillimin e kontributeve vullnetare të përcaktuara në nivel kombëtar (KPK). Me kalimin e viteve, është arritur progres në zhvillimin e inventarit të gazrave serrë (GS) dhe në miratimin e </w:t>
      </w:r>
      <w:hyperlink r:id="rId47">
        <w:r>
          <w:t>Strategjisë për Ndryshimet Klimatike 2018-2027 dhe Planit të Veprimit për Ndryshimet Klimatike, 2019-2021</w:t>
        </w:r>
      </w:hyperlink>
      <w:r>
        <w:t xml:space="preserve">. </w:t>
      </w:r>
    </w:p>
    <w:p w14:paraId="5D7A7AAD" w14:textId="0A117B2D" w:rsidR="0045697B" w:rsidRPr="00976D33" w:rsidRDefault="0045697B" w:rsidP="009D02EF">
      <w:r>
        <w:t xml:space="preserve">Ndonëse nuk është palë nënshkruese e Marrëveshjes së Parisit, Kosova i është bashkuar angazhimeve ndërkombëtare ku cak është kufizimi i ngrohjes globale në 1.5°C. Si anëtare e Aleancës për Fuqizim të Largimit nga Thëngjilli, Kosova është zotuar të mos zhvillojë asnjë termocentral të ri me qymyr dhe të heqë gradualisht nga përdorimi termocentralet ekzistuese me qymyr. </w:t>
      </w:r>
      <w:r>
        <w:br/>
        <w:t>Pasi i është bashkuar gjithashtu Angazhimi Global për Metanin, Kosova është e përkushtuar të reduktojë nivelet e emetimit të metanit për të paktën 30% në të gjithë sektorët në krahasim me vitin 2020. Sipas projeksioneve të përshkruara në këtë PKEK, Kosova ende nuk përmbush caqet e vendosura nga Angazhimi Global për Metanin. Në skenarin WAM, emetimet e metanit pritet të ulen për 13% deri në vitin 2030 krahasuar me vitin 2021.</w:t>
      </w:r>
      <w:r w:rsidR="00786443" w:rsidRPr="008C14F9">
        <w:rPr>
          <w:rStyle w:val="FootnoteReference"/>
        </w:rPr>
        <w:footnoteReference w:id="3"/>
      </w:r>
      <w:r>
        <w:t xml:space="preserve"> Politikat shtesë për të reduktuar emetimet e metanit do të propozohen në përditësimin e ardhshëm të PKEK-së për të arritur caqet e Angazhimit Global për Metanin.</w:t>
      </w:r>
    </w:p>
    <w:p w14:paraId="43827269" w14:textId="77777777" w:rsidR="009D02EF" w:rsidRPr="00976D33" w:rsidRDefault="009D02EF" w:rsidP="00AF7BBF">
      <w:pPr>
        <w:pStyle w:val="Heading3"/>
        <w:numPr>
          <w:ilvl w:val="0"/>
          <w:numId w:val="2"/>
        </w:numPr>
        <w:ind w:left="720"/>
      </w:pPr>
      <w:bookmarkStart w:id="67" w:name="_Toc71271793"/>
      <w:bookmarkStart w:id="68" w:name="_Toc182302265"/>
      <w:r>
        <w:lastRenderedPageBreak/>
        <w:t>Energjia e ripërtëritshme</w:t>
      </w:r>
      <w:bookmarkEnd w:id="67"/>
      <w:bookmarkEnd w:id="68"/>
    </w:p>
    <w:p w14:paraId="7E6C0334" w14:textId="77777777" w:rsidR="009D02EF" w:rsidRPr="00976D33" w:rsidRDefault="009D02EF" w:rsidP="00AF7BBF">
      <w:pPr>
        <w:pStyle w:val="Heading4"/>
        <w:numPr>
          <w:ilvl w:val="0"/>
          <w:numId w:val="5"/>
        </w:numPr>
      </w:pPr>
      <w:r>
        <w:t xml:space="preserve">Elementet e përcaktuara në pikën (a)(2) të nenit 4 </w:t>
      </w:r>
    </w:p>
    <w:p w14:paraId="10C3D2A9" w14:textId="4C60B723" w:rsidR="009D02EF" w:rsidRDefault="00ED763C" w:rsidP="005969E0">
      <w:r>
        <w:rPr>
          <w:color w:val="000000"/>
        </w:rPr>
        <w:t xml:space="preserve">Në të njëjtin Vendim 2022/02/MC-EnC të Këshillit Ministror të Komunitetit të Energjisë, pjesa e BRE-ve në bruto konsumin final të energjisë është përcaktuar për secilën palë kontraktuese. </w:t>
      </w:r>
      <w:r>
        <w:rPr>
          <w:b/>
          <w:bCs/>
          <w:color w:val="000000"/>
        </w:rPr>
        <w:t>Caku</w:t>
      </w:r>
      <w:r>
        <w:rPr>
          <w:color w:val="000000"/>
        </w:rPr>
        <w:t xml:space="preserve"> për Kosovën është vendosur në 32% në vitin 2030. Pjesëmarrja e synuar e BRE-ve në skenarin WAM do të arrihet në vitin 2030, 35.2% (</w:t>
      </w:r>
      <w:r w:rsidR="005969E0" w:rsidRPr="008C14F9">
        <w:rPr>
          <w:rFonts w:cstheme="minorHAnsi"/>
          <w:color w:val="000000"/>
        </w:rPr>
        <w:fldChar w:fldCharType="begin"/>
      </w:r>
      <w:r w:rsidR="005969E0" w:rsidRPr="008C14F9">
        <w:rPr>
          <w:rFonts w:cstheme="minorHAnsi"/>
          <w:color w:val="000000"/>
        </w:rPr>
        <w:instrText xml:space="preserve"> REF _Ref170214643 \h </w:instrText>
      </w:r>
      <w:r w:rsidR="008C14F9">
        <w:rPr>
          <w:rFonts w:cstheme="minorHAnsi"/>
          <w:color w:val="000000"/>
        </w:rPr>
        <w:instrText xml:space="preserve"> \* MERGEFORMAT </w:instrText>
      </w:r>
      <w:r w:rsidR="005969E0" w:rsidRPr="008C14F9">
        <w:rPr>
          <w:rFonts w:cstheme="minorHAnsi"/>
          <w:color w:val="000000"/>
        </w:rPr>
      </w:r>
      <w:r w:rsidR="005969E0" w:rsidRPr="008C14F9">
        <w:rPr>
          <w:rFonts w:cstheme="minorHAnsi"/>
          <w:color w:val="000000"/>
        </w:rPr>
        <w:fldChar w:fldCharType="separate"/>
      </w:r>
      <w:r w:rsidR="003B7FFA">
        <w:t>Figura 10</w:t>
      </w:r>
      <w:r w:rsidR="005969E0" w:rsidRPr="008C14F9">
        <w:rPr>
          <w:rFonts w:cstheme="minorHAnsi"/>
          <w:color w:val="000000"/>
        </w:rPr>
        <w:fldChar w:fldCharType="end"/>
      </w:r>
      <w:r>
        <w:t xml:space="preserve">). </w:t>
      </w:r>
    </w:p>
    <w:p w14:paraId="12CDAEF5" w14:textId="5BAF1163" w:rsidR="00913758" w:rsidRPr="00976D33" w:rsidRDefault="00913758" w:rsidP="005969E0">
      <w:bookmarkStart w:id="69" w:name="_Ref69822537"/>
    </w:p>
    <w:p w14:paraId="43755F1B" w14:textId="265B19F1" w:rsidR="009D02EF" w:rsidRPr="00976D33" w:rsidRDefault="009D02EF" w:rsidP="009D02EF">
      <w:pPr>
        <w:pStyle w:val="Caption"/>
      </w:pPr>
      <w:bookmarkStart w:id="70" w:name="_Ref170214643"/>
      <w:bookmarkStart w:id="71" w:name="_Toc181867213"/>
      <w:r>
        <w:t xml:space="preserve">Figura </w:t>
      </w:r>
      <w:r w:rsidRPr="00976D33">
        <w:fldChar w:fldCharType="begin"/>
      </w:r>
      <w:r w:rsidRPr="00976D33">
        <w:instrText>SEQ Figure \* ARABIC</w:instrText>
      </w:r>
      <w:r w:rsidRPr="00976D33">
        <w:fldChar w:fldCharType="separate"/>
      </w:r>
      <w:r w:rsidR="003B7FFA">
        <w:rPr>
          <w:noProof/>
        </w:rPr>
        <w:t>10</w:t>
      </w:r>
      <w:r w:rsidRPr="00976D33">
        <w:fldChar w:fldCharType="end"/>
      </w:r>
      <w:bookmarkEnd w:id="69"/>
      <w:bookmarkEnd w:id="70"/>
      <w:r>
        <w:t>. Pjesëmarrja e BRE-ve në bruto konsumin final të energjisë në periudhën 2021-2040 (skenari WAM)</w:t>
      </w:r>
      <w:bookmarkEnd w:id="71"/>
      <w:r>
        <w:t xml:space="preserve">  </w:t>
      </w:r>
    </w:p>
    <w:p w14:paraId="73494630" w14:textId="1E28745A" w:rsidR="00D16925" w:rsidRDefault="00D13E6E" w:rsidP="009D02EF">
      <w:pPr>
        <w:rPr>
          <w:rStyle w:val="fontstyle01"/>
          <w:rFonts w:asciiTheme="minorHAnsi" w:hAnsiTheme="minorHAnsi"/>
          <w:sz w:val="22"/>
          <w:szCs w:val="22"/>
        </w:rPr>
      </w:pPr>
      <w:r>
        <w:rPr>
          <w:rStyle w:val="fontstyle01"/>
          <w:rFonts w:ascii="Arial" w:hAnsi="Arial"/>
          <w:noProof/>
          <w:color w:val="0F0D29" w:themeColor="text1"/>
          <w:sz w:val="20"/>
          <w:lang w:val="en-US"/>
        </w:rPr>
        <w:drawing>
          <wp:inline distT="0" distB="0" distL="0" distR="0" wp14:anchorId="3149820D" wp14:editId="471894D0">
            <wp:extent cx="6079490" cy="2455545"/>
            <wp:effectExtent l="0" t="0" r="0" b="0"/>
            <wp:docPr id="12698374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79490" cy="2455545"/>
                    </a:xfrm>
                    <a:prstGeom prst="rect">
                      <a:avLst/>
                    </a:prstGeom>
                    <a:noFill/>
                    <a:ln>
                      <a:noFill/>
                    </a:ln>
                  </pic:spPr>
                </pic:pic>
              </a:graphicData>
            </a:graphic>
          </wp:inline>
        </w:drawing>
      </w:r>
    </w:p>
    <w:p w14:paraId="5D168E7B" w14:textId="77777777" w:rsidR="00D46231" w:rsidRPr="00976D33" w:rsidRDefault="00D46231" w:rsidP="00D46231">
      <w:pPr>
        <w:pStyle w:val="BodyText"/>
      </w:pPr>
      <w:r>
        <w:t xml:space="preserve">Burimi: Rezultatet nga modelimi </w:t>
      </w:r>
    </w:p>
    <w:p w14:paraId="4564E604" w14:textId="77777777" w:rsidR="00D46231" w:rsidRPr="00976D33" w:rsidRDefault="00D46231" w:rsidP="009D02EF">
      <w:pPr>
        <w:rPr>
          <w:rStyle w:val="fontstyle01"/>
          <w:rFonts w:asciiTheme="minorHAnsi" w:hAnsiTheme="minorHAnsi"/>
          <w:sz w:val="22"/>
          <w:szCs w:val="22"/>
        </w:rPr>
      </w:pPr>
    </w:p>
    <w:p w14:paraId="4AD8FF6B" w14:textId="77777777" w:rsidR="009D02EF" w:rsidRPr="00976D33" w:rsidRDefault="009D02EF" w:rsidP="0069102F">
      <w:pPr>
        <w:pStyle w:val="Heading4"/>
      </w:pPr>
      <w:r>
        <w:t xml:space="preserve">Trajektoret e vlerësuar për pjesën sektoriale të energjisë së ripërtëritshme në konsumin final të energjisë nga viti 2021 deri në vitin 2030 në sektorin e energjisë elektrike, ngrohjes dhe ftohjes, dhe transportit </w:t>
      </w:r>
    </w:p>
    <w:p w14:paraId="784F2A5E" w14:textId="77777777" w:rsidR="003B7FFA" w:rsidRPr="003B7FFA" w:rsidRDefault="004A11DD" w:rsidP="003B7FFA">
      <w:pPr>
        <w:rPr>
          <w:rFonts w:asciiTheme="majorHAnsi" w:hAnsiTheme="majorHAnsi" w:cstheme="majorHAnsi"/>
        </w:rPr>
      </w:pPr>
      <w:r>
        <w:rPr>
          <w:rStyle w:val="fontstyle01"/>
          <w:rFonts w:asciiTheme="majorHAnsi" w:hAnsiTheme="majorHAnsi"/>
          <w:sz w:val="20"/>
        </w:rPr>
        <w:t>Në vitin 2030, pjesët sektoriale të BRE-ve në bruto konsumin final të energjisë parashikohen të arrijnë vlerat e mëposhtme për të përmbushur cakun e përgjithshëm për pjesën e BRE-ve në bruto konsumin final (</w:t>
      </w:r>
      <w:r w:rsidR="009D02EF" w:rsidRPr="00976D33">
        <w:rPr>
          <w:rStyle w:val="fontstyle01"/>
          <w:rFonts w:asciiTheme="majorHAnsi" w:hAnsiTheme="majorHAnsi" w:cstheme="majorHAnsi"/>
          <w:sz w:val="20"/>
        </w:rPr>
        <w:fldChar w:fldCharType="begin"/>
      </w:r>
      <w:r w:rsidR="009D02EF" w:rsidRPr="00976D33">
        <w:rPr>
          <w:rStyle w:val="fontstyle01"/>
          <w:rFonts w:asciiTheme="majorHAnsi" w:hAnsiTheme="majorHAnsi" w:cstheme="majorHAnsi"/>
          <w:sz w:val="20"/>
        </w:rPr>
        <w:instrText xml:space="preserve"> REF _Ref69823118 \h </w:instrText>
      </w:r>
      <w:r w:rsidR="0090649D" w:rsidRPr="00976D33">
        <w:rPr>
          <w:rStyle w:val="fontstyle01"/>
          <w:rFonts w:asciiTheme="majorHAnsi" w:hAnsiTheme="majorHAnsi" w:cstheme="majorHAnsi"/>
          <w:sz w:val="20"/>
        </w:rPr>
        <w:instrText xml:space="preserve"> \* MERGEFORMAT </w:instrText>
      </w:r>
      <w:r w:rsidR="009D02EF" w:rsidRPr="00976D33">
        <w:rPr>
          <w:rStyle w:val="fontstyle01"/>
          <w:rFonts w:asciiTheme="majorHAnsi" w:hAnsiTheme="majorHAnsi" w:cstheme="majorHAnsi"/>
          <w:sz w:val="20"/>
        </w:rPr>
      </w:r>
      <w:r w:rsidR="009D02EF" w:rsidRPr="00976D33">
        <w:rPr>
          <w:rStyle w:val="fontstyle01"/>
          <w:rFonts w:asciiTheme="majorHAnsi" w:hAnsiTheme="majorHAnsi" w:cstheme="majorHAnsi"/>
          <w:sz w:val="20"/>
        </w:rPr>
        <w:fldChar w:fldCharType="separate"/>
      </w:r>
    </w:p>
    <w:p w14:paraId="101959DA" w14:textId="77777777" w:rsidR="003B7FFA" w:rsidRPr="003B7FFA" w:rsidRDefault="003B7FFA" w:rsidP="003B7FFA">
      <w:pPr>
        <w:rPr>
          <w:rFonts w:asciiTheme="majorHAnsi" w:hAnsiTheme="majorHAnsi" w:cstheme="majorHAnsi"/>
        </w:rPr>
      </w:pPr>
    </w:p>
    <w:p w14:paraId="3798C3DB" w14:textId="77777777" w:rsidR="003B7FFA" w:rsidRPr="003B7FFA" w:rsidRDefault="003B7FFA" w:rsidP="003B7FFA">
      <w:pPr>
        <w:rPr>
          <w:rFonts w:asciiTheme="majorHAnsi" w:hAnsiTheme="majorHAnsi" w:cstheme="majorHAnsi"/>
        </w:rPr>
      </w:pPr>
    </w:p>
    <w:p w14:paraId="7A9E8338" w14:textId="77777777" w:rsidR="003B7FFA" w:rsidRDefault="003B7FFA" w:rsidP="00546B74">
      <w:pPr>
        <w:pStyle w:val="Caption"/>
      </w:pPr>
    </w:p>
    <w:p w14:paraId="2E1CF34E" w14:textId="77777777" w:rsidR="003B7FFA" w:rsidRDefault="003B7FFA" w:rsidP="00546B74">
      <w:pPr>
        <w:pStyle w:val="Caption"/>
      </w:pPr>
    </w:p>
    <w:p w14:paraId="27AEC9D5" w14:textId="77777777" w:rsidR="003B7FFA" w:rsidRDefault="003B7FFA" w:rsidP="00546B74">
      <w:pPr>
        <w:pStyle w:val="Caption"/>
      </w:pPr>
    </w:p>
    <w:p w14:paraId="7781C9B1" w14:textId="77777777" w:rsidR="003B7FFA" w:rsidRDefault="003B7FFA" w:rsidP="00546B74">
      <w:pPr>
        <w:pStyle w:val="Caption"/>
      </w:pPr>
    </w:p>
    <w:p w14:paraId="01CB8F28" w14:textId="70E2C5AE" w:rsidR="009D02EF" w:rsidRPr="00976D33" w:rsidRDefault="003B7FFA" w:rsidP="009D02EF">
      <w:pPr>
        <w:rPr>
          <w:rStyle w:val="fontstyle01"/>
          <w:rFonts w:asciiTheme="majorHAnsi" w:hAnsiTheme="majorHAnsi" w:cstheme="majorHAnsi"/>
          <w:sz w:val="20"/>
          <w:szCs w:val="20"/>
        </w:rPr>
      </w:pPr>
      <w:r>
        <w:t xml:space="preserve">Figura </w:t>
      </w:r>
      <w:r>
        <w:rPr>
          <w:noProof/>
        </w:rPr>
        <w:t>11</w:t>
      </w:r>
      <w:r w:rsidR="009D02EF" w:rsidRPr="00976D33">
        <w:rPr>
          <w:rStyle w:val="fontstyle01"/>
          <w:rFonts w:asciiTheme="majorHAnsi" w:hAnsiTheme="majorHAnsi" w:cstheme="majorHAnsi"/>
          <w:sz w:val="20"/>
        </w:rPr>
        <w:fldChar w:fldCharType="end"/>
      </w:r>
      <w:r w:rsidR="004A11DD">
        <w:rPr>
          <w:rStyle w:val="fontstyle01"/>
          <w:rFonts w:asciiTheme="majorHAnsi" w:hAnsiTheme="majorHAnsi"/>
          <w:sz w:val="20"/>
        </w:rPr>
        <w:t>):</w:t>
      </w:r>
    </w:p>
    <w:p w14:paraId="3B49F8F2" w14:textId="130EFF7E" w:rsidR="00185674" w:rsidRPr="005902E8" w:rsidRDefault="00D13E6E" w:rsidP="00185674">
      <w:pPr>
        <w:pStyle w:val="ListParagraph"/>
        <w:rPr>
          <w:rStyle w:val="fontstyle01"/>
          <w:rFonts w:asciiTheme="majorHAnsi" w:hAnsiTheme="majorHAnsi" w:cstheme="majorHAnsi"/>
          <w:sz w:val="20"/>
          <w:szCs w:val="20"/>
        </w:rPr>
      </w:pPr>
      <w:r>
        <w:rPr>
          <w:rStyle w:val="fontstyle01"/>
          <w:rFonts w:asciiTheme="majorHAnsi" w:hAnsiTheme="majorHAnsi"/>
          <w:sz w:val="20"/>
        </w:rPr>
        <w:t>51% në energji elektrike,</w:t>
      </w:r>
    </w:p>
    <w:p w14:paraId="793F987E" w14:textId="698DF2FD" w:rsidR="009D02EF" w:rsidRPr="005902E8" w:rsidRDefault="00D13E6E" w:rsidP="009D02EF">
      <w:pPr>
        <w:pStyle w:val="ListParagraph"/>
        <w:rPr>
          <w:rStyle w:val="fontstyle01"/>
          <w:rFonts w:asciiTheme="majorHAnsi" w:hAnsiTheme="majorHAnsi" w:cstheme="majorHAnsi"/>
          <w:sz w:val="20"/>
          <w:szCs w:val="20"/>
        </w:rPr>
      </w:pPr>
      <w:r>
        <w:rPr>
          <w:rStyle w:val="fontstyle01"/>
          <w:rFonts w:asciiTheme="majorHAnsi" w:hAnsiTheme="majorHAnsi"/>
          <w:sz w:val="20"/>
        </w:rPr>
        <w:t>50.5% në ngrohje dhe ftohje,</w:t>
      </w:r>
    </w:p>
    <w:p w14:paraId="62A52B13" w14:textId="48490C91" w:rsidR="009D02EF" w:rsidRPr="005902E8" w:rsidRDefault="00E15FD3" w:rsidP="006E6E51">
      <w:pPr>
        <w:pStyle w:val="ListParagraph"/>
        <w:rPr>
          <w:rStyle w:val="fontstyle01"/>
          <w:rFonts w:asciiTheme="majorHAnsi" w:hAnsiTheme="majorHAnsi" w:cstheme="majorHAnsi"/>
          <w:sz w:val="22"/>
        </w:rPr>
      </w:pPr>
      <w:r>
        <w:rPr>
          <w:rStyle w:val="fontstyle01"/>
          <w:rFonts w:asciiTheme="majorHAnsi" w:hAnsiTheme="majorHAnsi"/>
          <w:sz w:val="20"/>
        </w:rPr>
        <w:t xml:space="preserve">3.6% në transport. </w:t>
      </w:r>
    </w:p>
    <w:p w14:paraId="05D3ED8B" w14:textId="77777777" w:rsidR="00FE486A" w:rsidRDefault="00FE486A" w:rsidP="00546B74">
      <w:pPr>
        <w:pStyle w:val="Caption"/>
      </w:pPr>
      <w:bookmarkStart w:id="72" w:name="_Ref69823118"/>
      <w:bookmarkStart w:id="73" w:name="_Toc181867214"/>
    </w:p>
    <w:p w14:paraId="4F072843" w14:textId="77777777" w:rsidR="00FE486A" w:rsidRDefault="00FE486A" w:rsidP="00546B74">
      <w:pPr>
        <w:pStyle w:val="Caption"/>
      </w:pPr>
    </w:p>
    <w:p w14:paraId="08489105" w14:textId="77777777" w:rsidR="00FE486A" w:rsidRDefault="00FE486A" w:rsidP="00546B74">
      <w:pPr>
        <w:pStyle w:val="Caption"/>
      </w:pPr>
    </w:p>
    <w:p w14:paraId="32A61CD0" w14:textId="77777777" w:rsidR="00FE486A" w:rsidRDefault="00FE486A" w:rsidP="00546B74">
      <w:pPr>
        <w:pStyle w:val="Caption"/>
      </w:pPr>
    </w:p>
    <w:p w14:paraId="4DA55174" w14:textId="77777777" w:rsidR="00FE486A" w:rsidRDefault="00FE486A" w:rsidP="00546B74">
      <w:pPr>
        <w:pStyle w:val="Caption"/>
      </w:pPr>
    </w:p>
    <w:p w14:paraId="63478557" w14:textId="77777777" w:rsidR="00FE486A" w:rsidRDefault="00FE486A" w:rsidP="00546B74">
      <w:pPr>
        <w:pStyle w:val="Caption"/>
      </w:pPr>
    </w:p>
    <w:p w14:paraId="46AC89CB" w14:textId="77777777" w:rsidR="00FE486A" w:rsidRDefault="00FE486A" w:rsidP="00546B74">
      <w:pPr>
        <w:pStyle w:val="Caption"/>
      </w:pPr>
    </w:p>
    <w:p w14:paraId="3D9FB8BB" w14:textId="72526CC7" w:rsidR="009D02EF" w:rsidRPr="00976D33" w:rsidRDefault="009D02EF" w:rsidP="00546B74">
      <w:pPr>
        <w:pStyle w:val="Caption"/>
        <w:rPr>
          <w:rStyle w:val="fontstyle01"/>
          <w:rFonts w:asciiTheme="minorHAnsi" w:hAnsiTheme="minorHAnsi"/>
          <w:sz w:val="22"/>
          <w:szCs w:val="22"/>
        </w:rPr>
      </w:pPr>
      <w:r>
        <w:t xml:space="preserve">Figura </w:t>
      </w:r>
      <w:r w:rsidRPr="00976D33">
        <w:rPr>
          <w:b w:val="0"/>
          <w:i w:val="0"/>
        </w:rPr>
        <w:fldChar w:fldCharType="begin"/>
      </w:r>
      <w:r w:rsidRPr="00976D33">
        <w:instrText>SEQ Figure \* ARABIC</w:instrText>
      </w:r>
      <w:r w:rsidRPr="00976D33">
        <w:rPr>
          <w:b w:val="0"/>
          <w:i w:val="0"/>
        </w:rPr>
        <w:fldChar w:fldCharType="separate"/>
      </w:r>
      <w:r w:rsidR="003B7FFA">
        <w:rPr>
          <w:noProof/>
        </w:rPr>
        <w:t>11</w:t>
      </w:r>
      <w:r w:rsidRPr="00976D33">
        <w:rPr>
          <w:b w:val="0"/>
          <w:i w:val="0"/>
        </w:rPr>
        <w:fldChar w:fldCharType="end"/>
      </w:r>
      <w:bookmarkEnd w:id="72"/>
      <w:r>
        <w:t>. Trajektoret e vlerësuar për pjesën sektoriale të energjisë së ripërtëritshme në konsumin final të energjisë nga viti 2021 deri në vitin 2040 në sektorin e energjisë elektrike, ngrohjes dhe ftohjes dhe transportit (skenari WAM)</w:t>
      </w:r>
      <w:bookmarkEnd w:id="73"/>
    </w:p>
    <w:p w14:paraId="53B02E33" w14:textId="6AD4AC60" w:rsidR="00880811" w:rsidRPr="00976D33" w:rsidRDefault="00D13E6E" w:rsidP="00FE486A">
      <w:pPr>
        <w:spacing w:before="0"/>
        <w:rPr>
          <w:rStyle w:val="fontstyle01"/>
          <w:rFonts w:asciiTheme="minorHAnsi" w:hAnsiTheme="minorHAnsi"/>
          <w:sz w:val="22"/>
          <w:szCs w:val="22"/>
        </w:rPr>
      </w:pPr>
      <w:r>
        <w:rPr>
          <w:rStyle w:val="fontstyle01"/>
          <w:rFonts w:ascii="Arial" w:hAnsi="Arial"/>
          <w:noProof/>
          <w:color w:val="0F0D29" w:themeColor="text1"/>
          <w:sz w:val="20"/>
          <w:lang w:val="en-US"/>
        </w:rPr>
        <w:drawing>
          <wp:inline distT="0" distB="0" distL="0" distR="0" wp14:anchorId="0C474AF6" wp14:editId="434F8C12">
            <wp:extent cx="6079490" cy="2749550"/>
            <wp:effectExtent l="0" t="0" r="0" b="0"/>
            <wp:docPr id="5445612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79490" cy="2749550"/>
                    </a:xfrm>
                    <a:prstGeom prst="rect">
                      <a:avLst/>
                    </a:prstGeom>
                    <a:noFill/>
                    <a:ln>
                      <a:noFill/>
                    </a:ln>
                  </pic:spPr>
                </pic:pic>
              </a:graphicData>
            </a:graphic>
          </wp:inline>
        </w:drawing>
      </w:r>
    </w:p>
    <w:p w14:paraId="1E82826F" w14:textId="77777777" w:rsidR="00D46231" w:rsidRPr="00976D33" w:rsidRDefault="00D46231" w:rsidP="00D46231">
      <w:pPr>
        <w:pStyle w:val="BodyText"/>
      </w:pPr>
      <w:r>
        <w:t xml:space="preserve">Burimi: Rezultatet nga modelimi </w:t>
      </w:r>
    </w:p>
    <w:p w14:paraId="1CC3B30F" w14:textId="77777777" w:rsidR="009D02EF" w:rsidRPr="00976D33" w:rsidRDefault="009D02EF" w:rsidP="009D02EF">
      <w:pPr>
        <w:pStyle w:val="Heading4"/>
        <w:ind w:left="0" w:firstLine="0"/>
      </w:pPr>
      <w:r>
        <w:t xml:space="preserve">Trajektoret e vlerësuar sipas teknologjisë së energjisë së ripërtëritshme që pala kontraktuese parashikon të përdorë për të arritur trajektoret e përgjithshme dhe sektoriale për energjinë e ripërtëritshme nga viti 2021 deri në vitin 2030, duke përfshirë bruto konsumin total të pritshëm të energjisë për teknologji dhe sektor në Mtoe dhe kapacitetin total të planifikuar të instaluar (të ndarë sipas kapacitetit të ri dhe fuqizimit) për teknologji dhe sektor në MW </w:t>
      </w:r>
    </w:p>
    <w:p w14:paraId="1AB9114E" w14:textId="0FCBEB23" w:rsidR="009D02EF" w:rsidRPr="00976D33" w:rsidRDefault="009D02EF" w:rsidP="009D02EF">
      <w:r>
        <w:t>Parashikohet që në vitin 2030 (skenari WAM), prodhimi i energjisë elektrike nga BRE-të do të arrijë në 295 ktoe (</w:t>
      </w:r>
      <w:r w:rsidR="001C46B5" w:rsidRPr="008C14F9">
        <w:fldChar w:fldCharType="begin"/>
      </w:r>
      <w:r w:rsidR="001C46B5" w:rsidRPr="008C14F9">
        <w:instrText xml:space="preserve"> REF _Ref69823339 \h  \* MERGEFORMAT </w:instrText>
      </w:r>
      <w:r w:rsidR="001C46B5" w:rsidRPr="008C14F9">
        <w:fldChar w:fldCharType="separate"/>
      </w:r>
      <w:r w:rsidR="003B7FFA">
        <w:t>Figura 12</w:t>
      </w:r>
      <w:r w:rsidR="001C46B5" w:rsidRPr="008C14F9">
        <w:fldChar w:fldCharType="end"/>
      </w:r>
      <w:r>
        <w:t>), nga të cilat pjesëmarrjen më të madhe do ta ketë era me 55% e gjenerimit total bruto të energjisë elektrike, e pasur nga panelet PV (fotovoltaike) me 33% dhe hidrocentralet me 12%. Sa i përket kapacitetit të instaluar për prodhimin e energjisë elektrike, 59% në vitin 2030 do të jetë nga BRE-të (</w:t>
      </w:r>
      <w:r w:rsidRPr="008C14F9">
        <w:fldChar w:fldCharType="begin"/>
      </w:r>
      <w:r w:rsidRPr="008C14F9">
        <w:instrText xml:space="preserve"> REF _Ref69823427 \h  \* MERGEFORMAT </w:instrText>
      </w:r>
      <w:r w:rsidRPr="008C14F9">
        <w:fldChar w:fldCharType="separate"/>
      </w:r>
      <w:r w:rsidR="003B7FFA">
        <w:t>Figura 13</w:t>
      </w:r>
      <w:r w:rsidRPr="008C14F9">
        <w:fldChar w:fldCharType="end"/>
      </w:r>
      <w:r>
        <w:t xml:space="preserve">). Parashikohet që deri në vitin 2030, kapaciteti total i instaluar nga PV dhe era do të jetë rreth 1400 MW (FV me 727 MW dhe era 675 MW).  </w:t>
      </w:r>
    </w:p>
    <w:p w14:paraId="48D9A26B" w14:textId="037A7F67" w:rsidR="009D02EF" w:rsidRPr="00976D33" w:rsidRDefault="009D02EF" w:rsidP="009D02EF">
      <w:pPr>
        <w:pStyle w:val="Caption"/>
      </w:pPr>
      <w:bookmarkStart w:id="74" w:name="_Ref69823339"/>
      <w:bookmarkStart w:id="75" w:name="_Toc181867215"/>
      <w:r>
        <w:t xml:space="preserve">Figura </w:t>
      </w:r>
      <w:r w:rsidRPr="00976D33">
        <w:fldChar w:fldCharType="begin"/>
      </w:r>
      <w:r w:rsidRPr="00976D33">
        <w:instrText>SEQ Figure \* ARABIC</w:instrText>
      </w:r>
      <w:r w:rsidRPr="00976D33">
        <w:fldChar w:fldCharType="separate"/>
      </w:r>
      <w:r w:rsidR="003B7FFA">
        <w:rPr>
          <w:noProof/>
        </w:rPr>
        <w:t>12</w:t>
      </w:r>
      <w:r w:rsidRPr="00976D33">
        <w:fldChar w:fldCharType="end"/>
      </w:r>
      <w:bookmarkEnd w:id="74"/>
      <w:r>
        <w:t>. Trajektorja e vlerësuar sipas teknologjisë së BRE-ve në bruto konsumin final të energjisë, sektori i energjisë elektrike</w:t>
      </w:r>
      <w:bookmarkEnd w:id="75"/>
    </w:p>
    <w:p w14:paraId="0797A7B5" w14:textId="0DF4CD12" w:rsidR="00014070" w:rsidRPr="00976D33" w:rsidRDefault="004F1609" w:rsidP="00FE486A">
      <w:pPr>
        <w:spacing w:after="0"/>
      </w:pPr>
      <w:r>
        <w:rPr>
          <w:noProof/>
          <w:lang w:val="en-US"/>
        </w:rPr>
        <w:lastRenderedPageBreak/>
        <w:drawing>
          <wp:inline distT="0" distB="0" distL="0" distR="0" wp14:anchorId="39EAC555" wp14:editId="423D3CD4">
            <wp:extent cx="6037478" cy="3048000"/>
            <wp:effectExtent l="0" t="0" r="0" b="0"/>
            <wp:docPr id="6200295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50020" cy="3054332"/>
                    </a:xfrm>
                    <a:prstGeom prst="rect">
                      <a:avLst/>
                    </a:prstGeom>
                    <a:noFill/>
                    <a:ln>
                      <a:noFill/>
                    </a:ln>
                  </pic:spPr>
                </pic:pic>
              </a:graphicData>
            </a:graphic>
          </wp:inline>
        </w:drawing>
      </w:r>
    </w:p>
    <w:p w14:paraId="7E64047D" w14:textId="77777777" w:rsidR="00D46231" w:rsidRPr="00976D33" w:rsidRDefault="00D46231" w:rsidP="00D46231">
      <w:pPr>
        <w:pStyle w:val="BodyText"/>
      </w:pPr>
      <w:r>
        <w:t xml:space="preserve">Burimi: Rezultatet nga modelimi </w:t>
      </w:r>
    </w:p>
    <w:p w14:paraId="48621074" w14:textId="0637E65A" w:rsidR="009D02EF" w:rsidRPr="00976D33" w:rsidRDefault="009D02EF" w:rsidP="009D02EF">
      <w:pPr>
        <w:pStyle w:val="Caption"/>
      </w:pPr>
      <w:bookmarkStart w:id="76" w:name="_Ref69823427"/>
      <w:bookmarkStart w:id="77" w:name="_Toc181867216"/>
      <w:r>
        <w:t xml:space="preserve">Figura </w:t>
      </w:r>
      <w:r w:rsidRPr="00976D33">
        <w:fldChar w:fldCharType="begin"/>
      </w:r>
      <w:r w:rsidRPr="00976D33">
        <w:instrText>SEQ Figure \* ARABIC</w:instrText>
      </w:r>
      <w:r w:rsidRPr="00976D33">
        <w:fldChar w:fldCharType="separate"/>
      </w:r>
      <w:r w:rsidR="003B7FFA">
        <w:rPr>
          <w:noProof/>
        </w:rPr>
        <w:t>13</w:t>
      </w:r>
      <w:r w:rsidRPr="00976D33">
        <w:fldChar w:fldCharType="end"/>
      </w:r>
      <w:bookmarkEnd w:id="76"/>
      <w:r>
        <w:t>. Trajektorja e kapacitetit të instaluar nga BRE-të për prodhimin e energjisë elektrike, sipas teknologjisë</w:t>
      </w:r>
      <w:bookmarkEnd w:id="77"/>
    </w:p>
    <w:p w14:paraId="5B220A1A" w14:textId="4A3571A5" w:rsidR="00171591" w:rsidRPr="00976D33" w:rsidRDefault="00171591" w:rsidP="009D02EF">
      <w:r>
        <w:rPr>
          <w:noProof/>
          <w:lang w:val="en-US"/>
        </w:rPr>
        <w:drawing>
          <wp:inline distT="0" distB="0" distL="0" distR="0" wp14:anchorId="4B1F7AC7" wp14:editId="45D007AF">
            <wp:extent cx="6079490" cy="2431415"/>
            <wp:effectExtent l="0" t="0" r="0" b="0"/>
            <wp:docPr id="772565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79490" cy="2431415"/>
                    </a:xfrm>
                    <a:prstGeom prst="rect">
                      <a:avLst/>
                    </a:prstGeom>
                    <a:noFill/>
                    <a:ln>
                      <a:noFill/>
                    </a:ln>
                  </pic:spPr>
                </pic:pic>
              </a:graphicData>
            </a:graphic>
          </wp:inline>
        </w:drawing>
      </w:r>
    </w:p>
    <w:p w14:paraId="1A294B9A" w14:textId="58033722" w:rsidR="00D46231" w:rsidRPr="00976D33" w:rsidRDefault="00D46231" w:rsidP="00D46231">
      <w:pPr>
        <w:pStyle w:val="BodyText"/>
      </w:pPr>
      <w:r>
        <w:t>Burimi: Rezultatet nga modelimi, Shënim: duke përjashtuar energjinë solare pas matësit për shkak të mungesës së të dhënave</w:t>
      </w:r>
    </w:p>
    <w:p w14:paraId="467080DE" w14:textId="3244992E" w:rsidR="009D02EF" w:rsidRPr="00976D33" w:rsidRDefault="009D02EF" w:rsidP="009D02EF">
      <w:r>
        <w:t>Biomasa do të mbetet lënda djegëse dominuese e BRE-ve në sektorin e ngrohjes dhe ftohjes me një pjesëmarrje prej 83% në vitin 2030 (</w:t>
      </w:r>
      <w:r w:rsidRPr="008C14F9">
        <w:fldChar w:fldCharType="begin"/>
      </w:r>
      <w:r w:rsidRPr="008C14F9">
        <w:instrText xml:space="preserve"> REF _Ref69823744 \h </w:instrText>
      </w:r>
      <w:r w:rsidR="00407C78" w:rsidRPr="008C14F9">
        <w:instrText xml:space="preserve"> \* MERGEFORMAT </w:instrText>
      </w:r>
      <w:r w:rsidRPr="008C14F9">
        <w:fldChar w:fldCharType="separate"/>
      </w:r>
      <w:r w:rsidR="003B7FFA">
        <w:t>Figura 14</w:t>
      </w:r>
      <w:r w:rsidRPr="008C14F9">
        <w:fldChar w:fldCharType="end"/>
      </w:r>
      <w:r>
        <w:t xml:space="preserve">), e cila gradualisht do të reduktohet në rreth 65% në vitin 2040. Pompat e nxehtësisë do të arrijnë një përqindje prej 26% në vitin 2040 - një rritje thelbësore nga pjesa e papërfillshme prej 0% në vitin 2021. Në periudhën e analizuar, konsumi i energjisë nga BRE-të në sektorin e ngrohjes dhe ftohjes parashikohet të jetë i qëndrueshëm. </w:t>
      </w:r>
    </w:p>
    <w:p w14:paraId="5D2975E5" w14:textId="2F21981F" w:rsidR="003C1E0D" w:rsidRPr="00976D33" w:rsidRDefault="009D02EF" w:rsidP="006E6E51">
      <w:pPr>
        <w:pStyle w:val="Caption"/>
      </w:pPr>
      <w:bookmarkStart w:id="78" w:name="_Ref69823744"/>
      <w:bookmarkStart w:id="79" w:name="_Toc181867217"/>
      <w:r>
        <w:t xml:space="preserve">Figura </w:t>
      </w:r>
      <w:r w:rsidR="00062E07">
        <w:fldChar w:fldCharType="begin"/>
      </w:r>
      <w:r w:rsidR="00062E07">
        <w:instrText xml:space="preserve"> SEQ Figur</w:instrText>
      </w:r>
      <w:r w:rsidR="00062E07">
        <w:instrText xml:space="preserve">e \* ARABIC </w:instrText>
      </w:r>
      <w:r w:rsidR="00062E07">
        <w:fldChar w:fldCharType="separate"/>
      </w:r>
      <w:r w:rsidR="003B7FFA">
        <w:rPr>
          <w:noProof/>
        </w:rPr>
        <w:t>14</w:t>
      </w:r>
      <w:r w:rsidR="00062E07">
        <w:rPr>
          <w:noProof/>
        </w:rPr>
        <w:fldChar w:fldCharType="end"/>
      </w:r>
      <w:bookmarkEnd w:id="78"/>
      <w:r>
        <w:t>. Trajektorja e vlerësuar sipas teknologjisë së BRE-ve në bruto konsumin final të energjisë, sektori i ngrohjes dhe ftohjes</w:t>
      </w:r>
      <w:bookmarkEnd w:id="79"/>
    </w:p>
    <w:p w14:paraId="362C2291" w14:textId="31F52DC6" w:rsidR="00F60F9F" w:rsidRPr="00F60F9F" w:rsidRDefault="004B296B" w:rsidP="008C14F9">
      <w:r>
        <w:rPr>
          <w:noProof/>
          <w:lang w:val="en-US"/>
        </w:rPr>
        <w:lastRenderedPageBreak/>
        <w:drawing>
          <wp:inline distT="0" distB="0" distL="0" distR="0" wp14:anchorId="46AB43C3" wp14:editId="564C48C8">
            <wp:extent cx="6079490" cy="2122805"/>
            <wp:effectExtent l="0" t="0" r="0" b="0"/>
            <wp:docPr id="5943483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79490" cy="2122805"/>
                    </a:xfrm>
                    <a:prstGeom prst="rect">
                      <a:avLst/>
                    </a:prstGeom>
                    <a:noFill/>
                    <a:ln>
                      <a:noFill/>
                    </a:ln>
                  </pic:spPr>
                </pic:pic>
              </a:graphicData>
            </a:graphic>
          </wp:inline>
        </w:drawing>
      </w:r>
    </w:p>
    <w:p w14:paraId="7B8441AE" w14:textId="77777777" w:rsidR="00D46231" w:rsidRPr="00976D33" w:rsidRDefault="00D46231" w:rsidP="00D46231">
      <w:pPr>
        <w:pStyle w:val="BodyText"/>
      </w:pPr>
      <w:r>
        <w:t xml:space="preserve">Burimi: Rezultatet nga modelimi </w:t>
      </w:r>
    </w:p>
    <w:p w14:paraId="63E08E99" w14:textId="0115B39E" w:rsidR="00CB3502" w:rsidRDefault="009D02EF" w:rsidP="00022160">
      <w:pPr>
        <w:pStyle w:val="NormalWeb"/>
      </w:pPr>
      <w:r>
        <w:rPr>
          <w:rFonts w:ascii="Arial" w:hAnsi="Arial"/>
          <w:color w:val="0F0D29" w:themeColor="text1"/>
          <w:sz w:val="20"/>
        </w:rPr>
        <w:t>Në Kosovë, nuk ka konsum të biokarburanteve dhe supozohet se politikat shtesë nuk do të mbështesin depërtimin e këtyre lëndëve djegëse në sektorin e transportit. Megjithatë, pavarësisht se nuk arrihet caku prej 10% të burimeve të ripërtëritshme në sektorin e transportit deri në vitin 2030, parashikohet që konsumi nga RE i energjisë elektrike në sektorin e transportit të rritet ndjeshëm</w:t>
      </w:r>
      <w:r>
        <w:t xml:space="preserve"> (</w:t>
      </w:r>
      <w:r w:rsidRPr="00976D33">
        <w:rPr>
          <w:rFonts w:ascii="Arial" w:eastAsiaTheme="minorEastAsia" w:hAnsi="Arial" w:cstheme="minorBidi"/>
          <w:color w:val="0F0D29" w:themeColor="text1"/>
          <w:sz w:val="20"/>
        </w:rPr>
        <w:fldChar w:fldCharType="begin"/>
      </w:r>
      <w:r w:rsidRPr="00976D33">
        <w:rPr>
          <w:rFonts w:ascii="Arial" w:eastAsiaTheme="minorEastAsia" w:hAnsi="Arial" w:cstheme="minorBidi"/>
          <w:color w:val="0F0D29" w:themeColor="text1"/>
          <w:sz w:val="20"/>
        </w:rPr>
        <w:instrText xml:space="preserve"> REF _Ref69823948 \h </w:instrText>
      </w:r>
      <w:r w:rsidR="00336071" w:rsidRPr="00976D33">
        <w:rPr>
          <w:rFonts w:ascii="Arial" w:eastAsiaTheme="minorEastAsia" w:hAnsi="Arial" w:cstheme="minorBidi"/>
          <w:color w:val="0F0D29" w:themeColor="text1"/>
          <w:sz w:val="20"/>
        </w:rPr>
        <w:instrText xml:space="preserve"> \* MERGEFORMAT </w:instrText>
      </w:r>
      <w:r w:rsidRPr="00976D33">
        <w:rPr>
          <w:rFonts w:ascii="Arial" w:eastAsiaTheme="minorEastAsia" w:hAnsi="Arial" w:cstheme="minorBidi"/>
          <w:color w:val="0F0D29" w:themeColor="text1"/>
          <w:sz w:val="20"/>
        </w:rPr>
      </w:r>
      <w:r w:rsidRPr="00976D33">
        <w:rPr>
          <w:rFonts w:ascii="Arial" w:eastAsiaTheme="minorEastAsia" w:hAnsi="Arial" w:cstheme="minorBidi"/>
          <w:color w:val="0F0D29" w:themeColor="text1"/>
          <w:sz w:val="20"/>
        </w:rPr>
        <w:fldChar w:fldCharType="separate"/>
      </w:r>
      <w:r w:rsidR="003B7FFA" w:rsidRPr="003B7FFA">
        <w:rPr>
          <w:rFonts w:ascii="Arial" w:eastAsiaTheme="minorEastAsia" w:hAnsi="Arial" w:cstheme="minorBidi"/>
          <w:color w:val="0F0D29" w:themeColor="text1"/>
          <w:sz w:val="20"/>
        </w:rPr>
        <w:t>Figura 15</w:t>
      </w:r>
      <w:r w:rsidRPr="00976D33">
        <w:rPr>
          <w:rFonts w:ascii="Arial" w:eastAsiaTheme="minorEastAsia" w:hAnsi="Arial" w:cstheme="minorBidi"/>
          <w:color w:val="0F0D29" w:themeColor="text1"/>
          <w:sz w:val="20"/>
        </w:rPr>
        <w:fldChar w:fldCharType="end"/>
      </w:r>
      <w:r>
        <w:t>).</w:t>
      </w:r>
    </w:p>
    <w:p w14:paraId="70A2DDAD" w14:textId="77777777" w:rsidR="00CB3502" w:rsidRDefault="00CB3502" w:rsidP="00022160">
      <w:pPr>
        <w:pStyle w:val="NormalWeb"/>
      </w:pPr>
    </w:p>
    <w:p w14:paraId="4B199421" w14:textId="77777777" w:rsidR="00CB3502" w:rsidRDefault="00CB3502" w:rsidP="00022160">
      <w:pPr>
        <w:pStyle w:val="NormalWeb"/>
      </w:pPr>
    </w:p>
    <w:p w14:paraId="5C888DE2" w14:textId="77777777" w:rsidR="00CB3502" w:rsidRDefault="00CB3502" w:rsidP="00022160">
      <w:pPr>
        <w:pStyle w:val="NormalWeb"/>
      </w:pPr>
    </w:p>
    <w:p w14:paraId="1BD89FC8" w14:textId="2F549FF0" w:rsidR="009D02EF" w:rsidRPr="00976D33" w:rsidRDefault="009D02EF" w:rsidP="00022160">
      <w:pPr>
        <w:pStyle w:val="NormalWeb"/>
      </w:pPr>
      <w:r>
        <w:t xml:space="preserve">   </w:t>
      </w:r>
    </w:p>
    <w:p w14:paraId="1ECC0338" w14:textId="170DCC7C" w:rsidR="009D02EF" w:rsidRPr="00976D33" w:rsidRDefault="009D02EF" w:rsidP="005969E0">
      <w:pPr>
        <w:pStyle w:val="Caption"/>
      </w:pPr>
      <w:bookmarkStart w:id="80" w:name="_Ref69823948"/>
      <w:bookmarkStart w:id="81" w:name="_Toc181867218"/>
      <w:r>
        <w:t xml:space="preserve">Figura </w:t>
      </w:r>
      <w:r w:rsidR="00062E07">
        <w:fldChar w:fldCharType="begin"/>
      </w:r>
      <w:r w:rsidR="00062E07">
        <w:instrText xml:space="preserve"> SEQ Figure \* ARABIC </w:instrText>
      </w:r>
      <w:r w:rsidR="00062E07">
        <w:fldChar w:fldCharType="separate"/>
      </w:r>
      <w:r w:rsidR="003B7FFA">
        <w:rPr>
          <w:noProof/>
        </w:rPr>
        <w:t>15</w:t>
      </w:r>
      <w:r w:rsidR="00062E07">
        <w:rPr>
          <w:noProof/>
        </w:rPr>
        <w:fldChar w:fldCharType="end"/>
      </w:r>
      <w:bookmarkEnd w:id="80"/>
      <w:r>
        <w:t>. Trajektorja e vlerësuar sipas teknologjisë së BRE-ve në bruto konsumin final të energjisë, sektori i energjisë</w:t>
      </w:r>
      <w:bookmarkEnd w:id="81"/>
    </w:p>
    <w:p w14:paraId="6BA145BB" w14:textId="15E12198" w:rsidR="004551EC" w:rsidRPr="00976D33" w:rsidRDefault="004B296B" w:rsidP="009D02EF">
      <w:r>
        <w:rPr>
          <w:noProof/>
          <w:lang w:val="en-US"/>
        </w:rPr>
        <w:drawing>
          <wp:inline distT="0" distB="0" distL="0" distR="0" wp14:anchorId="28B4CE81" wp14:editId="569D4C4A">
            <wp:extent cx="6079490" cy="2056765"/>
            <wp:effectExtent l="0" t="0" r="0" b="0"/>
            <wp:docPr id="8954608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79490" cy="2056765"/>
                    </a:xfrm>
                    <a:prstGeom prst="rect">
                      <a:avLst/>
                    </a:prstGeom>
                    <a:noFill/>
                    <a:ln>
                      <a:noFill/>
                    </a:ln>
                  </pic:spPr>
                </pic:pic>
              </a:graphicData>
            </a:graphic>
          </wp:inline>
        </w:drawing>
      </w:r>
    </w:p>
    <w:p w14:paraId="2F33EE2F" w14:textId="2D76F084" w:rsidR="00054FFF" w:rsidRPr="00976D33" w:rsidRDefault="00D46231" w:rsidP="00D46231">
      <w:pPr>
        <w:pStyle w:val="BodyText"/>
      </w:pPr>
      <w:r>
        <w:t xml:space="preserve">Burimi: Rezultatet nga modelimi </w:t>
      </w:r>
    </w:p>
    <w:p w14:paraId="559045F6" w14:textId="77777777" w:rsidR="006F0C60" w:rsidRPr="00976D33" w:rsidRDefault="006F0C60" w:rsidP="00481E93">
      <w:pPr>
        <w:pStyle w:val="BodyText"/>
      </w:pPr>
      <w:r>
        <w:t xml:space="preserve"> </w:t>
      </w:r>
    </w:p>
    <w:p w14:paraId="1AD8D073" w14:textId="7066AE45" w:rsidR="009D02EF" w:rsidRPr="00976D33" w:rsidRDefault="00DA3282" w:rsidP="006E6E51">
      <w:pPr>
        <w:pStyle w:val="Heading4"/>
        <w:ind w:left="0" w:firstLine="0"/>
      </w:pPr>
      <w:r>
        <w:t>Trajektoret e vlerësuar lidhur me kërkesën për bioenergji, të ndara sipas ngrohjes, energjisë elektrike dhe transportit, dhe furnizimit me biomasë nga lëndët e para dhe origjina (duke bërë dallimin ndërmjet prodhimit vendor dhe importit). Për biomasën pyjore, një vlerësim i burimit dhe ndikimit të saj në rezervuarin e LULUCF.</w:t>
      </w:r>
    </w:p>
    <w:p w14:paraId="2EA24D9E" w14:textId="08E6D99F" w:rsidR="008A20BD" w:rsidRPr="00976D33" w:rsidRDefault="00336071" w:rsidP="009D02EF">
      <w:r>
        <w:t xml:space="preserve">Duke pasur parasysh se konsumi i biokarburanteve nuk merret parasysh në skenarët e propozuar, nuk ka konsum të biomasës në sektorin e transportit ndërsa konsumi për prodhimin e energjisë elektrike është më pak se 0.5%. Rrjedhimisht, pothuajse 100% e konsumit të biomasës në sektorin e energjisë do të përdoret </w:t>
      </w:r>
      <w:r>
        <w:lastRenderedPageBreak/>
        <w:t>për ngrohje (</w:t>
      </w:r>
      <w:r w:rsidRPr="00976D33">
        <w:fldChar w:fldCharType="begin"/>
      </w:r>
      <w:r w:rsidRPr="00976D33">
        <w:instrText xml:space="preserve"> REF _Ref69824136 \h </w:instrText>
      </w:r>
      <w:r w:rsidR="004A7007" w:rsidRPr="00976D33">
        <w:instrText xml:space="preserve"> \* MERGEFORMAT </w:instrText>
      </w:r>
      <w:r w:rsidRPr="00976D33">
        <w:fldChar w:fldCharType="separate"/>
      </w:r>
      <w:r w:rsidR="003B7FFA">
        <w:t>Figura 16</w:t>
      </w:r>
      <w:r w:rsidRPr="00976D33">
        <w:fldChar w:fldCharType="end"/>
      </w:r>
      <w:r>
        <w:t>). Pjesa më e madhe mund t’i atribuohet drurit për ngrohje të ndërtesave rezidenciale, shumica e të cilave aktualisht po nxirren ilegalisht nga pyjet.</w:t>
      </w:r>
    </w:p>
    <w:p w14:paraId="7B1B84F4" w14:textId="49FAB79C" w:rsidR="008A20BD" w:rsidRPr="00976D33" w:rsidRDefault="008A20BD" w:rsidP="009D02EF">
      <w:r>
        <w:t>Për të mos ndikuar negativisht në ekosistemet, tokat ose disponueshmërinë e prodhimit të ushqimit, përdorimi ekskluziv i biomasës së qëndrueshme është objektivi kryesor. Për të arritur këtë në kuptim të disponueshmërisë së kufizuar aktualisht të biomasës së qëndrueshme, qëndrueshmëria dhe vëllimet e sasive të disponueshme do të rriten ndjeshëm.</w:t>
      </w:r>
    </w:p>
    <w:p w14:paraId="0AC19CB4" w14:textId="12FBCAEE" w:rsidR="009D02EF" w:rsidRPr="00976D33" w:rsidRDefault="000D4083" w:rsidP="009D02EF">
      <w:r>
        <w:t>Llojet më efikase dhe të qëndrueshme të ngrohjes, siç janë pompat termike dhe stufat më efiçiente me biomasë në skenarin WAM, mund të ulin gjithashtu presionin nga nxjerrja e biomasës pyjore. Për më tepër, siç përshkruhet në skenarin WAM, do të eksplorohet menaxhimi i përmirësuar i pyjeve dhe identifikimi i potencialit për mënyra të reja të prodhimit të biomasës së qëndrueshme me më pak ndikim në mjedis, duke përfshirë potencialin vendor nga pyjet e menaxhuara në mënyrë të qëndrueshme, burim</w:t>
      </w:r>
      <w:r w:rsidR="0037748E">
        <w:t>et e tjera</w:t>
      </w:r>
      <w:r>
        <w:t xml:space="preserve"> të biomasës si mbetjet bujqësore dhe importet me burim të qëndrueshëm nga vendet e treta.</w:t>
      </w:r>
    </w:p>
    <w:p w14:paraId="40A55F76" w14:textId="0466F4DC" w:rsidR="009D02EF" w:rsidRPr="00976D33" w:rsidRDefault="009D02EF" w:rsidP="009D02EF">
      <w:pPr>
        <w:pStyle w:val="Caption"/>
      </w:pPr>
      <w:bookmarkStart w:id="82" w:name="_Ref69824136"/>
      <w:bookmarkStart w:id="83" w:name="_Toc181867219"/>
      <w:r>
        <w:t xml:space="preserve">Figura </w:t>
      </w:r>
      <w:r w:rsidRPr="00976D33">
        <w:fldChar w:fldCharType="begin"/>
      </w:r>
      <w:r w:rsidRPr="00976D33">
        <w:instrText>SEQ Figure \* ARABIC</w:instrText>
      </w:r>
      <w:r w:rsidRPr="00976D33">
        <w:fldChar w:fldCharType="separate"/>
      </w:r>
      <w:r w:rsidR="003B7FFA">
        <w:rPr>
          <w:noProof/>
        </w:rPr>
        <w:t>16</w:t>
      </w:r>
      <w:r w:rsidRPr="00976D33">
        <w:fldChar w:fldCharType="end"/>
      </w:r>
      <w:bookmarkEnd w:id="82"/>
      <w:r>
        <w:t>. Trajektorja e vlerësuar lidhur me kërkesën për biomasë, e ndarë midis nxehtësisë dhe energjisë elektrike</w:t>
      </w:r>
      <w:bookmarkEnd w:id="83"/>
    </w:p>
    <w:p w14:paraId="2746218D" w14:textId="433ECF4D" w:rsidR="005C3471" w:rsidRPr="00976D33" w:rsidRDefault="004B296B" w:rsidP="009D02EF">
      <w:r>
        <w:rPr>
          <w:noProof/>
          <w:lang w:val="en-US"/>
        </w:rPr>
        <w:drawing>
          <wp:inline distT="0" distB="0" distL="0" distR="0" wp14:anchorId="31B458AF" wp14:editId="67AC93C8">
            <wp:extent cx="6079490" cy="1995805"/>
            <wp:effectExtent l="0" t="0" r="0" b="0"/>
            <wp:docPr id="6174909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79490" cy="1995805"/>
                    </a:xfrm>
                    <a:prstGeom prst="rect">
                      <a:avLst/>
                    </a:prstGeom>
                    <a:noFill/>
                    <a:ln>
                      <a:noFill/>
                    </a:ln>
                  </pic:spPr>
                </pic:pic>
              </a:graphicData>
            </a:graphic>
          </wp:inline>
        </w:drawing>
      </w:r>
    </w:p>
    <w:p w14:paraId="100AF9C8" w14:textId="2CE6AD9C" w:rsidR="007C5BC0" w:rsidRPr="00976D33" w:rsidRDefault="007C5BC0" w:rsidP="00913758">
      <w:pPr>
        <w:pStyle w:val="BodyText"/>
      </w:pPr>
      <w:r>
        <w:t xml:space="preserve">Burimi: Rezultatet nga modelimi </w:t>
      </w:r>
    </w:p>
    <w:p w14:paraId="101D366A" w14:textId="77777777" w:rsidR="009D02EF" w:rsidRPr="00976D33" w:rsidRDefault="009D02EF" w:rsidP="00913758">
      <w:pPr>
        <w:pStyle w:val="Heading4"/>
        <w:spacing w:before="100" w:after="100"/>
        <w:ind w:left="714" w:hanging="357"/>
      </w:pPr>
      <w:r>
        <w:t xml:space="preserve">Kur është e aplikueshme, trajektoret dhe objektivat e tjera kombëtare, duke përfshirë ato që janë afatgjata ose sektoriale (p.sh. pjesa e energjisë së ripërtëritshme në ngrohjen qendrore, përdorimi i energjisë së ripërtëritshme në ndërtesa, energjia e ripërtëritshme e prodhuar nga qytetet, komunitetet e energjisë së ripërtëritshme dhe vetë-konsumatorët e burimeve të ripërtëritshme, energjia e rikuperuar nga llumi i fituar nga trajtimi i ujërave të zeza) </w:t>
      </w:r>
    </w:p>
    <w:p w14:paraId="4BBD424B" w14:textId="71E8E986" w:rsidR="009D02EF" w:rsidRPr="00976D33" w:rsidRDefault="009D02EF" w:rsidP="00913758">
      <w:pPr>
        <w:spacing w:before="0"/>
      </w:pPr>
      <w:r>
        <w:t xml:space="preserve">Një nga </w:t>
      </w:r>
      <w:r>
        <w:rPr>
          <w:b/>
          <w:bCs/>
        </w:rPr>
        <w:t>objektivat</w:t>
      </w:r>
      <w:r>
        <w:t xml:space="preserve"> kryesore të këtij PKEK-je është rritja e shfrytëzimit të sistemeve të ngrohjes qendrore. Parashikohet që konsumi i nxehtësisë do të jetë pothuajse 2.5 më i lartë në vitin 2030 krahasuar me nivelet e vitit 2021 (</w:t>
      </w:r>
      <w:r w:rsidRPr="00976D33">
        <w:fldChar w:fldCharType="begin"/>
      </w:r>
      <w:r w:rsidRPr="00976D33">
        <w:instrText xml:space="preserve"> REF _Ref69824448 \h </w:instrText>
      </w:r>
      <w:r w:rsidR="004A7007" w:rsidRPr="00976D33">
        <w:instrText xml:space="preserve"> \* MERGEFORMAT </w:instrText>
      </w:r>
      <w:r w:rsidRPr="00976D33">
        <w:fldChar w:fldCharType="separate"/>
      </w:r>
      <w:r w:rsidR="003B7FFA">
        <w:t>Figura 17</w:t>
      </w:r>
      <w:r w:rsidRPr="00976D33">
        <w:fldChar w:fldCharType="end"/>
      </w:r>
      <w:r>
        <w:t>). Kjo rritje e konsumit të nxehtësisë, zgjerimi i kogjenerimit në Kosovën B, projekti Solar4Kosova II (ngrohja qendrore termale solare), si dhe disa projekte më të vogla në Gjakovë (PNQ me biomasë dhe kalda vetëm me ngrohje me biomasë).</w:t>
      </w:r>
    </w:p>
    <w:p w14:paraId="36A52385" w14:textId="6BC9FF60" w:rsidR="009D02EF" w:rsidRPr="00976D33" w:rsidRDefault="009D02EF" w:rsidP="009D02EF">
      <w:pPr>
        <w:pStyle w:val="Caption"/>
      </w:pPr>
      <w:bookmarkStart w:id="84" w:name="_Ref69824448"/>
      <w:bookmarkStart w:id="85" w:name="_Toc181867220"/>
      <w:r>
        <w:t xml:space="preserve">Figura </w:t>
      </w:r>
      <w:r w:rsidR="00062E07">
        <w:fldChar w:fldCharType="begin"/>
      </w:r>
      <w:r w:rsidR="00062E07">
        <w:instrText xml:space="preserve"> SEQ Figure \* ARABIC </w:instrText>
      </w:r>
      <w:r w:rsidR="00062E07">
        <w:fldChar w:fldCharType="separate"/>
      </w:r>
      <w:r w:rsidR="003B7FFA">
        <w:rPr>
          <w:noProof/>
        </w:rPr>
        <w:t>17</w:t>
      </w:r>
      <w:r w:rsidR="00062E07">
        <w:rPr>
          <w:noProof/>
        </w:rPr>
        <w:fldChar w:fldCharType="end"/>
      </w:r>
      <w:bookmarkEnd w:id="84"/>
      <w:r>
        <w:t>. Rritja e përdorimit të sistemit të ngrohjes qendrore</w:t>
      </w:r>
      <w:bookmarkStart w:id="86" w:name="_Toc71271794"/>
      <w:bookmarkEnd w:id="85"/>
    </w:p>
    <w:p w14:paraId="2769BFB3" w14:textId="7AB35455" w:rsidR="00E669E4" w:rsidRPr="00976D33" w:rsidRDefault="00E669E4" w:rsidP="00336071">
      <w:r>
        <w:rPr>
          <w:noProof/>
          <w:lang w:val="en-US"/>
        </w:rPr>
        <w:lastRenderedPageBreak/>
        <w:drawing>
          <wp:inline distT="0" distB="0" distL="0" distR="0" wp14:anchorId="26B69681" wp14:editId="1984D809">
            <wp:extent cx="6079490" cy="2429510"/>
            <wp:effectExtent l="0" t="0" r="0" b="0"/>
            <wp:docPr id="1104289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79490" cy="2429510"/>
                    </a:xfrm>
                    <a:prstGeom prst="rect">
                      <a:avLst/>
                    </a:prstGeom>
                    <a:noFill/>
                    <a:ln>
                      <a:noFill/>
                    </a:ln>
                  </pic:spPr>
                </pic:pic>
              </a:graphicData>
            </a:graphic>
          </wp:inline>
        </w:drawing>
      </w:r>
    </w:p>
    <w:p w14:paraId="4348F04D" w14:textId="37E2F351" w:rsidR="00DA5CCC" w:rsidRPr="00976D33" w:rsidRDefault="00DA5CCC" w:rsidP="006E6E51">
      <w:pPr>
        <w:pStyle w:val="BodyText"/>
      </w:pPr>
      <w:r>
        <w:t xml:space="preserve">Burimi: Rezultatet nga modelimi </w:t>
      </w:r>
    </w:p>
    <w:p w14:paraId="6037A33F" w14:textId="77777777" w:rsidR="009D02EF" w:rsidRPr="00976D33" w:rsidRDefault="00C40FED" w:rsidP="00C40FED">
      <w:pPr>
        <w:rPr>
          <w:rFonts w:cstheme="minorHAnsi"/>
        </w:rPr>
      </w:pPr>
      <w:r>
        <w:t>Më shumë informacion rreth politikës dhe masave aktuale mund të gjeni në “Potenciali aktual për aplikimin e kogjenerimit me efiçiencë të lartë dhe ngrohjes dhe ftohjes qendrore efiçiente”.</w:t>
      </w:r>
      <w:r>
        <w:br w:type="page"/>
      </w:r>
    </w:p>
    <w:p w14:paraId="517E8998" w14:textId="77777777" w:rsidR="009D02EF" w:rsidRPr="00976D33" w:rsidRDefault="009D02EF" w:rsidP="000B35ED">
      <w:pPr>
        <w:pStyle w:val="Heading2"/>
      </w:pPr>
      <w:bookmarkStart w:id="87" w:name="_Toc182302266"/>
      <w:r>
        <w:lastRenderedPageBreak/>
        <w:t>Dimensioni i efiçiencës së energjisë</w:t>
      </w:r>
      <w:bookmarkEnd w:id="86"/>
      <w:bookmarkEnd w:id="87"/>
      <w:r>
        <w:t xml:space="preserve"> </w:t>
      </w:r>
    </w:p>
    <w:p w14:paraId="7E7160A9" w14:textId="77777777" w:rsidR="009D02EF" w:rsidRPr="00976D33" w:rsidRDefault="009D02EF" w:rsidP="00AF7BBF">
      <w:pPr>
        <w:pStyle w:val="Heading3"/>
        <w:numPr>
          <w:ilvl w:val="0"/>
          <w:numId w:val="73"/>
        </w:numPr>
      </w:pPr>
      <w:bookmarkStart w:id="88" w:name="_Toc71271795"/>
      <w:bookmarkStart w:id="89" w:name="_Toc182302267"/>
      <w:r>
        <w:t>Elementet e përcaktuara në pikën (b) të nenit 4</w:t>
      </w:r>
      <w:bookmarkEnd w:id="88"/>
      <w:bookmarkEnd w:id="89"/>
      <w:r>
        <w:t xml:space="preserve"> </w:t>
      </w:r>
    </w:p>
    <w:p w14:paraId="5E96286E" w14:textId="2B306E30" w:rsidR="009D02EF" w:rsidRPr="00976D33" w:rsidRDefault="000672BB" w:rsidP="009D02EF">
      <w:pPr>
        <w:rPr>
          <w:rFonts w:eastAsia="MS Mincho" w:cs="Times New Roman"/>
          <w:color w:val="0F0D29"/>
        </w:rPr>
      </w:pPr>
      <w:r>
        <w:rPr>
          <w:color w:val="0F0D29"/>
        </w:rPr>
        <w:t>Efiçienca e energjisë në Kosovë, së bashku me nevojën dhe përpjekjen për të siguruar energji të mjaftueshme nga prodhimi nga termocentralet ekzistuese dhe burim</w:t>
      </w:r>
      <w:r w:rsidR="0037748E">
        <w:rPr>
          <w:color w:val="0F0D29"/>
        </w:rPr>
        <w:t>et e tjera</w:t>
      </w:r>
      <w:r>
        <w:rPr>
          <w:color w:val="0F0D29"/>
        </w:rPr>
        <w:t xml:space="preserve"> alternative, konsiderohet nga Qeveria si një komponent thelbësor i planifikimit strategjik dhe ekonomik dhe zhvillimit të Kosovës.</w:t>
      </w:r>
    </w:p>
    <w:p w14:paraId="4199F9AC" w14:textId="01615CBA" w:rsidR="009D02EF" w:rsidRPr="00976D33" w:rsidRDefault="009D02EF" w:rsidP="009D02EF">
      <w:pPr>
        <w:rPr>
          <w:rFonts w:eastAsia="MS Mincho" w:cs="Times New Roman"/>
          <w:color w:val="0F0D29"/>
        </w:rPr>
      </w:pPr>
      <w:r>
        <w:rPr>
          <w:color w:val="0F0D29"/>
        </w:rPr>
        <w:t xml:space="preserve">Sipas </w:t>
      </w:r>
      <w:r>
        <w:t>Vendimi 2022/02/MC-EnC, të miratuar nga Këshilli Ministror i Komunitetit të Energjisë,</w:t>
      </w:r>
      <w:r>
        <w:rPr>
          <w:color w:val="0F0D29"/>
        </w:rPr>
        <w:t xml:space="preserve"> </w:t>
      </w:r>
      <w:r>
        <w:rPr>
          <w:b/>
          <w:bCs/>
          <w:color w:val="0F0D29"/>
        </w:rPr>
        <w:t>caku</w:t>
      </w:r>
      <w:r>
        <w:rPr>
          <w:color w:val="0F0D29"/>
        </w:rPr>
        <w:t xml:space="preserve"> </w:t>
      </w:r>
      <w:r>
        <w:rPr>
          <w:b/>
          <w:color w:val="0F0D29"/>
        </w:rPr>
        <w:t xml:space="preserve">për EE </w:t>
      </w:r>
      <w:r>
        <w:rPr>
          <w:color w:val="0F0D29"/>
        </w:rPr>
        <w:t>për Kosovën në raport me konsumin primar të energjisë në vitin 2030 është 2.7 Mtoe (</w:t>
      </w:r>
      <w:r w:rsidRPr="00976D33">
        <w:rPr>
          <w:rFonts w:eastAsia="MS Mincho" w:cs="Times New Roman"/>
          <w:color w:val="0F0D29"/>
        </w:rPr>
        <w:fldChar w:fldCharType="begin"/>
      </w:r>
      <w:r w:rsidRPr="00976D33">
        <w:rPr>
          <w:rFonts w:eastAsia="MS Mincho" w:cs="Times New Roman"/>
          <w:color w:val="0F0D29"/>
        </w:rPr>
        <w:instrText xml:space="preserve"> REF _Ref69771260 \h  \* MERGEFORMAT </w:instrText>
      </w:r>
      <w:r w:rsidRPr="00976D33">
        <w:rPr>
          <w:rFonts w:eastAsia="MS Mincho" w:cs="Times New Roman"/>
          <w:color w:val="0F0D29"/>
        </w:rPr>
      </w:r>
      <w:r w:rsidRPr="00976D33">
        <w:rPr>
          <w:rFonts w:eastAsia="MS Mincho" w:cs="Times New Roman"/>
          <w:color w:val="0F0D29"/>
        </w:rPr>
        <w:fldChar w:fldCharType="separate"/>
      </w:r>
      <w:r w:rsidR="003B7FFA" w:rsidRPr="003B7FFA">
        <w:rPr>
          <w:rFonts w:eastAsia="MS Mincho" w:cs="Times New Roman"/>
          <w:color w:val="0F0D29"/>
        </w:rPr>
        <w:t>Figura 19</w:t>
      </w:r>
      <w:r w:rsidRPr="00976D33">
        <w:rPr>
          <w:rFonts w:eastAsia="MS Mincho" w:cs="Times New Roman"/>
          <w:color w:val="0F0D29"/>
        </w:rPr>
        <w:fldChar w:fldCharType="end"/>
      </w:r>
      <w:r>
        <w:rPr>
          <w:color w:val="0F0D29"/>
        </w:rPr>
        <w:t>), ndërsa për konsumin final të energjisë, është 1.8 Mtoe (</w:t>
      </w:r>
      <w:r w:rsidRPr="00976D33">
        <w:rPr>
          <w:rFonts w:eastAsia="MS Mincho" w:cs="Times New Roman"/>
          <w:color w:val="0F0D29"/>
        </w:rPr>
        <w:fldChar w:fldCharType="begin"/>
      </w:r>
      <w:r w:rsidRPr="00976D33">
        <w:rPr>
          <w:rFonts w:eastAsia="MS Mincho" w:cs="Times New Roman"/>
          <w:color w:val="0F0D29"/>
        </w:rPr>
        <w:instrText xml:space="preserve"> REF _Ref69771271 \h  \* MERGEFORMAT </w:instrText>
      </w:r>
      <w:r w:rsidRPr="00976D33">
        <w:rPr>
          <w:rFonts w:eastAsia="MS Mincho" w:cs="Times New Roman"/>
          <w:color w:val="0F0D29"/>
        </w:rPr>
      </w:r>
      <w:r w:rsidRPr="00976D33">
        <w:rPr>
          <w:rFonts w:eastAsia="MS Mincho" w:cs="Times New Roman"/>
          <w:color w:val="0F0D29"/>
        </w:rPr>
        <w:fldChar w:fldCharType="separate"/>
      </w:r>
      <w:r w:rsidR="003B7FFA" w:rsidRPr="003B7FFA">
        <w:rPr>
          <w:rFonts w:eastAsia="MS Mincho" w:cs="Times New Roman"/>
          <w:color w:val="0F0D29"/>
        </w:rPr>
        <w:t>Figura 21</w:t>
      </w:r>
      <w:r w:rsidRPr="00976D33">
        <w:rPr>
          <w:rFonts w:eastAsia="MS Mincho" w:cs="Times New Roman"/>
          <w:color w:val="0F0D29"/>
        </w:rPr>
        <w:fldChar w:fldCharType="end"/>
      </w:r>
      <w:r>
        <w:rPr>
          <w:color w:val="0F0D29"/>
        </w:rPr>
        <w:t xml:space="preserve">). Konsumi i parashikuar i energjisë primare është në përputhje (në fakt, 15% më poshtë) me cakun e Komunitetit të Energjisë për 2030. Caku për konsumin final të energjisë në terma absolutë është përmbushur edhe në skenarin me masa shtesë (WAM), me konsumin e parashikuar të energjisë finale afër cakut të Komunitetit të Energjisë 2030. </w:t>
      </w:r>
      <w:r>
        <w:t>Për të qenë ligjërisht të detyrueshme, këto caqe kërkojnë transpozimin e Direktivës për Efiçiencë të Energjisë, prandaj objektivi është Ligji i ri për Efiçiencë të Energjisë që do të miratohet deri në fund të vitit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4782"/>
      </w:tblGrid>
      <w:tr w:rsidR="009D02EF" w:rsidRPr="00976D33" w14:paraId="0A524409" w14:textId="77777777">
        <w:tc>
          <w:tcPr>
            <w:tcW w:w="4782" w:type="dxa"/>
          </w:tcPr>
          <w:p w14:paraId="4B0C2309" w14:textId="047339D3" w:rsidR="009D02EF" w:rsidRPr="00976D33" w:rsidRDefault="009D02EF" w:rsidP="000B35ED">
            <w:pPr>
              <w:pStyle w:val="Caption"/>
            </w:pPr>
            <w:bookmarkStart w:id="90" w:name="_Ref69771162"/>
            <w:bookmarkStart w:id="91" w:name="_Toc181867221"/>
            <w:r>
              <w:t xml:space="preserve">Figura </w:t>
            </w:r>
            <w:r w:rsidRPr="00976D33">
              <w:fldChar w:fldCharType="begin"/>
            </w:r>
            <w:r w:rsidRPr="00976D33">
              <w:instrText>SEQ Figure \* ARABIC</w:instrText>
            </w:r>
            <w:r w:rsidRPr="00976D33">
              <w:fldChar w:fldCharType="separate"/>
            </w:r>
            <w:r w:rsidR="003B7FFA">
              <w:rPr>
                <w:noProof/>
              </w:rPr>
              <w:t>18</w:t>
            </w:r>
            <w:r w:rsidRPr="00976D33">
              <w:fldChar w:fldCharType="end"/>
            </w:r>
            <w:bookmarkEnd w:id="90"/>
            <w:r>
              <w:t>. Kursimet e energjisë primare, në raport me skenarin WEM dhe caqet e EnC-së për vitin 2030</w:t>
            </w:r>
            <w:bookmarkEnd w:id="91"/>
          </w:p>
        </w:tc>
        <w:tc>
          <w:tcPr>
            <w:tcW w:w="4782" w:type="dxa"/>
          </w:tcPr>
          <w:p w14:paraId="2BA8EB29" w14:textId="1EBD370D" w:rsidR="009D02EF" w:rsidRPr="00976D33" w:rsidRDefault="009D02EF" w:rsidP="003362C0">
            <w:pPr>
              <w:pStyle w:val="Caption"/>
            </w:pPr>
            <w:bookmarkStart w:id="92" w:name="_Ref69771260"/>
            <w:bookmarkStart w:id="93" w:name="_Toc181867222"/>
            <w:r>
              <w:t xml:space="preserve">Figura </w:t>
            </w:r>
            <w:r w:rsidRPr="00976D33">
              <w:fldChar w:fldCharType="begin"/>
            </w:r>
            <w:r w:rsidRPr="00976D33">
              <w:instrText>SEQ Figure \* ARABIC</w:instrText>
            </w:r>
            <w:r w:rsidRPr="00976D33">
              <w:fldChar w:fldCharType="separate"/>
            </w:r>
            <w:r w:rsidR="003B7FFA">
              <w:rPr>
                <w:noProof/>
              </w:rPr>
              <w:t>19</w:t>
            </w:r>
            <w:r w:rsidRPr="00976D33">
              <w:fldChar w:fldCharType="end"/>
            </w:r>
            <w:bookmarkEnd w:id="92"/>
            <w:r>
              <w:t>. Konsumi primar i energjisë dhe projeksionet e EnC-së për vitin 2030</w:t>
            </w:r>
            <w:bookmarkEnd w:id="93"/>
            <w:r>
              <w:t xml:space="preserve"> </w:t>
            </w:r>
          </w:p>
        </w:tc>
      </w:tr>
    </w:tbl>
    <w:p w14:paraId="10BBB54B" w14:textId="27643D76" w:rsidR="006A4995" w:rsidRDefault="006A4995" w:rsidP="009D02EF">
      <w:pPr>
        <w:rPr>
          <w:rFonts w:eastAsia="MS Mincho" w:cs="Times New Roman"/>
          <w:color w:val="0F0D29"/>
        </w:rPr>
      </w:pPr>
      <w:r>
        <w:rPr>
          <w:noProof/>
          <w:lang w:val="en-US"/>
        </w:rPr>
        <w:drawing>
          <wp:inline distT="0" distB="0" distL="0" distR="0" wp14:anchorId="5CDF962E" wp14:editId="106C1DCC">
            <wp:extent cx="6079490" cy="2213610"/>
            <wp:effectExtent l="0" t="0" r="0" b="0"/>
            <wp:docPr id="3792692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79490" cy="2213610"/>
                    </a:xfrm>
                    <a:prstGeom prst="rect">
                      <a:avLst/>
                    </a:prstGeom>
                    <a:noFill/>
                    <a:ln>
                      <a:noFill/>
                    </a:ln>
                  </pic:spPr>
                </pic:pic>
              </a:graphicData>
            </a:graphic>
          </wp:inline>
        </w:drawing>
      </w:r>
    </w:p>
    <w:p w14:paraId="6CCB7579" w14:textId="77777777" w:rsidR="00516514" w:rsidRPr="00976D33" w:rsidRDefault="00516514" w:rsidP="00516514">
      <w:pPr>
        <w:pStyle w:val="BodyText"/>
      </w:pPr>
      <w:r>
        <w:t xml:space="preserve">Burimi: Rezultatet nga modelimi        Burimi: Rezultatet nga modelimi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4782"/>
      </w:tblGrid>
      <w:tr w:rsidR="009D02EF" w:rsidRPr="00976D33" w14:paraId="059E3135" w14:textId="77777777">
        <w:tc>
          <w:tcPr>
            <w:tcW w:w="4782" w:type="dxa"/>
          </w:tcPr>
          <w:p w14:paraId="59372724" w14:textId="6F643C12" w:rsidR="009D02EF" w:rsidRPr="00976D33" w:rsidRDefault="009D02EF" w:rsidP="003362C0">
            <w:pPr>
              <w:pStyle w:val="Caption"/>
              <w:rPr>
                <w:rFonts w:ascii="Calibri" w:hAnsi="Calibri"/>
              </w:rPr>
            </w:pPr>
            <w:bookmarkStart w:id="94" w:name="_Ref69771160"/>
            <w:bookmarkStart w:id="95" w:name="_Toc181867223"/>
            <w:r>
              <w:t xml:space="preserve">Figura </w:t>
            </w:r>
            <w:r w:rsidRPr="00976D33">
              <w:fldChar w:fldCharType="begin"/>
            </w:r>
            <w:r w:rsidRPr="00976D33">
              <w:instrText>SEQ Figure \* ARABIC</w:instrText>
            </w:r>
            <w:r w:rsidRPr="00976D33">
              <w:fldChar w:fldCharType="separate"/>
            </w:r>
            <w:r w:rsidR="003B7FFA">
              <w:rPr>
                <w:noProof/>
              </w:rPr>
              <w:t>20</w:t>
            </w:r>
            <w:r w:rsidRPr="00976D33">
              <w:fldChar w:fldCharType="end"/>
            </w:r>
            <w:bookmarkEnd w:id="94"/>
            <w:r>
              <w:t>. Kursimet finale të energjisë, në raport me skenarin WEM dhe caqet e EnC-së për vitin 2030</w:t>
            </w:r>
            <w:bookmarkEnd w:id="95"/>
          </w:p>
        </w:tc>
        <w:tc>
          <w:tcPr>
            <w:tcW w:w="4782" w:type="dxa"/>
          </w:tcPr>
          <w:p w14:paraId="33E57AA1" w14:textId="10A27894" w:rsidR="009D02EF" w:rsidRPr="00976D33" w:rsidRDefault="009D02EF" w:rsidP="003362C0">
            <w:pPr>
              <w:pStyle w:val="Caption"/>
              <w:rPr>
                <w:rFonts w:ascii="Calibri" w:hAnsi="Calibri"/>
              </w:rPr>
            </w:pPr>
            <w:bookmarkStart w:id="96" w:name="_Ref69771271"/>
            <w:bookmarkStart w:id="97" w:name="_Toc181867224"/>
            <w:r>
              <w:t xml:space="preserve">Figura </w:t>
            </w:r>
            <w:r w:rsidRPr="00976D33">
              <w:fldChar w:fldCharType="begin"/>
            </w:r>
            <w:r w:rsidRPr="00976D33">
              <w:instrText>SEQ Figure \* ARABIC</w:instrText>
            </w:r>
            <w:r w:rsidRPr="00976D33">
              <w:fldChar w:fldCharType="separate"/>
            </w:r>
            <w:r w:rsidR="003B7FFA">
              <w:rPr>
                <w:noProof/>
              </w:rPr>
              <w:t>21</w:t>
            </w:r>
            <w:r w:rsidRPr="00976D33">
              <w:fldChar w:fldCharType="end"/>
            </w:r>
            <w:bookmarkEnd w:id="96"/>
            <w:r>
              <w:t>. Konsumi final i energjisë dhe projeksionet e EnC-së për vitin 2030</w:t>
            </w:r>
            <w:bookmarkEnd w:id="97"/>
            <w:r>
              <w:t xml:space="preserve"> </w:t>
            </w:r>
          </w:p>
        </w:tc>
      </w:tr>
    </w:tbl>
    <w:p w14:paraId="57F8BAD6" w14:textId="28F7D0E4" w:rsidR="00E02229" w:rsidRPr="00976D33" w:rsidRDefault="00E02229" w:rsidP="009D02EF">
      <w:pPr>
        <w:rPr>
          <w:rFonts w:eastAsia="MS Mincho" w:cs="Times New Roman"/>
          <w:color w:val="0F0D29"/>
        </w:rPr>
      </w:pPr>
      <w:r>
        <w:rPr>
          <w:noProof/>
          <w:lang w:val="en-US"/>
        </w:rPr>
        <w:drawing>
          <wp:inline distT="0" distB="0" distL="0" distR="0" wp14:anchorId="19AD6B51" wp14:editId="17171A8A">
            <wp:extent cx="6079490" cy="2298700"/>
            <wp:effectExtent l="0" t="0" r="0" b="0"/>
            <wp:docPr id="14979659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79490" cy="2298700"/>
                    </a:xfrm>
                    <a:prstGeom prst="rect">
                      <a:avLst/>
                    </a:prstGeom>
                    <a:noFill/>
                    <a:ln>
                      <a:noFill/>
                    </a:ln>
                  </pic:spPr>
                </pic:pic>
              </a:graphicData>
            </a:graphic>
          </wp:inline>
        </w:drawing>
      </w:r>
    </w:p>
    <w:p w14:paraId="4492C268" w14:textId="77777777" w:rsidR="00DA5CCC" w:rsidRPr="00976D33" w:rsidRDefault="00DA5CCC" w:rsidP="00DA5CCC">
      <w:pPr>
        <w:pStyle w:val="BodyText"/>
      </w:pPr>
      <w:r>
        <w:t xml:space="preserve">Burimi: Rezultatet nga modelimi        Burimi: Rezultatet nga modelimi </w:t>
      </w:r>
    </w:p>
    <w:p w14:paraId="4D38EFD7" w14:textId="77777777" w:rsidR="00DA5CCC" w:rsidRPr="00976D33" w:rsidRDefault="00DA5CCC" w:rsidP="009D02EF">
      <w:pPr>
        <w:rPr>
          <w:rFonts w:eastAsia="MS Mincho" w:cs="Times New Roman"/>
          <w:color w:val="0F0D29"/>
        </w:rPr>
      </w:pPr>
    </w:p>
    <w:p w14:paraId="1C55DFB4" w14:textId="4D53FA48" w:rsidR="004879B3" w:rsidRPr="00976D33" w:rsidRDefault="004879B3" w:rsidP="004879B3">
      <w:pPr>
        <w:rPr>
          <w:shd w:val="clear" w:color="auto" w:fill="F7F7F8"/>
        </w:rPr>
      </w:pPr>
      <w:r>
        <w:rPr>
          <w:shd w:val="clear" w:color="auto" w:fill="F7F7F8"/>
        </w:rPr>
        <w:lastRenderedPageBreak/>
        <w:t>Vendimi i Këshillit Ministror të Komunitetit të Energjisë ka propozuar caqe të reja për vendet e EnC-së, përfshirë Republikën e Kosovës. Këto caqe do të hyjnë në fuqi në vitin 2024, me një vonesë kohore prej 5 vitesh krahasuar me vendet anëtare të BE-së. Megjithatë, kjo qasje e re synon të harmonizojë ambiciet e vendeve të EnC-së me ato të vendeve anëtare të BE-së. Bazuar në Strategjinë Kombëtare të Energjisë, Kosova synon të arrijë kursime kumulative deri në vitin 2031 në vlerë prej 266.4 ktoe (</w:t>
      </w:r>
      <w:r w:rsidR="002005E2" w:rsidRPr="00976D33">
        <w:rPr>
          <w:shd w:val="clear" w:color="auto" w:fill="F7F7F8"/>
        </w:rPr>
        <w:fldChar w:fldCharType="begin"/>
      </w:r>
      <w:r w:rsidR="002005E2" w:rsidRPr="00976D33">
        <w:rPr>
          <w:shd w:val="clear" w:color="auto" w:fill="F7F7F8"/>
        </w:rPr>
        <w:instrText xml:space="preserve"> REF _Ref139003555 \h </w:instrText>
      </w:r>
      <w:r w:rsidR="00B8360F" w:rsidRPr="00976D33">
        <w:rPr>
          <w:shd w:val="clear" w:color="auto" w:fill="F7F7F8"/>
        </w:rPr>
        <w:instrText xml:space="preserve"> \* MERGEFORMAT </w:instrText>
      </w:r>
      <w:r w:rsidR="002005E2" w:rsidRPr="00976D33">
        <w:rPr>
          <w:shd w:val="clear" w:color="auto" w:fill="F7F7F8"/>
        </w:rPr>
      </w:r>
      <w:r w:rsidR="002005E2" w:rsidRPr="00976D33">
        <w:rPr>
          <w:shd w:val="clear" w:color="auto" w:fill="F7F7F8"/>
        </w:rPr>
        <w:fldChar w:fldCharType="separate"/>
      </w:r>
      <w:r w:rsidR="003B7FFA">
        <w:t xml:space="preserve">Figura </w:t>
      </w:r>
      <w:r w:rsidR="003B7FFA" w:rsidRPr="003B7FFA">
        <w:t>22</w:t>
      </w:r>
      <w:r w:rsidR="002005E2" w:rsidRPr="00976D33">
        <w:rPr>
          <w:shd w:val="clear" w:color="auto" w:fill="F7F7F8"/>
        </w:rPr>
        <w:fldChar w:fldCharType="end"/>
      </w:r>
      <w:r>
        <w:rPr>
          <w:shd w:val="clear" w:color="auto" w:fill="F7F7F8"/>
        </w:rPr>
        <w:t xml:space="preserve">). </w:t>
      </w:r>
    </w:p>
    <w:p w14:paraId="2573B2A4" w14:textId="03C495BF" w:rsidR="0069102F" w:rsidRPr="00976D33" w:rsidRDefault="00AA7F60" w:rsidP="0069102F">
      <w:pPr>
        <w:rPr>
          <w:rFonts w:eastAsia="MS Mincho" w:cs="Times New Roman"/>
          <w:color w:val="0F0D29"/>
        </w:rPr>
      </w:pPr>
      <w:r>
        <w:rPr>
          <w:shd w:val="clear" w:color="auto" w:fill="F7F7F8"/>
        </w:rPr>
        <w:t>Për të llogaritur caqet e detyrueshme, konsumi final i energjisë (KFE) gjatë tri viteve të fundit është përdorur si bazë. Është përcaktuar vlera mesatare e KPE-së nga tri vitet e fundit dhe caku vjetor është vendosur në 0.8% të kësaj vlere mesatare të KPE-së. Është e rëndësishme të theksohet se ky cak përfshin konsumin e përgjithshëm final të energjisë, duke përfshirë sektorin e transportit. Si rezultat, caqet e reja të kursimeve të detyrueshme pritet të jenë dukshëm më të larta. Kjo për faktin se niveli bazë do të jetë më i lartë, duke reflektuar rritjen e konsumit të energjisë, dhe për shkak se sektori i transportit, i cili kontribuon me rreth 25% deri në 28% të totalit të KPE-së, nuk mund të përjashtohet nga caqet.</w:t>
      </w:r>
      <w:r>
        <w:rPr>
          <w:color w:val="0F0D29"/>
        </w:rPr>
        <w:t xml:space="preserve"> </w:t>
      </w:r>
    </w:p>
    <w:p w14:paraId="234FD623" w14:textId="36BC37DE" w:rsidR="009D02EF" w:rsidRPr="00976D33" w:rsidRDefault="009D02EF" w:rsidP="006E6E51">
      <w:pPr>
        <w:pStyle w:val="Caption"/>
      </w:pPr>
      <w:bookmarkStart w:id="98" w:name="_Ref139003555"/>
      <w:bookmarkStart w:id="99" w:name="_Toc181867225"/>
      <w:r>
        <w:rPr>
          <w:b w:val="0"/>
          <w:i w:val="0"/>
        </w:rPr>
        <w:t xml:space="preserve">Figura </w:t>
      </w:r>
      <w:r w:rsidRPr="00976D33">
        <w:rPr>
          <w:b w:val="0"/>
          <w:i w:val="0"/>
        </w:rPr>
        <w:fldChar w:fldCharType="begin"/>
      </w:r>
      <w:r w:rsidRPr="00976D33">
        <w:rPr>
          <w:b w:val="0"/>
          <w:i w:val="0"/>
        </w:rPr>
        <w:instrText>SEQ Figure \* ARABIC</w:instrText>
      </w:r>
      <w:r w:rsidRPr="00976D33">
        <w:rPr>
          <w:b w:val="0"/>
          <w:i w:val="0"/>
        </w:rPr>
        <w:fldChar w:fldCharType="separate"/>
      </w:r>
      <w:r w:rsidR="003B7FFA">
        <w:rPr>
          <w:b w:val="0"/>
          <w:i w:val="0"/>
          <w:noProof/>
        </w:rPr>
        <w:t>22</w:t>
      </w:r>
      <w:r w:rsidRPr="00976D33">
        <w:rPr>
          <w:b w:val="0"/>
          <w:i w:val="0"/>
        </w:rPr>
        <w:fldChar w:fldCharType="end"/>
      </w:r>
      <w:bookmarkEnd w:id="98"/>
      <w:r>
        <w:rPr>
          <w:b w:val="0"/>
          <w:i w:val="0"/>
        </w:rPr>
        <w:t>. Kursimet kumulative të energjisë në vit për periudhën 2024-2031</w:t>
      </w:r>
      <w:bookmarkEnd w:id="99"/>
    </w:p>
    <w:p w14:paraId="48D6B270" w14:textId="77777777" w:rsidR="008205C4" w:rsidRPr="00976D33" w:rsidRDefault="008205C4" w:rsidP="009D02EF">
      <w:pPr>
        <w:rPr>
          <w:rFonts w:ascii="Calibri" w:eastAsia="MS Mincho" w:hAnsi="Calibri" w:cs="Times New Roman"/>
          <w:color w:val="0F0D29"/>
        </w:rPr>
      </w:pPr>
      <w:r>
        <w:rPr>
          <w:noProof/>
          <w:lang w:val="en-US"/>
        </w:rPr>
        <w:drawing>
          <wp:inline distT="0" distB="0" distL="0" distR="0" wp14:anchorId="6585D17D" wp14:editId="1A917D1C">
            <wp:extent cx="6079490" cy="2226310"/>
            <wp:effectExtent l="0" t="0" r="0" b="0"/>
            <wp:docPr id="32709472" name="Grafik 3270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79490" cy="2226310"/>
                    </a:xfrm>
                    <a:prstGeom prst="rect">
                      <a:avLst/>
                    </a:prstGeom>
                    <a:noFill/>
                    <a:ln>
                      <a:noFill/>
                    </a:ln>
                  </pic:spPr>
                </pic:pic>
              </a:graphicData>
            </a:graphic>
          </wp:inline>
        </w:drawing>
      </w:r>
    </w:p>
    <w:p w14:paraId="6F885597" w14:textId="77777777" w:rsidR="00DA5CCC" w:rsidRPr="00976D33" w:rsidRDefault="00DA5CCC" w:rsidP="00DA5CCC">
      <w:pPr>
        <w:pStyle w:val="BodyText"/>
      </w:pPr>
      <w:r>
        <w:t>Burimi: Rezultatet nga modelimi</w:t>
      </w:r>
    </w:p>
    <w:p w14:paraId="63595AB7" w14:textId="07BFEEEE" w:rsidR="009D02EF" w:rsidRPr="00976D33" w:rsidRDefault="00D726A9" w:rsidP="009D02EF">
      <w:pPr>
        <w:rPr>
          <w:rFonts w:eastAsia="MS Mincho" w:cs="Times New Roman"/>
          <w:color w:val="0F0D29"/>
        </w:rPr>
      </w:pPr>
      <w:r>
        <w:rPr>
          <w:color w:val="0F0D29"/>
        </w:rPr>
        <w:t xml:space="preserve">Neni 5 i Projektligjit për EE përcakton krijimin e një skeme të Detyrimit të Efiçiencës së Energjisë (DEE) që përcakton caqet vjetore të kursimit të energjisë nga viti 2024 e tutje bazuar në shifrat mesatare të konsumit final të energjisë nga vitet e mëparshme. Kjo skemë do të vendosë obligime për distributorët dhe furnizuesit e energjisë për të arritur kursime të specifikuara të energjisë, duke siguruar transparencë, mosdiskriminim dhe verifikim të masave të efiçiencës së energjisë. Gjithashtu, metodologjia për përcaktimin e kursimeve të energjisë, përzgjedhjen e palëve të detyruara dhe vendosjen e sistemeve të matjes dhe verifikimit do të përcaktohet në aktet nënligjore, duke synuar promovimin e praktikave të qëndrueshme të energjisë pa penguar zgjedhjen e konsumatorit.  </w:t>
      </w:r>
    </w:p>
    <w:p w14:paraId="75F9FAA4" w14:textId="527FDFFA" w:rsidR="009D02EF" w:rsidRPr="00976D33" w:rsidRDefault="009D02EF" w:rsidP="0069102F">
      <w:pPr>
        <w:pStyle w:val="Heading3"/>
      </w:pPr>
      <w:bookmarkStart w:id="100" w:name="_Toc71271797"/>
      <w:bookmarkStart w:id="101" w:name="_Toc182302268"/>
      <w:r>
        <w:t>Pikërefencat kyçe për 2030, 2040 dhe 2050,</w:t>
      </w:r>
      <w:bookmarkEnd w:id="100"/>
      <w:r>
        <w:t xml:space="preserve"> treguesit e progresit dhe kursimet e parashikuara të energjisë</w:t>
      </w:r>
      <w:bookmarkEnd w:id="101"/>
    </w:p>
    <w:p w14:paraId="12114F74" w14:textId="02044C2C" w:rsidR="009D02EF" w:rsidRPr="00976D33" w:rsidRDefault="009B3B1A" w:rsidP="009D02EF">
      <w:pPr>
        <w:rPr>
          <w:rFonts w:eastAsia="MS Mincho" w:cs="Times New Roman"/>
          <w:color w:val="0F0D29"/>
        </w:rPr>
      </w:pPr>
      <w:r>
        <w:rPr>
          <w:color w:val="0F0D29"/>
        </w:rPr>
        <w:t xml:space="preserve">Bazuar në ligjin e mëparshëm nr. 06/L-079 për Efiçiencën e Energjisë, Kosova ka zhvilluar një draft strategji afatgjatë për rinovimin e ndërtesave (SRN) me </w:t>
      </w:r>
      <w:r>
        <w:rPr>
          <w:b/>
          <w:color w:val="0F0D29"/>
        </w:rPr>
        <w:t>objektivat</w:t>
      </w:r>
      <w:r>
        <w:rPr>
          <w:color w:val="0F0D29"/>
        </w:rPr>
        <w:t xml:space="preserve"> e mëposhtme: </w:t>
      </w:r>
    </w:p>
    <w:p w14:paraId="3D21E1F1" w14:textId="634DA448" w:rsidR="009D02EF" w:rsidRPr="00976D33" w:rsidRDefault="009D02EF" w:rsidP="007B06A8">
      <w:pPr>
        <w:pStyle w:val="ListParagraph"/>
      </w:pPr>
      <w:r>
        <w:t xml:space="preserve">ofrimi i një plani veprimi për rritjen e numrit të ndërtesave me efiçiencës të lartë (ndërtesë me konsum afër zero energji) gjatë 20 dhe 30 viteve të ardhshme e përtej, duke arritur një shkallëzim të madh të vëllimit dhe thellësisë së aktivitetit të rinovimit të efiçiencës së energjisë, duke reduktuar konsumin e energjisë në ndërtesat ekzistuese, duke krijuar aktivitete të reja të rëndësishme të biznesit në rinovimin e efiçiencës së energjisë, dhe në këtë mënyrë, duke kontribuar në objektivat kombëtar të politikës energjetike dhe klimatike. </w:t>
      </w:r>
    </w:p>
    <w:p w14:paraId="57E5BB5B" w14:textId="12AF8BFD" w:rsidR="009D02EF" w:rsidRPr="00976D33" w:rsidRDefault="009D02EF" w:rsidP="007B06A8">
      <w:pPr>
        <w:pStyle w:val="ListParagraph"/>
      </w:pPr>
      <w:r>
        <w:t>shkalla e rinovimit të objekteve rezidenciale dhe komerciale prej 4,5% në vit dhe 1% për ndërtesat publike, duke rezultuar në kursime të kombinuara në vit prej 6.2 ktoe, 13.3 ktoe respektivisht 19.2 ktoe për skenarët 1-3.</w:t>
      </w:r>
    </w:p>
    <w:p w14:paraId="235185FA" w14:textId="57CD81C5" w:rsidR="007B06A8" w:rsidRPr="00976D33" w:rsidRDefault="007B06A8" w:rsidP="007B06A8">
      <w:r>
        <w:lastRenderedPageBreak/>
        <w:t xml:space="preserve">Edhe pse drafti i SRN-së nuk është miratuar, analizat dhe skenarët e përfshirë përdoren si bazë për Strategjinë Kombëtare të Energjisë të miratuar. Për të qenë në përputhje me Strategjinë Kombëtare të Energjisë dhe këtë PKEK, drafti i SRN-së do të rishikohet në përputhje me rrethanat. </w:t>
      </w:r>
    </w:p>
    <w:p w14:paraId="098D7B3A" w14:textId="376512FF" w:rsidR="009D02EF" w:rsidRPr="00976D33" w:rsidRDefault="00163AA2" w:rsidP="0002091A">
      <w:pPr>
        <w:spacing w:after="60"/>
        <w:contextualSpacing/>
        <w:rPr>
          <w:rFonts w:eastAsia="Calibri" w:cs="Calibri"/>
          <w:color w:val="0F0D29"/>
        </w:rPr>
      </w:pPr>
      <w:r>
        <w:rPr>
          <w:color w:val="0F0D29"/>
        </w:rPr>
        <w:t xml:space="preserve">Me rishikimin e Ligjit për EE, hartimi i SRN-së është përcaktuar me Ligjin e ri për Performancën Energjetike në Ndërtesa. Neni 7 përcakton që brenda 12 muajve pas hyrjes në fuqi të ligjit, MMPHI, e mbështetur nga Ministria përgjegjëse për energjinë, duhet të zhvillojë një strategji afatgjatë për rinovimin e ndërtesave që synon mobilizimin e investimeve për të lehtësuar transformimin me kosto efektive të ndërtesave ekzistuese në ndërtesat me konsum afër zero energji. </w:t>
      </w:r>
    </w:p>
    <w:p w14:paraId="13BD046A" w14:textId="5607B952" w:rsidR="009D02EF" w:rsidRPr="00976D33" w:rsidRDefault="00096F8D" w:rsidP="0069102F">
      <w:pPr>
        <w:pStyle w:val="Heading3"/>
      </w:pPr>
      <w:bookmarkStart w:id="102" w:name="_Toc182302269"/>
      <w:r>
        <w:t>Qëndrueshmëria dhe sfidat drejt ekonomisë neutrale të karbonit deri në vitin 2050</w:t>
      </w:r>
      <w:bookmarkEnd w:id="102"/>
    </w:p>
    <w:p w14:paraId="63EA2459" w14:textId="7259C7AC" w:rsidR="00C31C22" w:rsidRPr="00976D33" w:rsidRDefault="00463E14" w:rsidP="00C31C22">
      <w:pPr>
        <w:rPr>
          <w:rFonts w:eastAsia="MS Mincho" w:cs="Times New Roman"/>
          <w:color w:val="0F0D29"/>
        </w:rPr>
      </w:pPr>
      <w:r>
        <w:t>Strategjia Afatgjatë e Dekarbonizimit është në zhvillim e sipër, por nuk është miratuar ende.</w:t>
      </w:r>
      <w:r>
        <w:rPr>
          <w:color w:val="0F0D29"/>
        </w:rPr>
        <w:t xml:space="preserve"> Në draft versionin e kësaj strategjie, ekziston një zotim se është bërë një analizë e nivelit të lartë të qëndrueshmërisë teknike dhe limiteve për arritjen e ekonomisë neutrale të karbonit në Kosovë deri në vitin 2050. Objektivi kryesor i strategjisë afatgjatë është të identifikojë qëndrueshmërinë teknike dhe kufijtë për një dekarbonizim të plotë të ekonomisë së Kosovës. Gjithashtu, në strategji janë propozuar një sërë masash të ndryshme në sektorë të ndryshëm. </w:t>
      </w:r>
    </w:p>
    <w:p w14:paraId="14DE093E" w14:textId="77777777" w:rsidR="00FE486A" w:rsidRDefault="00C31C22" w:rsidP="00C31C22">
      <w:pPr>
        <w:rPr>
          <w:color w:val="0F0D29"/>
        </w:rPr>
      </w:pPr>
      <w:r>
        <w:rPr>
          <w:color w:val="0F0D29"/>
        </w:rPr>
        <w:t>Megjithatë, rezultatet e analizës në strategji tregojnë se me një nivel më të lartë të energjisë së gjelbër të prodhuar duke shfrytëzuar tërë potencialin e qëndrueshëm të BRE-ve, dhe me një nivel më të ulët të kërkesës së vlerësuar, do të ketë një hendek prej 5,000 GWh/vit, edhe pa ndonjë parashikim për ndryshueshmëri të impianteve solare dhe të erës, dhe për ndryshueshmëri të kërkesës për energji sezonale. Ky hendek do të thotë se dekarbonizimi i plotë i ekonomisë së Kosovës nuk është i zbatueshëm bazuar në potencialin kombëtar të BRE-ve, sipas supozimeve të dhëna. Ende do të ketë nevojë për një pjesë të prodhimit të energjisë elektrike nga termocentralet, dhe industritë e rënda si Ferronikeli, Sharrcemi dhe Trepça (nëse të gjitha janë ende funksionale në vitin 2050), do të kenë ende nevojë për disa lëndë djegëse fosile. Prandaj, për një ekonomi neutrale të karbonit në vitin 2050, do të kërkohet heqja e CO</w:t>
      </w:r>
      <w:r>
        <w:rPr>
          <w:color w:val="0F0D29"/>
          <w:vertAlign w:val="subscript"/>
        </w:rPr>
        <w:t>2</w:t>
      </w:r>
      <w:r>
        <w:rPr>
          <w:color w:val="0F0D29"/>
        </w:rPr>
        <w:t xml:space="preserve"> nga rezervuarët e karbonit.</w:t>
      </w:r>
    </w:p>
    <w:p w14:paraId="74D4ACAE" w14:textId="42536888" w:rsidR="00C31C22" w:rsidRPr="00976D33" w:rsidRDefault="00C31C22" w:rsidP="00C31C22">
      <w:pPr>
        <w:rPr>
          <w:rFonts w:eastAsia="MS Mincho" w:cs="Times New Roman"/>
          <w:color w:val="0F0D29"/>
        </w:rPr>
      </w:pPr>
      <w:r>
        <w:rPr>
          <w:color w:val="0F0D29"/>
        </w:rPr>
        <w:t xml:space="preserve"> </w:t>
      </w:r>
    </w:p>
    <w:p w14:paraId="0250B461" w14:textId="77777777" w:rsidR="0088143A" w:rsidRPr="00976D33" w:rsidRDefault="0088143A" w:rsidP="00BD4E9E">
      <w:pPr>
        <w:pStyle w:val="Heading2"/>
      </w:pPr>
      <w:bookmarkStart w:id="103" w:name="_Toc164909629"/>
      <w:bookmarkStart w:id="104" w:name="_Toc164909630"/>
      <w:bookmarkStart w:id="105" w:name="_Toc182302270"/>
      <w:bookmarkEnd w:id="103"/>
      <w:bookmarkEnd w:id="104"/>
      <w:r>
        <w:t>Dimensioni i sigurisë energjetike</w:t>
      </w:r>
      <w:bookmarkEnd w:id="105"/>
    </w:p>
    <w:p w14:paraId="6D24A775" w14:textId="77777777" w:rsidR="0088143A" w:rsidRPr="00976D33" w:rsidRDefault="0088143A" w:rsidP="00AF7BBF">
      <w:pPr>
        <w:pStyle w:val="Heading3"/>
        <w:numPr>
          <w:ilvl w:val="0"/>
          <w:numId w:val="6"/>
        </w:numPr>
      </w:pPr>
      <w:bookmarkStart w:id="106" w:name="_Toc182302271"/>
      <w:r>
        <w:t>Elementet e përcaktuara në pikën (c) të nenit 4</w:t>
      </w:r>
      <w:bookmarkEnd w:id="106"/>
      <w:r>
        <w:t xml:space="preserve"> </w:t>
      </w:r>
    </w:p>
    <w:p w14:paraId="32391284" w14:textId="77777777" w:rsidR="009F4DDD" w:rsidRPr="00976D33" w:rsidRDefault="009F4DDD" w:rsidP="009F4DDD">
      <w:r>
        <w:t xml:space="preserve">Shtylla e prodhimit të energjisë elektrike në Kosovë janë dy termocentrale të vjetruara me linjit, Kosova A dhe Kosova B. Kapacitetet e pamjaftueshme të termocentraleve për të mbuluar kërkesën e brendshme - veçanërisht në dimër - dhe në përmbushjen e kërkesave të kapacitetit rezervë të sistemit energjetik, i vë kapacitetet e sigurisë energjetike të Kosovës në rrezik. </w:t>
      </w:r>
    </w:p>
    <w:p w14:paraId="528828CB" w14:textId="7DDD529D" w:rsidR="009F4DDD" w:rsidRPr="00976D33" w:rsidRDefault="009F4DDD" w:rsidP="009F4DDD">
      <w:r>
        <w:t xml:space="preserve">Për t’u marrë me këtë dhe sfidat që ndërlidhën me sigurinë energjetike, Qeveria e Kosovës ka miratuar së fundmi </w:t>
      </w:r>
      <w:r>
        <w:rPr>
          <w:b/>
          <w:color w:val="024F75" w:themeColor="accent1"/>
        </w:rPr>
        <w:t>Strategjinë Kombëtare të Energjisë.</w:t>
      </w:r>
      <w:r>
        <w:t xml:space="preserve"> </w:t>
      </w:r>
    </w:p>
    <w:p w14:paraId="4C91E197" w14:textId="77777777" w:rsidR="009F4DDD" w:rsidRPr="00976D33" w:rsidRDefault="009F4DDD" w:rsidP="009F4DDD">
      <w:r>
        <w:t>Strategjia ka përcaktuar pesë objektiva strategjike, të cilat janë:</w:t>
      </w:r>
    </w:p>
    <w:p w14:paraId="138842A3" w14:textId="77777777" w:rsidR="009F4DDD" w:rsidRPr="00976D33" w:rsidRDefault="009F4DDD" w:rsidP="00196DC9">
      <w:pPr>
        <w:pStyle w:val="ListParagraph"/>
      </w:pPr>
      <w:r>
        <w:rPr>
          <w:b/>
          <w:color w:val="024F75" w:themeColor="accent1"/>
        </w:rPr>
        <w:t>Objektivi strategjik 1:</w:t>
      </w:r>
      <w:r>
        <w:rPr>
          <w:color w:val="024F75" w:themeColor="accent1"/>
        </w:rPr>
        <w:t xml:space="preserve"> </w:t>
      </w:r>
      <w:r>
        <w:t xml:space="preserve">Përmirësimi i qëndrueshmërisë së sistemit  </w:t>
      </w:r>
    </w:p>
    <w:p w14:paraId="6D712674" w14:textId="2EB75CB4" w:rsidR="009F4DDD" w:rsidRPr="00976D33" w:rsidRDefault="009F4DDD" w:rsidP="00196DC9">
      <w:pPr>
        <w:pStyle w:val="ListParagraph"/>
      </w:pPr>
      <w:r>
        <w:rPr>
          <w:b/>
          <w:color w:val="024F75" w:themeColor="accent1"/>
        </w:rPr>
        <w:t xml:space="preserve">Objektivi strategjik 2: </w:t>
      </w:r>
      <w:r>
        <w:t>Dekarbonizimi dhe promovimi i energjisë së ripërtëritshme</w:t>
      </w:r>
    </w:p>
    <w:p w14:paraId="28DD15AC" w14:textId="77777777" w:rsidR="009F4DDD" w:rsidRPr="00976D33" w:rsidRDefault="009F4DDD" w:rsidP="00196DC9">
      <w:pPr>
        <w:pStyle w:val="ListParagraph"/>
      </w:pPr>
      <w:r>
        <w:rPr>
          <w:b/>
          <w:color w:val="024F75" w:themeColor="accent1"/>
        </w:rPr>
        <w:t>Objektivi strategjik 3:</w:t>
      </w:r>
      <w:r>
        <w:t xml:space="preserve"> Rritja e efiçiencës së energjisë</w:t>
      </w:r>
    </w:p>
    <w:p w14:paraId="44951FC1" w14:textId="77777777" w:rsidR="009F4DDD" w:rsidRPr="00976D33" w:rsidRDefault="009F4DDD" w:rsidP="00196DC9">
      <w:pPr>
        <w:pStyle w:val="ListParagraph"/>
      </w:pPr>
      <w:r>
        <w:rPr>
          <w:b/>
          <w:color w:val="024F75" w:themeColor="accent1"/>
        </w:rPr>
        <w:t>Objektivi strategjik 4:</w:t>
      </w:r>
      <w:r>
        <w:t xml:space="preserve"> Forcimi i bashkëpunimit rajonal dhe funksionimi i tregut</w:t>
      </w:r>
    </w:p>
    <w:p w14:paraId="27F018C4" w14:textId="77777777" w:rsidR="009F4DDD" w:rsidRPr="00976D33" w:rsidRDefault="009F4DDD" w:rsidP="00196DC9">
      <w:pPr>
        <w:pStyle w:val="ListParagraph"/>
      </w:pPr>
      <w:r>
        <w:rPr>
          <w:b/>
          <w:color w:val="024F75" w:themeColor="accent1"/>
        </w:rPr>
        <w:t>Objektivi strategjik 5</w:t>
      </w:r>
      <w:r>
        <w:rPr>
          <w:color w:val="024F75" w:themeColor="accent1"/>
        </w:rPr>
        <w:t>:</w:t>
      </w:r>
      <w:r>
        <w:t xml:space="preserve"> Mbrojtja dhe fuqizimi i konsumatorëve</w:t>
      </w:r>
    </w:p>
    <w:p w14:paraId="40F2CF06" w14:textId="0DD95657" w:rsidR="009F4DDD" w:rsidRPr="00976D33" w:rsidRDefault="009F4DDD" w:rsidP="009F4DDD">
      <w:r>
        <w:t>Për të punuar drejt sigurisë së furnizimit me energji, objektivi kryesor</w:t>
      </w:r>
      <w:r>
        <w:rPr>
          <w:color w:val="024F75" w:themeColor="accent1"/>
        </w:rPr>
        <w:t xml:space="preserve"> </w:t>
      </w:r>
      <w:r>
        <w:t xml:space="preserve">të </w:t>
      </w:r>
      <w:r>
        <w:rPr>
          <w:b/>
          <w:color w:val="024F75" w:themeColor="accent1"/>
        </w:rPr>
        <w:t>Strategjisë Kombëtare të Energjisë</w:t>
      </w:r>
      <w:r>
        <w:rPr>
          <w:color w:val="024F75" w:themeColor="accent1"/>
        </w:rPr>
        <w:t xml:space="preserve"> </w:t>
      </w:r>
      <w:r>
        <w:t>është një dekarbonizim i plotë i sektorit të energjisë, me BRE-të, kryesisht ato të erës dhe solare, si dhe efiçiencën e energjisë si shtyllat kryesore të këtij procesi. Procesi i kalimit nga burimet me bazë fosile pritet të nisë menjëherë, por me një vështrim afatgjatë dhe gradual deri në vitin 2050. Burimet e energjisë fosile do të zëvendësohen gradualisht me burime të ripërtëritshme, të shoqëruara me zhvillimin e njësive fleksibile dhe mjeteve të ruajtjes së energjisë, të cilat do të jenë të nevojshme për të mundësuar integrimin e BRE-ve në sistem.</w:t>
      </w:r>
    </w:p>
    <w:p w14:paraId="3DFCFF62" w14:textId="00ECE385" w:rsidR="009F4DDD" w:rsidRPr="00976D33" w:rsidRDefault="009F4DDD" w:rsidP="009F4DDD">
      <w:r>
        <w:lastRenderedPageBreak/>
        <w:t xml:space="preserve">Më konkretisht, strategjia përshkruan objektivin për të rritur pjesëmarrjen e BRE-ve në konsumin e energjisë elektrike në 35% deri në vitin 2031 nga 6.3% që ishte në vitin 2021. Për të arritur këtë cak, kapacitetet për zhvillim të BRE-ve të parashikuara në strategji janë kryesisht burimet e energjisë së erës dhe asaj solare, por edhe biomasa. Përveç kësaj, Kosova planifikon të instalojë të paktën 170 MW kapacitet të ruajtjes së energjisë përmes baterive në sistemin e saj energjetik deri në vitin 2031, gjë që do të mundësojë integrimin e prodhimit të energjisë elektrike të ripërtëritshme të ndryshueshme dhe do të sigurojë përmbushjen e kërkesës për rezervë të energjisë të ENTSO-E. </w:t>
      </w:r>
    </w:p>
    <w:p w14:paraId="2DDE2327" w14:textId="79EDCB17" w:rsidR="009F4DDD" w:rsidRPr="00976D33" w:rsidRDefault="009F4DDD" w:rsidP="009F4DDD">
      <w:r>
        <w:t xml:space="preserve">Për më tepër, investimet në kapacitetet ekzistuese prodhuese të bazuara në linjit janë planifikuar për të ruajtur sigurinë e furnizimit. </w:t>
      </w:r>
      <w:bookmarkStart w:id="107" w:name="_Hlk170826231"/>
      <w:r>
        <w:t xml:space="preserve">Për këtë qëllim, Strategjia Kombëtare e Energjisë parasheh që dy njësitë e TC Kosova B t’i nënshtrohen një riparimi të madh, duke mundësuar funksionimin e tyre me parametra teknikë optimalë si në aspektin e kapacitetit ashtu edhe në përmbushjen e niveleve të emetimeve sipas standardeve evropiane. Rehabilitimi parashikohet të bëhet në dy faza, ku finalizimi pritet të bëhet në fund të vitit 2025 përkatësisht 2026. Megjithatë, fillimi i këtij projekti të rëndësishëm do të varet nga koha e përfundimit të projektit të financuar nga BE-ja për përmirësimin mjedisor për Kosovën B. Sfidat në këtë drejtim kanë të bëjnë me nevojën për të koordinuar nga afër kohën e punës së rehabilitimit dhe punën në lidhje me përmirësimin mjedisor të njësive për të shmangur ndërprerjet e shpeshta të njësive dhe mungesat e furnizimit që ndërlidhën me to, ku vonesa në zbatimin e projektit të përmirësimit mjedisor rrezikon të ndikojë në afatet kohore për punën e rehabilitimit.  </w:t>
      </w:r>
    </w:p>
    <w:p w14:paraId="3DF74CC2" w14:textId="683058D7" w:rsidR="009F4DDD" w:rsidRPr="00976D33" w:rsidRDefault="009F4DDD" w:rsidP="009F4DDD">
      <w:bookmarkStart w:id="108" w:name="_Hlk170825988"/>
      <w:bookmarkEnd w:id="107"/>
      <w:r>
        <w:t>Përveç kësaj, Strategjia Kombëtare e Energjisë parasheh që të paktën një nga njësitë e Kosovës A të rinovohet deri në fund të vitit 2024 (aktualisht është planifikuar për në fund të vitit 2025). Vendimi nëse do të rinovohet ose do të hiqet gradualisht nga përdorimi një njësi e dytë do të merret deri në fund të vitit 2024, ndërsa e treta do të mbyllet përgjithmonë pas përfundimit të rinovimit të njësive të tjera. Njësitë e rinovuara janë planifikuar më pas të mbahen si rezervë strategjike</w:t>
      </w:r>
      <w:r w:rsidR="008A235E" w:rsidRPr="00976D33">
        <w:rPr>
          <w:rStyle w:val="FootnoteReference"/>
        </w:rPr>
        <w:footnoteReference w:id="4"/>
      </w:r>
      <w:r>
        <w:t xml:space="preserve"> nga viti 2031 e tutje. Në përputhje me këtë, Korporata Energjetike e Kosovës SH.A (KEK) tashmë ka filluar një fazë përgatitore për rinovimin e njërës prej njësive në Kosovës A. Kjo shënon një moment historik të rëndësishëm për t’u arritur sipas objektivave të përcaktuara në Strategjinë Kombëtare të Energjisë.</w:t>
      </w:r>
    </w:p>
    <w:bookmarkEnd w:id="108"/>
    <w:p w14:paraId="53489427" w14:textId="0276D58F" w:rsidR="009F4DDD" w:rsidRPr="00976D33" w:rsidRDefault="009F4DDD" w:rsidP="009F4DDD">
      <w:r>
        <w:t>Për sa i përket sektorit të energjisë elektrike, një objektiv kyç i përcaktuar në Strategjinë Kombëtare të Energjisë ka të bëjë edhe me reduktimin e humbjeve teknike dhe tregtare në rrjetin e distribuimit. Ndërkohë që humbjet e distribuimit tashmë janë reduktuar gjatë viteve të fundit (si në terma absolutë ashtu edhe në ata relativë), nivelet aktuale janë ende relativisht të larta. Për shembull, humbjet teknike në vitin 2022 arritën në rreth 12.21%, me mesataren e BE-së që qëndronte në 6-8%. Humbjet e përgjithshme jo-teknike (komerciale) ndaj kërkesës së përgjithshme të distribuimit në vitin 2022 ishin rreth 10.42%, nga të cilat 5.85% ishte energji e pafaturuar në katër komunat veriore të Kosovës. Humbjet e përgjithshme (teknike dhe komerciale) në Kosovë ishin rreth 22.64%</w:t>
      </w:r>
      <w:r w:rsidR="00A7174F" w:rsidRPr="00976D33">
        <w:rPr>
          <w:rStyle w:val="FootnoteReference"/>
        </w:rPr>
        <w:footnoteReference w:id="5"/>
      </w:r>
      <w:r>
        <w:t xml:space="preserve"> në vitin 2022. Objektivi është të reduktohen humbjet teknike në 9% deri në vitin 2031.</w:t>
      </w:r>
      <w:r w:rsidR="00C64494" w:rsidRPr="00976D33">
        <w:rPr>
          <w:rStyle w:val="FootnoteReference"/>
        </w:rPr>
        <w:footnoteReference w:id="6"/>
      </w:r>
      <w:r>
        <w:t xml:space="preserve"> Duke reduktuar humbjet në distribuim, investimet e bëra në sistemin e distribuimit për këtë qëllim do të sigurojnë si qëndrueshmërinë ashtu edhe cilësinë e furnizimit me energji elektrike. </w:t>
      </w:r>
    </w:p>
    <w:p w14:paraId="50F3AD38" w14:textId="525F5672" w:rsidR="009F4DDD" w:rsidRPr="00976D33" w:rsidRDefault="009F4DDD" w:rsidP="009F4DDD">
      <w:r>
        <w:t xml:space="preserve">Siguria e furnizimit me energji trajtohet edhe në kuadër të kornizës ligjor të strukturave ekzistuese energjetike. Edhe aty, rritja e përdorimit të BRE-ve inkurajohet si një mjet thelbësor për të trajtuar çështjet e sigurisë së furnizimit.  Më konkretisht, </w:t>
      </w:r>
      <w:r>
        <w:rPr>
          <w:b/>
          <w:color w:val="024F75" w:themeColor="accent1"/>
        </w:rPr>
        <w:t>Ligji për Energjinë</w:t>
      </w:r>
      <w:r>
        <w:rPr>
          <w:color w:val="024F75" w:themeColor="accent1"/>
        </w:rPr>
        <w:t xml:space="preserve"> </w:t>
      </w:r>
      <w:r>
        <w:t xml:space="preserve">synon të arrijë një furnizim të sigurt, të qëndrueshëm, të besueshëm dhe me cilësi të lartë me energji, të sigurojë kushtet për funksionimin e tregjeve energjetike, si dhe të promovojë përdorimin më efikas të energjisë. Përveç kësaj, ligji përcakton objektivat që ndërlidhen me rritjen e BRE-ve dhe kogjenerimit, si dhe përmirësimin e mbrojtjes së mjedisit gjatë aktiviteteve energjetike. </w:t>
      </w:r>
    </w:p>
    <w:p w14:paraId="2F491C21" w14:textId="2E844262" w:rsidR="009F4DDD" w:rsidRPr="00976D33" w:rsidRDefault="009F4DDD" w:rsidP="009F4DDD">
      <w:r>
        <w:t xml:space="preserve">Për këtë qëllim, </w:t>
      </w:r>
      <w:r>
        <w:rPr>
          <w:b/>
          <w:color w:val="024F75" w:themeColor="accent1"/>
        </w:rPr>
        <w:t>Ligji për Energjinë</w:t>
      </w:r>
      <w:r>
        <w:t xml:space="preserve"> përcakton kushtet që lejojnë shpërndarje me prioritet të energjisë elektrike të prodhuar nga BRE-të dhe kogjenerimi, që do të ushtrohet nga operatorët e sistemit të distribuimit dhe </w:t>
      </w:r>
      <w:r>
        <w:lastRenderedPageBreak/>
        <w:t xml:space="preserve">transmisionit, për aq kohë sa nuk do të vendosen kufizime për këtë prioritet për qëllime të sigurisë së sistemit, siç përcaktohet nga kodet dhe rregullat teknike përkatëse. </w:t>
      </w:r>
    </w:p>
    <w:p w14:paraId="22C8EF36" w14:textId="77777777" w:rsidR="009F4DDD" w:rsidRPr="00976D33" w:rsidRDefault="009F4DDD" w:rsidP="009F4DDD">
      <w:r>
        <w:t xml:space="preserve">Për më tepër, objektivat që ndërlidhen me liberalizimin e tregut dhe integrimin rajonal pritet të sigurojnë efekte zbutëse për sa i përket problemit të furnizimit (shih seksionin për Tregun e Brendshëm Energjetik). </w:t>
      </w:r>
    </w:p>
    <w:p w14:paraId="118DC090" w14:textId="079397AF" w:rsidR="009F4DDD" w:rsidRPr="00976D33" w:rsidRDefault="6EE1DDB7" w:rsidP="009F4DDD">
      <w:r>
        <w:t xml:space="preserve">Një hap tjetër i rëndësishëm për Kosovën drejt arritjes së përpjekjeve të saj për diversifikim është miratimi i </w:t>
      </w:r>
      <w:r>
        <w:rPr>
          <w:b/>
          <w:color w:val="024F75" w:themeColor="accent1"/>
        </w:rPr>
        <w:t>Ligjit</w:t>
      </w:r>
      <w:r>
        <w:t xml:space="preserve"> të ri </w:t>
      </w:r>
      <w:r>
        <w:rPr>
          <w:b/>
          <w:color w:val="024F75" w:themeColor="accent1"/>
        </w:rPr>
        <w:t>për Promovimin e Përdorimit të Burimeve të Ripërtëritshme të Energjisë</w:t>
      </w:r>
      <w:r>
        <w:t xml:space="preserve"> nga Kuvendi në prill të vitit 2024. Ligji synon të nxisë rritjen e përdorimit të energjisë nga BRE-të dhe të sigurojë një zhvillim të qëndrueshëm në mënyrën më ekonomike. </w:t>
      </w:r>
    </w:p>
    <w:p w14:paraId="062114E8" w14:textId="442EC01C" w:rsidR="009F4DDD" w:rsidRPr="00976D33" w:rsidRDefault="009F4DDD" w:rsidP="009F4DDD">
      <w:r>
        <w:t xml:space="preserve">Më tej, sipas </w:t>
      </w:r>
      <w:r>
        <w:rPr>
          <w:b/>
          <w:color w:val="024F75" w:themeColor="accent1"/>
        </w:rPr>
        <w:t>Ligji për Rregullatorin e Energjisë</w:t>
      </w:r>
      <w:r>
        <w:t xml:space="preserve">, Zyra e Rregullatorit për Energji (ZRRE) është përgjegjëse për monitorimin e sigurisë së furnizimit me energji. Në këtë aspekt, ajo është gjithashtu përgjegjëse për përgatitjen e deklaratave të furnizimit të sigurisë, të cilat përshkruajnë temat kryesore që kanë të bëjnë me diversitetin e furnizimit, sigurinë teknologjike dhe origjinën gjeografike të lëndës djegëse të importuar. Deklaratat përditësohen çdo dy vjet sipas kërkesave të Sekretariatit të Komunitetit të Energjisë. </w:t>
      </w:r>
    </w:p>
    <w:p w14:paraId="7175B929" w14:textId="645B75A0" w:rsidR="6459C423" w:rsidRPr="00976D33" w:rsidRDefault="1F226893" w:rsidP="31EB3AD4">
      <w:r>
        <w:t>Pakoja ekzistuese e ligjeve për energjinë është duke u ndryshuar dhe plotësuar. Me Ligjin e ri për Rregullatorin, Ligjin për Energjinë dhe Ligjin për Energjinë Elektrike, do të transpozohet Pakoja e Energjisë së Pastër e BE-së, e përshtatur për palët kontraktuese të Komunitetit të Energjisë.</w:t>
      </w:r>
    </w:p>
    <w:p w14:paraId="3E2BAB6C" w14:textId="508CBA1A" w:rsidR="009F4DDD" w:rsidRPr="00976D33" w:rsidRDefault="009F4DDD" w:rsidP="009F4DDD">
      <w:r>
        <w:t xml:space="preserve">Kosova nuk ka as rezerva të gazit natyror, infrastrukturë të gazit dhe as fuqi punëtore të kualifikuar lidhur me gazin. Megjithatë, korniza ligjore për gazin natyror është miratuar në përputhje me Pakon e Tretë të Energjisë dhe është miratuar nga Kuvendi i Kosovës. Zyrës së Rregullatorit për Energji i është besuar rregullimi i sektorit të gazit natyror. </w:t>
      </w:r>
    </w:p>
    <w:p w14:paraId="2C5C2F58" w14:textId="1E89AF33" w:rsidR="009F4DDD" w:rsidRPr="00976D33" w:rsidRDefault="009F4DDD" w:rsidP="009F4DDD">
      <w:r>
        <w:t>Deri vonë, objektivat e politikave ishin fokusuara në sigurimin e furnizimit me gaz natyror në Kosovë për të ndihmuar diversifikimin e furnizimit dhe rritjen e sigurisë së furnizimit. Megjithatë, duke pasur parasysh çmimet jashtëzakonisht të larta dhe pasiguritë ekonomike dhe gjeopolitike në furnizimin me gaz si pasojë e luftës në Ukrainë, ndjekja e zhvillimit të infrastrukturës së rrjetit të brendshëm të gazit aktualisht shihet të jetë e lidhur me rreziqe dhe kosto të larta.  Megjithatë, Qeveria e Kosovës do të ndjekë nga afër zhvillimet përkatëse dhe do të shqyrtojë mundësitë; për shembull, opsioni për të pasur mundësi bashkë-investimi në termocentralet me gaz për ngarkesën bazë dhe/ose fleksibilitetin e sistemit në Shqipëri, Maqedoni të Veriut dhe Greqi do të eksplorohet më tej me zbatimin e mundshëm të parashikuar deri në vitin 2031.</w:t>
      </w:r>
    </w:p>
    <w:p w14:paraId="67910607" w14:textId="48F56897" w:rsidR="009F4DDD" w:rsidRPr="00976D33" w:rsidRDefault="009F4DDD" w:rsidP="009F4DDD">
      <w:r>
        <w:t xml:space="preserve">Sa i përket sektorit të naftës, Kosova nuk ka burime të naftës së papërpunuar apo kapacitete për të përpunuar naftën e papërpunuar. Kosova gjithashtu nuk importon naftë të papërpunuar por është importues neto i produkteve të naftës. Megjithatë, legjislacioni për naftën e papërpunuar dhe derivatet e naftës është në fuqi, i cili rregullon edhe rezervat e naftës, duke vendosur detyrimin që të gjitha pikat e magazinimit dhe shitjes së produkteve të naftës të kenë të paktën 5% rezervë të kapacitetit të tyre të depozitimit për qëllime emergjente. Për të forcuar më tej kornizën ligjor, </w:t>
      </w:r>
      <w:r>
        <w:rPr>
          <w:b/>
          <w:color w:val="024F75" w:themeColor="accent1"/>
        </w:rPr>
        <w:t>Projektligji për Rezervat e Detyrueshme të Naftës</w:t>
      </w:r>
      <w:r>
        <w:rPr>
          <w:color w:val="024F75" w:themeColor="accent1"/>
        </w:rPr>
        <w:t xml:space="preserve"> </w:t>
      </w:r>
      <w:r>
        <w:t xml:space="preserve">është përgatitur, në pritje të miratimit përfundimtar nga Kuvendi. </w:t>
      </w:r>
    </w:p>
    <w:p w14:paraId="41A12A30" w14:textId="23EB83ED" w:rsidR="009F4DDD" w:rsidRPr="00976D33" w:rsidRDefault="009F4DDD" w:rsidP="009F4DDD">
      <w:r>
        <w:t>Sigurimi i standardeve të sigurisë kibernetike në sektorin energjetik po bëhet gjithashtu gjithnjë e më i rëndësishëm për garantimin e sigurisë energjetike, veçanërisht duke marrë parasysh tendencat e digjitalizimit në sektorin energjetik. Ndonëse Kosova nuk është ende palë nënshkruese e Konventës së Budapestit, e cila përcakton kornizën ligjore të referencës për luftimin e krimit kibernetik, duke përfshirë sulmet kundër sistemeve të informacionit, dispozitat e saj kryesore janë akomoduar në</w:t>
      </w:r>
      <w:r>
        <w:rPr>
          <w:color w:val="024F75" w:themeColor="accent1"/>
        </w:rPr>
        <w:t xml:space="preserve"> </w:t>
      </w:r>
      <w:r>
        <w:rPr>
          <w:b/>
          <w:color w:val="024F75" w:themeColor="accent1"/>
        </w:rPr>
        <w:t>Ligji për Sigurinë Kibernetike.</w:t>
      </w:r>
      <w:r>
        <w:t xml:space="preserve"> Ligji përcakton parimet e sigurisë kibernetike, institucionet përgjegjëse dhe masat për parandalimin dhe luftimin e krimit kibernetik në Kosovë kundër çdo kërcënimi apo sulmi dhe themelon Agjencinë e Sigurisë Kibernetike.</w:t>
      </w:r>
    </w:p>
    <w:p w14:paraId="5EDC3FA3" w14:textId="41363161" w:rsidR="003813B8" w:rsidRPr="00976D33" w:rsidRDefault="009F4DDD" w:rsidP="009F4DDD">
      <w:r>
        <w:t xml:space="preserve">Përveç kësaj, </w:t>
      </w:r>
      <w:r>
        <w:rPr>
          <w:b/>
          <w:color w:val="024F75" w:themeColor="accent1"/>
        </w:rPr>
        <w:t>Strategjia Kombëtare e Energjisë</w:t>
      </w:r>
      <w:r>
        <w:rPr>
          <w:color w:val="024F75" w:themeColor="accent1"/>
        </w:rPr>
        <w:t xml:space="preserve"> </w:t>
      </w:r>
      <w:r>
        <w:t xml:space="preserve">gjithashtu thekson rëndësinë e sigurisë kibernetike. Për të hedhur themelet e nevojshme për të siguruar që kapacitetet e reagimit kibernetik në sektorin e energjisë janë në dispozicion, strategjia përshkruan krijimin e një CSIRT (Ekipi i Reagimit ndaj Emergjencave Kompjuterike) sektorial për energjinë deri në fund të vitit 2026. Për më tepër, do të zhvillohet një kornizë e menaxhimit të rrezikut të energjisë për sigurinë kibernetike që do të trajtojë kërcënimet e sigurisë kibernetike në sektorin energjetik. </w:t>
      </w:r>
    </w:p>
    <w:p w14:paraId="42824601" w14:textId="34E175F1" w:rsidR="0088143A" w:rsidRPr="00976D33" w:rsidRDefault="0088143A" w:rsidP="00BC1596">
      <w:pPr>
        <w:pStyle w:val="Heading3"/>
      </w:pPr>
      <w:bookmarkStart w:id="109" w:name="_Toc182302272"/>
      <w:r>
        <w:lastRenderedPageBreak/>
        <w:t>Objektivat kombëtare në lidhje me diversifikimin e burimeve të energjisë</w:t>
      </w:r>
      <w:bookmarkEnd w:id="109"/>
    </w:p>
    <w:p w14:paraId="1AC45C86" w14:textId="6884FF9F" w:rsidR="009F4DDD" w:rsidRPr="00976D33" w:rsidRDefault="009F4DDD" w:rsidP="009F4DDD">
      <w:r>
        <w:t xml:space="preserve">Siç është përmendur tashmë, prodhimi i energjisë elektrike në Kosovë kryesisht mbështetet në dy termocentrale të mëdha me linjit (Kosova A dhe Kosova B), të cilat mbulojnë rreth 88% të prodhimit të përgjithshëm vendor të energjisë elektrike. Megjithatë, me </w:t>
      </w:r>
      <w:r>
        <w:rPr>
          <w:b/>
          <w:color w:val="024F75" w:themeColor="accent1"/>
        </w:rPr>
        <w:t xml:space="preserve">Strategjinë Kombëtare të Energjisë </w:t>
      </w:r>
      <w:r>
        <w:t xml:space="preserve">të miratuar së fundmi, Kosova ka demonstruar qartë përkushtimin e saj dhe një ndryshim të madh drejt një diversifikimi më të madh të burimeve të energjisë. Në këtë drejtim, objektivi në Strategjinë Kombëtare të Energjisë është rritja e pjesëmarrjes së BRE-ve në konsumin e energjisë elektrike në 35% në vitin 2031. </w:t>
      </w:r>
    </w:p>
    <w:p w14:paraId="7A1E3115" w14:textId="77777777" w:rsidR="009F4DDD" w:rsidRPr="00976D33" w:rsidRDefault="009F4DDD" w:rsidP="009F4DDD">
      <w:r>
        <w:t>Megjithatë, Për të mundësuar rritjen e pjesëmarrjes së kapaciteteve të ripërtëritshme, fleksibiliteti është çështje kyçe në sektorin e energjisë elektrike. Aktualisht, vetëm kapacitetet e rezervës energjetike për</w:t>
      </w:r>
      <w:r>
        <w:cr/>
      </w:r>
      <w:r>
        <w:br/>
        <w:t xml:space="preserve">mbajtjen nën kontroll të frekuencës (FCR) (rezerva primare prej 5 MW) sigurohen nga termocentralet në Kosovë. Shërbimet e tjera ndihmëse (+/-25 MW aFRR dhe +143/-90 MW mFRR) ofrohen nga sistemi elektroenergjetik i Shqipërisë. </w:t>
      </w:r>
    </w:p>
    <w:p w14:paraId="35613F08" w14:textId="514F6608" w:rsidR="6A21F5BD" w:rsidRPr="00976D33" w:rsidRDefault="6A21F5BD" w:rsidP="31EB3AD4">
      <w:r>
        <w:t xml:space="preserve">Prodhimi vendor i Kosovës aktualisht është i pamjaftueshëm për të mbuluar kërkesën e brendshme, prandaj hendeku i mbetur kërkesë-ofertë zakonisht mbulohet nga importet. Kapaciteti total operativ i gjeneratorëve në Kosovë është 1,236 MW, ndërsa ngarkesa maksimale në vitin 2022 ishte 1,429 MW, pra niveli i mjaftueshmërisë së prodhimit me ngarkesën maksimale është 86.5%. </w:t>
      </w:r>
    </w:p>
    <w:p w14:paraId="54B778D1" w14:textId="508E5177" w:rsidR="75BDBE9B" w:rsidRPr="00976D33" w:rsidRDefault="75BDBE9B" w:rsidP="31EB3AD4">
      <w:r>
        <w:t xml:space="preserve">Tabela </w:t>
      </w:r>
      <w:r w:rsidR="00F34D69" w:rsidRPr="00976D33">
        <w:fldChar w:fldCharType="begin"/>
      </w:r>
      <w:r w:rsidR="00F34D69" w:rsidRPr="00976D33">
        <w:instrText xml:space="preserve"> REF _Ref164351750 \h </w:instrText>
      </w:r>
      <w:r w:rsidR="004A7007" w:rsidRPr="00976D33">
        <w:instrText xml:space="preserve"> \* MERGEFORMAT </w:instrText>
      </w:r>
      <w:r w:rsidR="00F34D69" w:rsidRPr="00976D33">
        <w:fldChar w:fldCharType="separate"/>
      </w:r>
      <w:r w:rsidR="003B7FFA">
        <w:t>Tabela 5</w:t>
      </w:r>
      <w:r w:rsidR="00F34D69" w:rsidRPr="00976D33">
        <w:fldChar w:fldCharType="end"/>
      </w:r>
      <w:r>
        <w:t xml:space="preserve"> më poshtë tregon ngarkesën maksimale dhe minimale gjatë vitit 2022 sipas muajve:</w:t>
      </w:r>
    </w:p>
    <w:p w14:paraId="51E9F368" w14:textId="29ACD824" w:rsidR="75BDBE9B" w:rsidRPr="00976D33" w:rsidRDefault="00F34D69" w:rsidP="0061575E">
      <w:pPr>
        <w:pStyle w:val="Caption"/>
        <w:rPr>
          <w:rFonts w:ascii="Calibri" w:eastAsia="Calibri" w:hAnsi="Calibri" w:cs="Calibri"/>
          <w:sz w:val="22"/>
        </w:rPr>
      </w:pPr>
      <w:bookmarkStart w:id="110" w:name="_Ref164351750"/>
      <w:bookmarkStart w:id="111" w:name="_Toc181867298"/>
      <w:r>
        <w:t xml:space="preserve">Tabela </w:t>
      </w:r>
      <w:r w:rsidRPr="00976D33">
        <w:fldChar w:fldCharType="begin"/>
      </w:r>
      <w:r w:rsidRPr="00976D33">
        <w:instrText>SEQ Table \* ARABIC</w:instrText>
      </w:r>
      <w:r w:rsidRPr="00976D33">
        <w:fldChar w:fldCharType="separate"/>
      </w:r>
      <w:r w:rsidR="003B7FFA">
        <w:rPr>
          <w:noProof/>
        </w:rPr>
        <w:t>5</w:t>
      </w:r>
      <w:r w:rsidRPr="00976D33">
        <w:fldChar w:fldCharType="end"/>
      </w:r>
      <w:bookmarkEnd w:id="110"/>
      <w:r>
        <w:t xml:space="preserve">. </w:t>
      </w:r>
      <w:r>
        <w:rPr>
          <w:rFonts w:ascii="Calibri" w:hAnsi="Calibri"/>
          <w:sz w:val="22"/>
        </w:rPr>
        <w:t>: Ngarkesat maksimale dhe minimale në vitin 2022</w:t>
      </w:r>
      <w:bookmarkEnd w:id="111"/>
    </w:p>
    <w:tbl>
      <w:tblPr>
        <w:tblStyle w:val="GridTable5Dark-Accent11"/>
        <w:tblW w:w="0" w:type="auto"/>
        <w:tblLook w:val="04A0" w:firstRow="1" w:lastRow="0" w:firstColumn="1" w:lastColumn="0" w:noHBand="0" w:noVBand="1"/>
      </w:tblPr>
      <w:tblGrid>
        <w:gridCol w:w="1295"/>
        <w:gridCol w:w="729"/>
        <w:gridCol w:w="736"/>
        <w:gridCol w:w="746"/>
        <w:gridCol w:w="736"/>
        <w:gridCol w:w="676"/>
        <w:gridCol w:w="658"/>
        <w:gridCol w:w="701"/>
        <w:gridCol w:w="712"/>
        <w:gridCol w:w="631"/>
        <w:gridCol w:w="618"/>
        <w:gridCol w:w="663"/>
        <w:gridCol w:w="663"/>
      </w:tblGrid>
      <w:tr w:rsidR="00CD1CE4" w:rsidRPr="00976D33" w14:paraId="5BBC560D" w14:textId="3985EB38" w:rsidTr="00CD1C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dxa"/>
          </w:tcPr>
          <w:p w14:paraId="2721D64D" w14:textId="44D5312A" w:rsidR="00CD1CE4" w:rsidRPr="00976D33" w:rsidRDefault="00CD1CE4" w:rsidP="00CD1CE4">
            <w:pPr>
              <w:rPr>
                <w:rFonts w:ascii="Calibri" w:eastAsia="Calibri" w:hAnsi="Calibri" w:cs="Calibri"/>
                <w:color w:val="FFFFFF" w:themeColor="background1"/>
                <w:sz w:val="22"/>
              </w:rPr>
            </w:pPr>
            <w:r>
              <w:rPr>
                <w:rFonts w:ascii="Calibri" w:hAnsi="Calibri"/>
                <w:color w:val="FFFFFF" w:themeColor="background1"/>
                <w:sz w:val="22"/>
              </w:rPr>
              <w:t>Ngarkesa 2022 (MWh/h)</w:t>
            </w:r>
          </w:p>
        </w:tc>
        <w:tc>
          <w:tcPr>
            <w:tcW w:w="758" w:type="dxa"/>
          </w:tcPr>
          <w:p w14:paraId="582705DD" w14:textId="753B7706" w:rsidR="00CD1CE4" w:rsidRPr="00976D33" w:rsidRDefault="00CD1CE4" w:rsidP="00CD1CE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1"/>
                <w:sz w:val="22"/>
              </w:rPr>
            </w:pPr>
            <w:r>
              <w:rPr>
                <w:rFonts w:ascii="Calibri" w:hAnsi="Calibri"/>
                <w:color w:val="FFFFFF" w:themeColor="background1"/>
                <w:sz w:val="22"/>
              </w:rPr>
              <w:t>Jan</w:t>
            </w:r>
          </w:p>
        </w:tc>
        <w:tc>
          <w:tcPr>
            <w:tcW w:w="767" w:type="dxa"/>
          </w:tcPr>
          <w:p w14:paraId="6C18CA78" w14:textId="754AC4F5" w:rsidR="00CD1CE4" w:rsidRPr="00976D33" w:rsidRDefault="00CD1CE4" w:rsidP="00CD1CE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1"/>
                <w:sz w:val="22"/>
              </w:rPr>
            </w:pPr>
            <w:r>
              <w:rPr>
                <w:rFonts w:ascii="Calibri" w:hAnsi="Calibri"/>
                <w:color w:val="FFFFFF" w:themeColor="background1"/>
                <w:sz w:val="22"/>
              </w:rPr>
              <w:t>Shku</w:t>
            </w:r>
          </w:p>
        </w:tc>
        <w:tc>
          <w:tcPr>
            <w:tcW w:w="781" w:type="dxa"/>
          </w:tcPr>
          <w:p w14:paraId="0E1C5FF9" w14:textId="2AA3906C" w:rsidR="00CD1CE4" w:rsidRPr="00976D33" w:rsidRDefault="00CD1CE4" w:rsidP="00CD1CE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1"/>
                <w:sz w:val="22"/>
              </w:rPr>
            </w:pPr>
            <w:r>
              <w:rPr>
                <w:rFonts w:ascii="Calibri" w:hAnsi="Calibri"/>
                <w:color w:val="FFFFFF" w:themeColor="background1"/>
                <w:sz w:val="22"/>
              </w:rPr>
              <w:t>Mar</w:t>
            </w:r>
          </w:p>
        </w:tc>
        <w:tc>
          <w:tcPr>
            <w:tcW w:w="767" w:type="dxa"/>
          </w:tcPr>
          <w:p w14:paraId="719A8907" w14:textId="31D32171" w:rsidR="00CD1CE4" w:rsidRPr="00976D33" w:rsidRDefault="00CD1CE4" w:rsidP="00CD1CE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1"/>
                <w:sz w:val="22"/>
              </w:rPr>
            </w:pPr>
            <w:r>
              <w:rPr>
                <w:rFonts w:ascii="Calibri" w:hAnsi="Calibri"/>
                <w:color w:val="FFFFFF" w:themeColor="background1"/>
                <w:sz w:val="22"/>
              </w:rPr>
              <w:t>Pri</w:t>
            </w:r>
          </w:p>
        </w:tc>
        <w:tc>
          <w:tcPr>
            <w:tcW w:w="719" w:type="dxa"/>
          </w:tcPr>
          <w:p w14:paraId="5087CCE0" w14:textId="1CD3723F" w:rsidR="00CD1CE4" w:rsidRPr="00976D33" w:rsidRDefault="00CD1CE4" w:rsidP="00CD1CE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1"/>
                <w:sz w:val="22"/>
              </w:rPr>
            </w:pPr>
            <w:r>
              <w:rPr>
                <w:rFonts w:ascii="Calibri" w:hAnsi="Calibri"/>
                <w:color w:val="FFFFFF" w:themeColor="background1"/>
                <w:sz w:val="22"/>
              </w:rPr>
              <w:t>Maj</w:t>
            </w:r>
          </w:p>
        </w:tc>
        <w:tc>
          <w:tcPr>
            <w:tcW w:w="701" w:type="dxa"/>
          </w:tcPr>
          <w:p w14:paraId="04CB869E" w14:textId="1B29FFA5" w:rsidR="00CD1CE4" w:rsidRPr="00976D33" w:rsidRDefault="00CD1CE4" w:rsidP="00CD1CE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1"/>
                <w:sz w:val="22"/>
              </w:rPr>
            </w:pPr>
            <w:r>
              <w:rPr>
                <w:rFonts w:ascii="Calibri" w:hAnsi="Calibri"/>
                <w:color w:val="FFFFFF" w:themeColor="background1"/>
                <w:sz w:val="22"/>
              </w:rPr>
              <w:t>Qer</w:t>
            </w:r>
          </w:p>
        </w:tc>
        <w:tc>
          <w:tcPr>
            <w:tcW w:w="740" w:type="dxa"/>
          </w:tcPr>
          <w:p w14:paraId="0EF81BB1" w14:textId="354114C4" w:rsidR="00CD1CE4" w:rsidRPr="00976D33" w:rsidRDefault="00CD1CE4" w:rsidP="00CD1CE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1"/>
                <w:sz w:val="22"/>
              </w:rPr>
            </w:pPr>
            <w:r>
              <w:rPr>
                <w:rFonts w:ascii="Calibri" w:hAnsi="Calibri"/>
                <w:color w:val="FFFFFF" w:themeColor="background1"/>
                <w:sz w:val="22"/>
              </w:rPr>
              <w:t>Korr</w:t>
            </w:r>
          </w:p>
        </w:tc>
        <w:tc>
          <w:tcPr>
            <w:tcW w:w="725" w:type="dxa"/>
          </w:tcPr>
          <w:p w14:paraId="5F4B02EE" w14:textId="1CC6630B" w:rsidR="00CD1CE4" w:rsidRPr="00976D33" w:rsidRDefault="00CD1CE4" w:rsidP="00CD1CE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1"/>
                <w:sz w:val="22"/>
              </w:rPr>
            </w:pPr>
            <w:r>
              <w:rPr>
                <w:rFonts w:ascii="Calibri" w:hAnsi="Calibri"/>
                <w:color w:val="FFFFFF" w:themeColor="background1"/>
                <w:sz w:val="22"/>
              </w:rPr>
              <w:t>Gush</w:t>
            </w:r>
          </w:p>
        </w:tc>
        <w:tc>
          <w:tcPr>
            <w:tcW w:w="635" w:type="dxa"/>
          </w:tcPr>
          <w:p w14:paraId="1B396860" w14:textId="01D26D8C" w:rsidR="00CD1CE4" w:rsidRPr="00976D33" w:rsidRDefault="00CD1CE4" w:rsidP="00CD1CE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1"/>
                <w:sz w:val="22"/>
              </w:rPr>
            </w:pPr>
            <w:r>
              <w:rPr>
                <w:rFonts w:ascii="Calibri" w:hAnsi="Calibri"/>
                <w:color w:val="FFFFFF" w:themeColor="background1"/>
                <w:sz w:val="22"/>
              </w:rPr>
              <w:t xml:space="preserve">Shta </w:t>
            </w:r>
          </w:p>
        </w:tc>
        <w:tc>
          <w:tcPr>
            <w:tcW w:w="647" w:type="dxa"/>
          </w:tcPr>
          <w:p w14:paraId="0465E852" w14:textId="00C15174" w:rsidR="00CD1CE4" w:rsidRPr="00976D33" w:rsidRDefault="00CD1CE4" w:rsidP="00CD1CE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1"/>
                <w:sz w:val="22"/>
              </w:rPr>
            </w:pPr>
            <w:r>
              <w:rPr>
                <w:rFonts w:ascii="Calibri" w:hAnsi="Calibri"/>
                <w:color w:val="FFFFFF" w:themeColor="background1"/>
                <w:sz w:val="22"/>
              </w:rPr>
              <w:t>Tet</w:t>
            </w:r>
          </w:p>
        </w:tc>
        <w:tc>
          <w:tcPr>
            <w:tcW w:w="637" w:type="dxa"/>
          </w:tcPr>
          <w:p w14:paraId="548E432A" w14:textId="135E8E76" w:rsidR="00CD1CE4" w:rsidRPr="00976D33" w:rsidRDefault="00CD1CE4" w:rsidP="00CD1CE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1"/>
                <w:sz w:val="22"/>
              </w:rPr>
            </w:pPr>
            <w:r>
              <w:rPr>
                <w:rFonts w:ascii="Calibri" w:hAnsi="Calibri"/>
                <w:color w:val="FFFFFF" w:themeColor="background1"/>
                <w:sz w:val="22"/>
              </w:rPr>
              <w:t>Nën</w:t>
            </w:r>
          </w:p>
        </w:tc>
        <w:tc>
          <w:tcPr>
            <w:tcW w:w="539" w:type="dxa"/>
          </w:tcPr>
          <w:p w14:paraId="619D952A" w14:textId="2D8BFBA3" w:rsidR="00CD1CE4" w:rsidRPr="00976D33" w:rsidRDefault="00CD1CE4" w:rsidP="00CD1CE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1"/>
                <w:sz w:val="22"/>
              </w:rPr>
            </w:pPr>
            <w:r>
              <w:rPr>
                <w:rFonts w:ascii="Calibri" w:hAnsi="Calibri"/>
                <w:color w:val="FFFFFF" w:themeColor="background1"/>
                <w:sz w:val="22"/>
              </w:rPr>
              <w:t>Dhje</w:t>
            </w:r>
          </w:p>
        </w:tc>
      </w:tr>
      <w:tr w:rsidR="00CD1CE4" w:rsidRPr="00976D33" w14:paraId="3F49265E" w14:textId="75705395" w:rsidTr="00CD1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dxa"/>
          </w:tcPr>
          <w:p w14:paraId="633E18A5" w14:textId="48D53F8A" w:rsidR="00CD1CE4" w:rsidRPr="00976D33" w:rsidRDefault="00CD1CE4" w:rsidP="00CD1CE4">
            <w:pPr>
              <w:rPr>
                <w:rFonts w:ascii="Calibri" w:eastAsia="Calibri" w:hAnsi="Calibri" w:cs="Calibri"/>
                <w:color w:val="FFFFFF" w:themeColor="background1"/>
                <w:sz w:val="22"/>
              </w:rPr>
            </w:pPr>
            <w:r>
              <w:rPr>
                <w:rFonts w:ascii="Calibri" w:hAnsi="Calibri"/>
                <w:color w:val="FFFFFF" w:themeColor="background1"/>
                <w:sz w:val="22"/>
              </w:rPr>
              <w:t>Maksimumi</w:t>
            </w:r>
          </w:p>
        </w:tc>
        <w:tc>
          <w:tcPr>
            <w:tcW w:w="758" w:type="dxa"/>
          </w:tcPr>
          <w:p w14:paraId="60446FAB" w14:textId="05A65CF7" w:rsidR="00CD1CE4" w:rsidRPr="00976D33" w:rsidRDefault="00CD1CE4" w:rsidP="00CD1CE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rPr>
            </w:pPr>
            <w:r>
              <w:rPr>
                <w:rFonts w:ascii="Calibri" w:hAnsi="Calibri"/>
                <w:sz w:val="22"/>
              </w:rPr>
              <w:t>1429</w:t>
            </w:r>
          </w:p>
        </w:tc>
        <w:tc>
          <w:tcPr>
            <w:tcW w:w="767" w:type="dxa"/>
          </w:tcPr>
          <w:p w14:paraId="3C7CEB62" w14:textId="251FD1FC" w:rsidR="00CD1CE4" w:rsidRPr="00976D33" w:rsidRDefault="00CD1CE4" w:rsidP="00CD1CE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rPr>
            </w:pPr>
            <w:r>
              <w:rPr>
                <w:rFonts w:ascii="Calibri" w:hAnsi="Calibri"/>
                <w:sz w:val="22"/>
              </w:rPr>
              <w:t>1291</w:t>
            </w:r>
          </w:p>
        </w:tc>
        <w:tc>
          <w:tcPr>
            <w:tcW w:w="781" w:type="dxa"/>
          </w:tcPr>
          <w:p w14:paraId="1F5ED689" w14:textId="5DDEB8B4" w:rsidR="00CD1CE4" w:rsidRPr="00976D33" w:rsidRDefault="00CD1CE4" w:rsidP="00CD1CE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rPr>
            </w:pPr>
            <w:r>
              <w:rPr>
                <w:rFonts w:ascii="Calibri" w:hAnsi="Calibri"/>
                <w:sz w:val="22"/>
              </w:rPr>
              <w:t>1311</w:t>
            </w:r>
          </w:p>
        </w:tc>
        <w:tc>
          <w:tcPr>
            <w:tcW w:w="767" w:type="dxa"/>
          </w:tcPr>
          <w:p w14:paraId="145907A2" w14:textId="2320D03E" w:rsidR="00CD1CE4" w:rsidRPr="00976D33" w:rsidRDefault="00CD1CE4" w:rsidP="00CD1CE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rPr>
            </w:pPr>
            <w:r>
              <w:rPr>
                <w:rFonts w:ascii="Calibri" w:hAnsi="Calibri"/>
                <w:sz w:val="22"/>
              </w:rPr>
              <w:t>1077</w:t>
            </w:r>
          </w:p>
        </w:tc>
        <w:tc>
          <w:tcPr>
            <w:tcW w:w="719" w:type="dxa"/>
          </w:tcPr>
          <w:p w14:paraId="36869EBB" w14:textId="231CF890" w:rsidR="00CD1CE4" w:rsidRPr="00976D33" w:rsidRDefault="00CD1CE4" w:rsidP="00CD1CE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rPr>
            </w:pPr>
            <w:r>
              <w:rPr>
                <w:rFonts w:ascii="Calibri" w:hAnsi="Calibri"/>
                <w:sz w:val="22"/>
              </w:rPr>
              <w:t>857</w:t>
            </w:r>
          </w:p>
        </w:tc>
        <w:tc>
          <w:tcPr>
            <w:tcW w:w="701" w:type="dxa"/>
          </w:tcPr>
          <w:p w14:paraId="65842D58" w14:textId="41E3A8F6" w:rsidR="00CD1CE4" w:rsidRPr="00976D33" w:rsidRDefault="00CD1CE4" w:rsidP="00CD1CE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rPr>
            </w:pPr>
            <w:r>
              <w:rPr>
                <w:rFonts w:ascii="Calibri" w:hAnsi="Calibri"/>
                <w:sz w:val="22"/>
              </w:rPr>
              <w:t>721</w:t>
            </w:r>
          </w:p>
        </w:tc>
        <w:tc>
          <w:tcPr>
            <w:tcW w:w="740" w:type="dxa"/>
          </w:tcPr>
          <w:p w14:paraId="1ACC78C4" w14:textId="5A97963B" w:rsidR="00CD1CE4" w:rsidRPr="00976D33" w:rsidRDefault="00CD1CE4" w:rsidP="00CD1CE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rPr>
            </w:pPr>
            <w:r>
              <w:rPr>
                <w:rFonts w:ascii="Calibri" w:hAnsi="Calibri"/>
                <w:sz w:val="22"/>
              </w:rPr>
              <w:t>768</w:t>
            </w:r>
          </w:p>
        </w:tc>
        <w:tc>
          <w:tcPr>
            <w:tcW w:w="725" w:type="dxa"/>
          </w:tcPr>
          <w:p w14:paraId="3141AAFB" w14:textId="48EEB999" w:rsidR="00CD1CE4" w:rsidRPr="00976D33" w:rsidRDefault="00CD1CE4" w:rsidP="00CD1CE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rPr>
            </w:pPr>
            <w:r>
              <w:rPr>
                <w:rFonts w:ascii="Calibri" w:hAnsi="Calibri"/>
                <w:sz w:val="22"/>
              </w:rPr>
              <w:t>764</w:t>
            </w:r>
          </w:p>
        </w:tc>
        <w:tc>
          <w:tcPr>
            <w:tcW w:w="635" w:type="dxa"/>
          </w:tcPr>
          <w:p w14:paraId="34B48E54" w14:textId="75B90E05" w:rsidR="00CD1CE4" w:rsidRPr="00976D33" w:rsidRDefault="00CD1CE4" w:rsidP="00CD1CE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rPr>
            </w:pPr>
            <w:r>
              <w:rPr>
                <w:rFonts w:ascii="Calibri" w:hAnsi="Calibri"/>
                <w:sz w:val="22"/>
              </w:rPr>
              <w:t>699</w:t>
            </w:r>
          </w:p>
        </w:tc>
        <w:tc>
          <w:tcPr>
            <w:tcW w:w="647" w:type="dxa"/>
          </w:tcPr>
          <w:p w14:paraId="0DC4F054" w14:textId="6E96E0A0" w:rsidR="00CD1CE4" w:rsidRPr="00976D33" w:rsidRDefault="00CD1CE4" w:rsidP="00CD1CE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rPr>
            </w:pPr>
            <w:r>
              <w:rPr>
                <w:rFonts w:ascii="Calibri" w:hAnsi="Calibri"/>
                <w:sz w:val="22"/>
              </w:rPr>
              <w:t>879</w:t>
            </w:r>
          </w:p>
        </w:tc>
        <w:tc>
          <w:tcPr>
            <w:tcW w:w="637" w:type="dxa"/>
          </w:tcPr>
          <w:p w14:paraId="574488C0" w14:textId="05DE66B5" w:rsidR="00CD1CE4" w:rsidRPr="00976D33" w:rsidRDefault="00CD1CE4" w:rsidP="00CD1CE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rPr>
            </w:pPr>
            <w:r>
              <w:rPr>
                <w:rFonts w:ascii="Calibri" w:hAnsi="Calibri"/>
                <w:sz w:val="22"/>
              </w:rPr>
              <w:t>1135</w:t>
            </w:r>
          </w:p>
        </w:tc>
        <w:tc>
          <w:tcPr>
            <w:tcW w:w="539" w:type="dxa"/>
          </w:tcPr>
          <w:p w14:paraId="71436779" w14:textId="6D506630" w:rsidR="00CD1CE4" w:rsidRPr="00976D33" w:rsidRDefault="00CD1CE4" w:rsidP="00CD1CE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rPr>
            </w:pPr>
            <w:r>
              <w:rPr>
                <w:rFonts w:ascii="Calibri" w:hAnsi="Calibri"/>
                <w:sz w:val="22"/>
              </w:rPr>
              <w:t>1372</w:t>
            </w:r>
          </w:p>
        </w:tc>
      </w:tr>
      <w:tr w:rsidR="00CD1CE4" w:rsidRPr="00976D33" w14:paraId="354A2610" w14:textId="41E57FF9" w:rsidTr="00CD1CE4">
        <w:tc>
          <w:tcPr>
            <w:cnfStyle w:val="001000000000" w:firstRow="0" w:lastRow="0" w:firstColumn="1" w:lastColumn="0" w:oddVBand="0" w:evenVBand="0" w:oddHBand="0" w:evenHBand="0" w:firstRowFirstColumn="0" w:firstRowLastColumn="0" w:lastRowFirstColumn="0" w:lastRowLastColumn="0"/>
            <w:tcW w:w="1148" w:type="dxa"/>
          </w:tcPr>
          <w:p w14:paraId="7451AD0D" w14:textId="359831A8" w:rsidR="00CD1CE4" w:rsidRPr="00976D33" w:rsidRDefault="00CD1CE4" w:rsidP="00CD1CE4">
            <w:pPr>
              <w:rPr>
                <w:rFonts w:ascii="Calibri" w:eastAsia="Calibri" w:hAnsi="Calibri" w:cs="Calibri"/>
                <w:color w:val="FFFFFF" w:themeColor="background1"/>
                <w:sz w:val="22"/>
              </w:rPr>
            </w:pPr>
            <w:r>
              <w:rPr>
                <w:rFonts w:ascii="Calibri" w:hAnsi="Calibri"/>
                <w:color w:val="FFFFFF" w:themeColor="background1"/>
                <w:sz w:val="22"/>
              </w:rPr>
              <w:t>Minimumi</w:t>
            </w:r>
          </w:p>
        </w:tc>
        <w:tc>
          <w:tcPr>
            <w:tcW w:w="758" w:type="dxa"/>
          </w:tcPr>
          <w:p w14:paraId="7C68C1CE" w14:textId="53394E95" w:rsidR="00CD1CE4" w:rsidRPr="00976D33" w:rsidRDefault="00CD1CE4" w:rsidP="00CD1CE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rPr>
            </w:pPr>
            <w:r>
              <w:rPr>
                <w:rFonts w:ascii="Calibri" w:hAnsi="Calibri"/>
                <w:sz w:val="22"/>
              </w:rPr>
              <w:t>715</w:t>
            </w:r>
          </w:p>
        </w:tc>
        <w:tc>
          <w:tcPr>
            <w:tcW w:w="767" w:type="dxa"/>
          </w:tcPr>
          <w:p w14:paraId="59E0063A" w14:textId="6B4CCCFC" w:rsidR="00CD1CE4" w:rsidRPr="00976D33" w:rsidRDefault="00CD1CE4" w:rsidP="00CD1CE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rPr>
            </w:pPr>
            <w:r>
              <w:rPr>
                <w:rFonts w:ascii="Calibri" w:hAnsi="Calibri"/>
                <w:sz w:val="22"/>
              </w:rPr>
              <w:t>562</w:t>
            </w:r>
          </w:p>
        </w:tc>
        <w:tc>
          <w:tcPr>
            <w:tcW w:w="781" w:type="dxa"/>
          </w:tcPr>
          <w:p w14:paraId="025BCBCC" w14:textId="2AA600D2" w:rsidR="00CD1CE4" w:rsidRPr="00976D33" w:rsidRDefault="00CD1CE4" w:rsidP="00CD1CE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rPr>
            </w:pPr>
            <w:r>
              <w:rPr>
                <w:rFonts w:ascii="Calibri" w:hAnsi="Calibri"/>
                <w:sz w:val="22"/>
              </w:rPr>
              <w:t>486</w:t>
            </w:r>
          </w:p>
        </w:tc>
        <w:tc>
          <w:tcPr>
            <w:tcW w:w="767" w:type="dxa"/>
          </w:tcPr>
          <w:p w14:paraId="16A5F3BB" w14:textId="357057D6" w:rsidR="00CD1CE4" w:rsidRPr="00976D33" w:rsidRDefault="00CD1CE4" w:rsidP="00CD1CE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rPr>
            </w:pPr>
            <w:r>
              <w:rPr>
                <w:rFonts w:ascii="Calibri" w:hAnsi="Calibri"/>
                <w:sz w:val="22"/>
              </w:rPr>
              <w:t>369</w:t>
            </w:r>
          </w:p>
        </w:tc>
        <w:tc>
          <w:tcPr>
            <w:tcW w:w="719" w:type="dxa"/>
          </w:tcPr>
          <w:p w14:paraId="7783FD43" w14:textId="75537922" w:rsidR="00CD1CE4" w:rsidRPr="00976D33" w:rsidRDefault="00CD1CE4" w:rsidP="00CD1CE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rPr>
            </w:pPr>
            <w:r>
              <w:rPr>
                <w:rFonts w:ascii="Calibri" w:hAnsi="Calibri"/>
                <w:sz w:val="22"/>
              </w:rPr>
              <w:t>294</w:t>
            </w:r>
          </w:p>
        </w:tc>
        <w:tc>
          <w:tcPr>
            <w:tcW w:w="701" w:type="dxa"/>
          </w:tcPr>
          <w:p w14:paraId="1D97EA41" w14:textId="2ECD6CAF" w:rsidR="00CD1CE4" w:rsidRPr="00976D33" w:rsidRDefault="00CD1CE4" w:rsidP="00CD1CE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rPr>
            </w:pPr>
            <w:r>
              <w:rPr>
                <w:rFonts w:ascii="Calibri" w:hAnsi="Calibri"/>
                <w:sz w:val="22"/>
              </w:rPr>
              <w:t>306</w:t>
            </w:r>
          </w:p>
        </w:tc>
        <w:tc>
          <w:tcPr>
            <w:tcW w:w="740" w:type="dxa"/>
          </w:tcPr>
          <w:p w14:paraId="68027D47" w14:textId="0E73B992" w:rsidR="00CD1CE4" w:rsidRPr="00976D33" w:rsidRDefault="00CD1CE4" w:rsidP="00CD1CE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rPr>
            </w:pPr>
            <w:r>
              <w:rPr>
                <w:rFonts w:ascii="Calibri" w:hAnsi="Calibri"/>
                <w:sz w:val="22"/>
              </w:rPr>
              <w:t>337</w:t>
            </w:r>
          </w:p>
        </w:tc>
        <w:tc>
          <w:tcPr>
            <w:tcW w:w="725" w:type="dxa"/>
          </w:tcPr>
          <w:p w14:paraId="428CF970" w14:textId="4674520C" w:rsidR="00CD1CE4" w:rsidRPr="00976D33" w:rsidRDefault="00CD1CE4" w:rsidP="00CD1CE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rPr>
            </w:pPr>
            <w:r>
              <w:rPr>
                <w:rFonts w:ascii="Calibri" w:hAnsi="Calibri"/>
                <w:sz w:val="22"/>
              </w:rPr>
              <w:t>332</w:t>
            </w:r>
          </w:p>
        </w:tc>
        <w:tc>
          <w:tcPr>
            <w:tcW w:w="635" w:type="dxa"/>
          </w:tcPr>
          <w:p w14:paraId="3F5A57C4" w14:textId="674D3620" w:rsidR="00CD1CE4" w:rsidRPr="00976D33" w:rsidRDefault="00CD1CE4" w:rsidP="00CD1CE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rPr>
            </w:pPr>
            <w:r>
              <w:rPr>
                <w:rFonts w:ascii="Calibri" w:hAnsi="Calibri"/>
                <w:sz w:val="22"/>
              </w:rPr>
              <w:t>324</w:t>
            </w:r>
          </w:p>
        </w:tc>
        <w:tc>
          <w:tcPr>
            <w:tcW w:w="647" w:type="dxa"/>
          </w:tcPr>
          <w:p w14:paraId="07E5C5A9" w14:textId="2F53256F" w:rsidR="00CD1CE4" w:rsidRPr="00976D33" w:rsidRDefault="00CD1CE4" w:rsidP="00CD1CE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rPr>
            </w:pPr>
            <w:r>
              <w:rPr>
                <w:rFonts w:ascii="Calibri" w:hAnsi="Calibri"/>
                <w:sz w:val="22"/>
              </w:rPr>
              <w:t>350</w:t>
            </w:r>
          </w:p>
        </w:tc>
        <w:tc>
          <w:tcPr>
            <w:tcW w:w="637" w:type="dxa"/>
          </w:tcPr>
          <w:p w14:paraId="14DC9480" w14:textId="1A6FB76A" w:rsidR="00CD1CE4" w:rsidRPr="00976D33" w:rsidRDefault="00CD1CE4" w:rsidP="00CD1CE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rPr>
            </w:pPr>
            <w:r>
              <w:rPr>
                <w:rFonts w:ascii="Calibri" w:hAnsi="Calibri"/>
                <w:sz w:val="22"/>
              </w:rPr>
              <w:t>413</w:t>
            </w:r>
          </w:p>
        </w:tc>
        <w:tc>
          <w:tcPr>
            <w:tcW w:w="539" w:type="dxa"/>
          </w:tcPr>
          <w:p w14:paraId="1C6B4668" w14:textId="33634C31" w:rsidR="00CD1CE4" w:rsidRPr="00976D33" w:rsidRDefault="00CD1CE4" w:rsidP="00CD1CE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rPr>
            </w:pPr>
            <w:r>
              <w:rPr>
                <w:rFonts w:ascii="Calibri" w:hAnsi="Calibri"/>
                <w:sz w:val="22"/>
              </w:rPr>
              <w:t>782</w:t>
            </w:r>
          </w:p>
        </w:tc>
      </w:tr>
    </w:tbl>
    <w:p w14:paraId="08BE9C77" w14:textId="46A6B29C" w:rsidR="6EF5E9F0" w:rsidRPr="00976D33" w:rsidRDefault="6EF5E9F0" w:rsidP="31EB3AD4">
      <w:r>
        <w:rPr>
          <w:i/>
        </w:rPr>
        <w:t>Burimi: Raporti Vjetor i ZRRE-së 2022:</w:t>
      </w:r>
      <w:r>
        <w:t xml:space="preserve"> </w:t>
      </w:r>
    </w:p>
    <w:p w14:paraId="08C8F6D6" w14:textId="641D7A00" w:rsidR="3F4AD54E" w:rsidRPr="00976D33" w:rsidRDefault="3F4AD54E" w:rsidP="31EB3AD4">
      <w:r>
        <w:t>Krahasuar me të kaluarën, numri i dështimeve dhe sidomos ndërprerjeve të paplanifikuara të njësive gjeneruese me linjit ka rënë ndjeshëm.</w:t>
      </w:r>
      <w:r>
        <w:rPr>
          <w:rFonts w:ascii="Calibri Light" w:hAnsi="Calibri Light"/>
        </w:rPr>
        <w:t xml:space="preserve"> </w:t>
      </w:r>
      <w:r w:rsidR="00F34D69" w:rsidRPr="00976D33">
        <w:rPr>
          <w:rFonts w:asciiTheme="majorHAnsi" w:hAnsiTheme="majorHAnsi" w:cstheme="majorHAnsi"/>
        </w:rPr>
        <w:fldChar w:fldCharType="begin"/>
      </w:r>
      <w:r w:rsidR="00F34D69" w:rsidRPr="00976D33">
        <w:rPr>
          <w:rFonts w:asciiTheme="majorHAnsi" w:hAnsiTheme="majorHAnsi" w:cstheme="majorHAnsi"/>
        </w:rPr>
        <w:instrText xml:space="preserve"> REF _Ref164351778 \h </w:instrText>
      </w:r>
      <w:r w:rsidR="00A6143C" w:rsidRPr="00976D33">
        <w:rPr>
          <w:rFonts w:asciiTheme="majorHAnsi" w:hAnsiTheme="majorHAnsi" w:cstheme="majorHAnsi"/>
        </w:rPr>
        <w:instrText xml:space="preserve"> \* MERGEFORMAT </w:instrText>
      </w:r>
      <w:r w:rsidR="00F34D69" w:rsidRPr="00976D33">
        <w:rPr>
          <w:rFonts w:asciiTheme="majorHAnsi" w:hAnsiTheme="majorHAnsi" w:cstheme="majorHAnsi"/>
        </w:rPr>
      </w:r>
      <w:r w:rsidR="00F34D69" w:rsidRPr="00976D33">
        <w:rPr>
          <w:rFonts w:asciiTheme="majorHAnsi" w:hAnsiTheme="majorHAnsi" w:cstheme="majorHAnsi"/>
        </w:rPr>
        <w:fldChar w:fldCharType="separate"/>
      </w:r>
      <w:r w:rsidR="003B7FFA" w:rsidRPr="003B7FFA">
        <w:rPr>
          <w:rFonts w:asciiTheme="majorHAnsi" w:eastAsia="Calibri" w:hAnsiTheme="majorHAnsi" w:cstheme="majorHAnsi"/>
        </w:rPr>
        <w:t>Tabela 6</w:t>
      </w:r>
      <w:r w:rsidR="00F34D69" w:rsidRPr="00976D33">
        <w:rPr>
          <w:rFonts w:asciiTheme="majorHAnsi" w:hAnsiTheme="majorHAnsi" w:cstheme="majorHAnsi"/>
        </w:rPr>
        <w:fldChar w:fldCharType="end"/>
      </w:r>
      <w:r>
        <w:t xml:space="preserve"> tregon të gjitha llojet dhe numrin e ndërprerjeve dhe disponueshmërinë e termocentraleve për vitin 2022. Ndërprerjet dhe dështimet e paplanifikuara kanë ndodhur si në njësitë e Kosova A ashtu edhe në Kosova B, por janë më të shpeshta në rastin e Kosovës B. </w:t>
      </w:r>
    </w:p>
    <w:p w14:paraId="39EC3474" w14:textId="23DCF30E" w:rsidR="38132B98" w:rsidRPr="00976D33" w:rsidRDefault="00F34D69" w:rsidP="0061575E">
      <w:pPr>
        <w:pStyle w:val="Caption"/>
        <w:rPr>
          <w:rFonts w:ascii="Calibri" w:eastAsia="Calibri" w:hAnsi="Calibri" w:cs="Calibri"/>
          <w:sz w:val="22"/>
        </w:rPr>
      </w:pPr>
      <w:bookmarkStart w:id="112" w:name="_Ref164351778"/>
      <w:bookmarkStart w:id="113" w:name="_Toc181867299"/>
      <w:r>
        <w:rPr>
          <w:rFonts w:ascii="Calibri" w:hAnsi="Calibri"/>
          <w:sz w:val="22"/>
        </w:rPr>
        <w:t xml:space="preserve">Tabela </w:t>
      </w:r>
      <w:r w:rsidRPr="00976D33">
        <w:rPr>
          <w:rFonts w:ascii="Calibri" w:eastAsia="Calibri" w:hAnsi="Calibri" w:cs="Calibri"/>
          <w:sz w:val="22"/>
        </w:rPr>
        <w:fldChar w:fldCharType="begin"/>
      </w:r>
      <w:r w:rsidRPr="00976D33">
        <w:rPr>
          <w:rFonts w:ascii="Calibri" w:eastAsia="Calibri" w:hAnsi="Calibri" w:cs="Calibri"/>
          <w:sz w:val="22"/>
        </w:rPr>
        <w:instrText>SEQ Table \* ARABIC</w:instrText>
      </w:r>
      <w:r w:rsidRPr="00976D33">
        <w:rPr>
          <w:rFonts w:ascii="Calibri" w:eastAsia="Calibri" w:hAnsi="Calibri" w:cs="Calibri"/>
          <w:sz w:val="22"/>
        </w:rPr>
        <w:fldChar w:fldCharType="separate"/>
      </w:r>
      <w:r w:rsidR="003B7FFA">
        <w:rPr>
          <w:rFonts w:ascii="Calibri" w:eastAsia="Calibri" w:hAnsi="Calibri" w:cs="Calibri"/>
          <w:noProof/>
          <w:sz w:val="22"/>
        </w:rPr>
        <w:t>6</w:t>
      </w:r>
      <w:r w:rsidRPr="00976D33">
        <w:rPr>
          <w:rFonts w:ascii="Calibri" w:eastAsia="Calibri" w:hAnsi="Calibri" w:cs="Calibri"/>
          <w:sz w:val="22"/>
        </w:rPr>
        <w:fldChar w:fldCharType="end"/>
      </w:r>
      <w:bookmarkEnd w:id="112"/>
      <w:r>
        <w:rPr>
          <w:rFonts w:ascii="Calibri" w:hAnsi="Calibri"/>
          <w:sz w:val="22"/>
        </w:rPr>
        <w:t>. Prishjet e njësive gjeneruese në 2022</w:t>
      </w:r>
      <w:bookmarkEnd w:id="113"/>
    </w:p>
    <w:tbl>
      <w:tblPr>
        <w:tblStyle w:val="GridTable5Dark-Accent11"/>
        <w:tblW w:w="5000" w:type="pct"/>
        <w:tblLayout w:type="fixed"/>
        <w:tblLook w:val="01E0" w:firstRow="1" w:lastRow="1" w:firstColumn="1" w:lastColumn="1" w:noHBand="0" w:noVBand="0"/>
      </w:tblPr>
      <w:tblGrid>
        <w:gridCol w:w="2899"/>
        <w:gridCol w:w="1299"/>
        <w:gridCol w:w="1475"/>
        <w:gridCol w:w="1297"/>
        <w:gridCol w:w="1297"/>
        <w:gridCol w:w="1297"/>
      </w:tblGrid>
      <w:tr w:rsidR="00592F5F" w:rsidRPr="00976D33" w14:paraId="0AB81672" w14:textId="77777777" w:rsidTr="006E6E51">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16" w:type="pct"/>
            <w:vMerge w:val="restart"/>
          </w:tcPr>
          <w:p w14:paraId="3E9FE5D2" w14:textId="098F1F37" w:rsidR="31EB3AD4" w:rsidRPr="00976D33" w:rsidRDefault="31EB3AD4" w:rsidP="006E6E51">
            <w:pPr>
              <w:spacing w:before="5" w:after="0"/>
              <w:ind w:left="-20" w:right="-20"/>
              <w:rPr>
                <w:rFonts w:ascii="Calibri" w:eastAsia="Calibri" w:hAnsi="Calibri" w:cs="Calibri"/>
                <w:i/>
                <w:color w:val="FFFFFF" w:themeColor="background1"/>
                <w:sz w:val="13"/>
                <w:szCs w:val="13"/>
              </w:rPr>
            </w:pPr>
          </w:p>
          <w:p w14:paraId="6DC55601" w14:textId="13486AF5" w:rsidR="31EB3AD4" w:rsidRPr="00976D33" w:rsidRDefault="31EB3AD4" w:rsidP="006E6E51">
            <w:pPr>
              <w:spacing w:after="0"/>
              <w:ind w:left="984" w:right="968"/>
              <w:jc w:val="center"/>
              <w:rPr>
                <w:rFonts w:ascii="Calibri" w:eastAsia="Calibri" w:hAnsi="Calibri" w:cs="Calibri"/>
                <w:color w:val="FFFFFF" w:themeColor="background1"/>
                <w:sz w:val="19"/>
                <w:szCs w:val="19"/>
              </w:rPr>
            </w:pPr>
            <w:r>
              <w:rPr>
                <w:rFonts w:ascii="Calibri" w:hAnsi="Calibri"/>
                <w:color w:val="FFFFFF" w:themeColor="background1"/>
                <w:sz w:val="19"/>
              </w:rPr>
              <w:t>2022</w:t>
            </w:r>
          </w:p>
        </w:tc>
        <w:tc>
          <w:tcPr>
            <w:cnfStyle w:val="000010000000" w:firstRow="0" w:lastRow="0" w:firstColumn="0" w:lastColumn="0" w:oddVBand="1" w:evenVBand="0" w:oddHBand="0" w:evenHBand="0" w:firstRowFirstColumn="0" w:firstRowLastColumn="0" w:lastRowFirstColumn="0" w:lastRowLastColumn="0"/>
            <w:tcW w:w="2128" w:type="pct"/>
            <w:gridSpan w:val="3"/>
          </w:tcPr>
          <w:p w14:paraId="0E25F0CE" w14:textId="2239E51F" w:rsidR="31EB3AD4" w:rsidRPr="00976D33" w:rsidRDefault="31EB3AD4" w:rsidP="006E6E51">
            <w:pPr>
              <w:spacing w:before="14" w:after="0"/>
              <w:ind w:left="904" w:right="-20"/>
              <w:rPr>
                <w:rFonts w:ascii="Calibri" w:eastAsia="Calibri" w:hAnsi="Calibri" w:cs="Calibri"/>
                <w:color w:val="FFFFFF" w:themeColor="background1"/>
                <w:sz w:val="19"/>
                <w:szCs w:val="19"/>
              </w:rPr>
            </w:pPr>
            <w:r>
              <w:rPr>
                <w:rFonts w:ascii="Calibri" w:hAnsi="Calibri"/>
                <w:color w:val="FFFFFF" w:themeColor="background1"/>
                <w:sz w:val="19"/>
              </w:rPr>
              <w:t>TC Kosova A</w:t>
            </w:r>
          </w:p>
        </w:tc>
        <w:tc>
          <w:tcPr>
            <w:cnfStyle w:val="000100000000" w:firstRow="0" w:lastRow="0" w:firstColumn="0" w:lastColumn="1" w:oddVBand="0" w:evenVBand="0" w:oddHBand="0" w:evenHBand="0" w:firstRowFirstColumn="0" w:firstRowLastColumn="0" w:lastRowFirstColumn="0" w:lastRowLastColumn="0"/>
            <w:tcW w:w="1356" w:type="pct"/>
            <w:gridSpan w:val="2"/>
          </w:tcPr>
          <w:p w14:paraId="5F6DD673" w14:textId="57D05121" w:rsidR="31EB3AD4" w:rsidRPr="00976D33" w:rsidRDefault="31EB3AD4" w:rsidP="006E6E51">
            <w:pPr>
              <w:spacing w:before="14" w:after="0"/>
              <w:ind w:left="362" w:right="-20"/>
              <w:rPr>
                <w:rFonts w:ascii="Calibri" w:eastAsia="Calibri" w:hAnsi="Calibri" w:cs="Calibri"/>
                <w:color w:val="FFFFFF" w:themeColor="background1"/>
                <w:sz w:val="19"/>
                <w:szCs w:val="19"/>
              </w:rPr>
            </w:pPr>
            <w:r>
              <w:rPr>
                <w:rFonts w:ascii="Calibri" w:hAnsi="Calibri"/>
                <w:color w:val="FFFFFF" w:themeColor="background1"/>
                <w:sz w:val="19"/>
              </w:rPr>
              <w:t>TC Kosova B</w:t>
            </w:r>
          </w:p>
        </w:tc>
      </w:tr>
      <w:tr w:rsidR="00323325" w:rsidRPr="00976D33" w14:paraId="42FCBFC0" w14:textId="77777777" w:rsidTr="00CD1C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pct"/>
            <w:vMerge/>
          </w:tcPr>
          <w:p w14:paraId="3792ADAA" w14:textId="77777777" w:rsidR="00A9590F" w:rsidRPr="00976D33" w:rsidRDefault="00A9590F">
            <w:pPr>
              <w:rPr>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0" w:type="pct"/>
            <w:shd w:val="clear" w:color="auto" w:fill="024F75" w:themeFill="accent1"/>
          </w:tcPr>
          <w:p w14:paraId="66B7C1FF" w14:textId="2125F33E" w:rsidR="31EB3AD4" w:rsidRPr="00976D33" w:rsidRDefault="31EB3AD4" w:rsidP="006E6E51">
            <w:pPr>
              <w:spacing w:before="29" w:after="0"/>
              <w:ind w:left="210" w:right="173"/>
              <w:jc w:val="center"/>
              <w:rPr>
                <w:rFonts w:ascii="Calibri" w:eastAsia="Calibri" w:hAnsi="Calibri" w:cs="Calibri"/>
                <w:color w:val="FFFFFF" w:themeColor="background1"/>
                <w:sz w:val="19"/>
                <w:szCs w:val="19"/>
              </w:rPr>
            </w:pPr>
            <w:r>
              <w:rPr>
                <w:rFonts w:ascii="Calibri" w:hAnsi="Calibri"/>
                <w:color w:val="FFFFFF" w:themeColor="background1"/>
                <w:sz w:val="19"/>
              </w:rPr>
              <w:t>A3</w:t>
            </w:r>
          </w:p>
        </w:tc>
        <w:tc>
          <w:tcPr>
            <w:tcW w:w="0" w:type="pct"/>
            <w:shd w:val="clear" w:color="auto" w:fill="024F75" w:themeFill="accent1"/>
          </w:tcPr>
          <w:p w14:paraId="78FD4639" w14:textId="2A1E7D48" w:rsidR="31EB3AD4" w:rsidRPr="00976D33" w:rsidRDefault="31EB3AD4" w:rsidP="006E6E51">
            <w:pPr>
              <w:spacing w:before="29" w:after="0"/>
              <w:ind w:left="265" w:right="28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themeColor="background1"/>
                <w:sz w:val="19"/>
                <w:szCs w:val="19"/>
              </w:rPr>
            </w:pPr>
            <w:r>
              <w:rPr>
                <w:rFonts w:ascii="Calibri" w:hAnsi="Calibri"/>
                <w:color w:val="FFFFFF" w:themeColor="background1"/>
                <w:sz w:val="19"/>
              </w:rPr>
              <w:t>A4</w:t>
            </w:r>
          </w:p>
        </w:tc>
        <w:tc>
          <w:tcPr>
            <w:cnfStyle w:val="000010000000" w:firstRow="0" w:lastRow="0" w:firstColumn="0" w:lastColumn="0" w:oddVBand="1" w:evenVBand="0" w:oddHBand="0" w:evenHBand="0" w:firstRowFirstColumn="0" w:firstRowLastColumn="0" w:lastRowFirstColumn="0" w:lastRowLastColumn="0"/>
            <w:tcW w:w="0" w:type="pct"/>
            <w:shd w:val="clear" w:color="auto" w:fill="024F75" w:themeFill="accent1"/>
          </w:tcPr>
          <w:p w14:paraId="40BDF084" w14:textId="6666A49E" w:rsidR="31EB3AD4" w:rsidRPr="00976D33" w:rsidRDefault="31EB3AD4" w:rsidP="006E6E51">
            <w:pPr>
              <w:spacing w:before="29" w:after="0"/>
              <w:ind w:left="208" w:right="175"/>
              <w:jc w:val="center"/>
              <w:rPr>
                <w:rFonts w:ascii="Calibri" w:eastAsia="Calibri" w:hAnsi="Calibri" w:cs="Calibri"/>
                <w:color w:val="FFFFFF" w:themeColor="background1"/>
                <w:sz w:val="19"/>
                <w:szCs w:val="19"/>
              </w:rPr>
            </w:pPr>
            <w:r>
              <w:rPr>
                <w:rFonts w:ascii="Calibri" w:hAnsi="Calibri"/>
                <w:color w:val="FFFFFF" w:themeColor="background1"/>
                <w:sz w:val="19"/>
              </w:rPr>
              <w:t>A5</w:t>
            </w:r>
          </w:p>
        </w:tc>
        <w:tc>
          <w:tcPr>
            <w:tcW w:w="0" w:type="pct"/>
            <w:shd w:val="clear" w:color="auto" w:fill="024F75" w:themeFill="accent1"/>
          </w:tcPr>
          <w:p w14:paraId="67177348" w14:textId="1F2AA89F" w:rsidR="31EB3AD4" w:rsidRPr="00976D33" w:rsidRDefault="31EB3AD4" w:rsidP="006E6E51">
            <w:pPr>
              <w:spacing w:before="29" w:after="0"/>
              <w:ind w:left="208" w:right="176"/>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themeColor="background1"/>
                <w:sz w:val="19"/>
                <w:szCs w:val="19"/>
              </w:rPr>
            </w:pPr>
            <w:r>
              <w:rPr>
                <w:rFonts w:ascii="Calibri" w:hAnsi="Calibri"/>
                <w:color w:val="FFFFFF" w:themeColor="background1"/>
                <w:sz w:val="19"/>
              </w:rPr>
              <w:t>B1</w:t>
            </w:r>
          </w:p>
        </w:tc>
        <w:tc>
          <w:tcPr>
            <w:cnfStyle w:val="000100000000" w:firstRow="0" w:lastRow="0" w:firstColumn="0" w:lastColumn="1" w:oddVBand="0" w:evenVBand="0" w:oddHBand="0" w:evenHBand="0" w:firstRowFirstColumn="0" w:firstRowLastColumn="0" w:lastRowFirstColumn="0" w:lastRowLastColumn="0"/>
            <w:tcW w:w="0" w:type="pct"/>
            <w:shd w:val="clear" w:color="auto" w:fill="024F75" w:themeFill="accent1"/>
          </w:tcPr>
          <w:p w14:paraId="15949ACE" w14:textId="6EFA67AF" w:rsidR="31EB3AD4" w:rsidRPr="00976D33" w:rsidRDefault="31EB3AD4" w:rsidP="006E6E51">
            <w:pPr>
              <w:spacing w:before="29" w:after="0"/>
              <w:ind w:left="208" w:right="178"/>
              <w:jc w:val="center"/>
              <w:rPr>
                <w:rFonts w:ascii="Calibri" w:eastAsia="Calibri" w:hAnsi="Calibri" w:cs="Calibri"/>
                <w:color w:val="FFFFFF" w:themeColor="background1"/>
                <w:sz w:val="19"/>
                <w:szCs w:val="19"/>
              </w:rPr>
            </w:pPr>
            <w:r>
              <w:rPr>
                <w:rFonts w:ascii="Calibri" w:hAnsi="Calibri"/>
                <w:color w:val="FFFFFF" w:themeColor="background1"/>
                <w:sz w:val="19"/>
              </w:rPr>
              <w:t>B2</w:t>
            </w:r>
          </w:p>
        </w:tc>
      </w:tr>
      <w:tr w:rsidR="00CD1CE4" w:rsidRPr="00976D33" w14:paraId="3F83C4F0" w14:textId="77777777" w:rsidTr="765A32F9">
        <w:trPr>
          <w:trHeight w:val="285"/>
        </w:trPr>
        <w:tc>
          <w:tcPr>
            <w:cnfStyle w:val="001000000000" w:firstRow="0" w:lastRow="0" w:firstColumn="1" w:lastColumn="0" w:oddVBand="0" w:evenVBand="0" w:oddHBand="0" w:evenHBand="0" w:firstRowFirstColumn="0" w:firstRowLastColumn="0" w:lastRowFirstColumn="0" w:lastRowLastColumn="0"/>
            <w:tcW w:w="1516" w:type="pct"/>
          </w:tcPr>
          <w:p w14:paraId="300FCEE3" w14:textId="1A1B53E5" w:rsidR="31EB3AD4" w:rsidRPr="00976D33" w:rsidRDefault="31EB3AD4" w:rsidP="006E6E51">
            <w:pPr>
              <w:spacing w:before="44" w:after="0"/>
              <w:ind w:left="172" w:right="-20"/>
              <w:rPr>
                <w:rFonts w:ascii="Calibri" w:eastAsia="Calibri" w:hAnsi="Calibri" w:cs="Calibri"/>
                <w:color w:val="FFFFFF" w:themeColor="background1"/>
                <w:sz w:val="19"/>
                <w:szCs w:val="19"/>
              </w:rPr>
            </w:pPr>
            <w:r>
              <w:rPr>
                <w:rFonts w:ascii="Calibri" w:hAnsi="Calibri"/>
                <w:color w:val="FFFFFF" w:themeColor="background1"/>
                <w:sz w:val="19"/>
              </w:rPr>
              <w:t>Ndërprerjet e planifikuara</w:t>
            </w:r>
          </w:p>
        </w:tc>
        <w:tc>
          <w:tcPr>
            <w:cnfStyle w:val="000010000000" w:firstRow="0" w:lastRow="0" w:firstColumn="0" w:lastColumn="0" w:oddVBand="1" w:evenVBand="0" w:oddHBand="0" w:evenHBand="0" w:firstRowFirstColumn="0" w:firstRowLastColumn="0" w:lastRowFirstColumn="0" w:lastRowLastColumn="0"/>
            <w:tcW w:w="679" w:type="pct"/>
            <w:shd w:val="clear" w:color="auto" w:fill="D2F1EF" w:themeFill="accent6" w:themeFillTint="33"/>
          </w:tcPr>
          <w:p w14:paraId="49796FFF" w14:textId="76316764" w:rsidR="31EB3AD4" w:rsidRPr="00976D33" w:rsidRDefault="31EB3AD4" w:rsidP="006E6E51">
            <w:pPr>
              <w:spacing w:before="44" w:after="0"/>
              <w:ind w:left="22" w:right="-20"/>
              <w:jc w:val="center"/>
              <w:rPr>
                <w:rFonts w:ascii="Calibri" w:eastAsia="Calibri" w:hAnsi="Calibri" w:cs="Calibri"/>
                <w:sz w:val="19"/>
                <w:szCs w:val="19"/>
              </w:rPr>
            </w:pPr>
            <w:r>
              <w:rPr>
                <w:rFonts w:ascii="Calibri" w:hAnsi="Calibri"/>
                <w:sz w:val="19"/>
              </w:rPr>
              <w:t>5</w:t>
            </w:r>
          </w:p>
        </w:tc>
        <w:tc>
          <w:tcPr>
            <w:tcW w:w="771" w:type="pct"/>
            <w:shd w:val="clear" w:color="auto" w:fill="D2F1EF" w:themeFill="accent6" w:themeFillTint="33"/>
          </w:tcPr>
          <w:p w14:paraId="6850C753" w14:textId="2B08C3F1" w:rsidR="31EB3AD4" w:rsidRPr="00976D33" w:rsidRDefault="31EB3AD4" w:rsidP="006E6E51">
            <w:pPr>
              <w:spacing w:before="44" w:after="0"/>
              <w:ind w:left="5" w:right="-2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9"/>
                <w:szCs w:val="19"/>
              </w:rPr>
            </w:pPr>
            <w:r>
              <w:rPr>
                <w:rFonts w:ascii="Calibri" w:hAnsi="Calibri"/>
                <w:sz w:val="19"/>
              </w:rPr>
              <w:t>4</w:t>
            </w:r>
          </w:p>
        </w:tc>
        <w:tc>
          <w:tcPr>
            <w:cnfStyle w:val="000010000000" w:firstRow="0" w:lastRow="0" w:firstColumn="0" w:lastColumn="0" w:oddVBand="1" w:evenVBand="0" w:oddHBand="0" w:evenHBand="0" w:firstRowFirstColumn="0" w:firstRowLastColumn="0" w:lastRowFirstColumn="0" w:lastRowLastColumn="0"/>
            <w:tcW w:w="678" w:type="pct"/>
            <w:shd w:val="clear" w:color="auto" w:fill="D2F1EF" w:themeFill="accent6" w:themeFillTint="33"/>
          </w:tcPr>
          <w:p w14:paraId="50BB3C19" w14:textId="5AB52465" w:rsidR="31EB3AD4" w:rsidRPr="00976D33" w:rsidRDefault="31EB3AD4" w:rsidP="006E6E51">
            <w:pPr>
              <w:spacing w:before="44" w:after="0"/>
              <w:ind w:left="18" w:right="-20"/>
              <w:jc w:val="center"/>
              <w:rPr>
                <w:rFonts w:ascii="Calibri" w:eastAsia="Calibri" w:hAnsi="Calibri" w:cs="Calibri"/>
                <w:sz w:val="19"/>
                <w:szCs w:val="19"/>
              </w:rPr>
            </w:pPr>
            <w:r>
              <w:rPr>
                <w:rFonts w:ascii="Calibri" w:hAnsi="Calibri"/>
                <w:sz w:val="19"/>
              </w:rPr>
              <w:t>5</w:t>
            </w:r>
          </w:p>
        </w:tc>
        <w:tc>
          <w:tcPr>
            <w:tcW w:w="678" w:type="pct"/>
            <w:shd w:val="clear" w:color="auto" w:fill="D2F1EF" w:themeFill="accent6" w:themeFillTint="33"/>
          </w:tcPr>
          <w:p w14:paraId="1BD605D3" w14:textId="141636F1" w:rsidR="31EB3AD4" w:rsidRPr="00976D33" w:rsidRDefault="31EB3AD4" w:rsidP="006E6E51">
            <w:pPr>
              <w:spacing w:before="44" w:after="0"/>
              <w:ind w:left="18" w:right="-2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9"/>
                <w:szCs w:val="19"/>
              </w:rPr>
            </w:pPr>
            <w:r>
              <w:rPr>
                <w:rFonts w:ascii="Calibri" w:hAnsi="Calibri"/>
                <w:sz w:val="19"/>
              </w:rPr>
              <w:t>3</w:t>
            </w:r>
          </w:p>
        </w:tc>
        <w:tc>
          <w:tcPr>
            <w:cnfStyle w:val="000100000000" w:firstRow="0" w:lastRow="0" w:firstColumn="0" w:lastColumn="1" w:oddVBand="0" w:evenVBand="0" w:oddHBand="0" w:evenHBand="0" w:firstRowFirstColumn="0" w:firstRowLastColumn="0" w:lastRowFirstColumn="0" w:lastRowLastColumn="0"/>
            <w:tcW w:w="678" w:type="pct"/>
            <w:shd w:val="clear" w:color="auto" w:fill="D2F1EF" w:themeFill="accent6" w:themeFillTint="33"/>
          </w:tcPr>
          <w:p w14:paraId="29BFA74F" w14:textId="7F83D774" w:rsidR="31EB3AD4" w:rsidRPr="00976D33" w:rsidRDefault="31EB3AD4" w:rsidP="006E6E51">
            <w:pPr>
              <w:spacing w:before="44" w:after="0"/>
              <w:ind w:left="15" w:right="-20"/>
              <w:jc w:val="center"/>
              <w:rPr>
                <w:rFonts w:ascii="Calibri" w:eastAsia="Calibri" w:hAnsi="Calibri" w:cs="Calibri"/>
                <w:b w:val="0"/>
                <w:bCs/>
                <w:sz w:val="19"/>
                <w:szCs w:val="19"/>
              </w:rPr>
            </w:pPr>
            <w:r>
              <w:rPr>
                <w:rFonts w:ascii="Calibri" w:hAnsi="Calibri"/>
                <w:sz w:val="19"/>
              </w:rPr>
              <w:t>3</w:t>
            </w:r>
          </w:p>
        </w:tc>
      </w:tr>
      <w:tr w:rsidR="005B5044" w:rsidRPr="00976D33" w14:paraId="42A27988" w14:textId="77777777" w:rsidTr="765A32F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pct"/>
          </w:tcPr>
          <w:p w14:paraId="57A33F75" w14:textId="01553380" w:rsidR="31EB3AD4" w:rsidRPr="00976D33" w:rsidRDefault="31EB3AD4" w:rsidP="006E6E51">
            <w:pPr>
              <w:spacing w:before="43" w:after="0"/>
              <w:ind w:left="172" w:right="-20"/>
              <w:rPr>
                <w:rFonts w:ascii="Calibri" w:eastAsia="Calibri" w:hAnsi="Calibri" w:cs="Calibri"/>
                <w:color w:val="FFFFFF" w:themeColor="background1"/>
                <w:sz w:val="19"/>
                <w:szCs w:val="19"/>
              </w:rPr>
            </w:pPr>
            <w:r>
              <w:rPr>
                <w:rFonts w:ascii="Calibri" w:hAnsi="Calibri"/>
                <w:color w:val="FFFFFF" w:themeColor="background1"/>
                <w:sz w:val="19"/>
              </w:rPr>
              <w:t>Ndërprerjet e paplanifikuara</w:t>
            </w:r>
          </w:p>
        </w:tc>
        <w:tc>
          <w:tcPr>
            <w:cnfStyle w:val="000010000000" w:firstRow="0" w:lastRow="0" w:firstColumn="0" w:lastColumn="0" w:oddVBand="1" w:evenVBand="0" w:oddHBand="0" w:evenHBand="0" w:firstRowFirstColumn="0" w:firstRowLastColumn="0" w:lastRowFirstColumn="0" w:lastRowLastColumn="0"/>
            <w:tcW w:w="0" w:type="pct"/>
            <w:shd w:val="clear" w:color="auto" w:fill="D2F1EF" w:themeFill="accent6" w:themeFillTint="33"/>
          </w:tcPr>
          <w:p w14:paraId="70C4340F" w14:textId="11E1B5B1" w:rsidR="31EB3AD4" w:rsidRPr="00976D33" w:rsidRDefault="31EB3AD4" w:rsidP="006E6E51">
            <w:pPr>
              <w:spacing w:before="43" w:after="0"/>
              <w:ind w:left="22" w:right="-20"/>
              <w:jc w:val="center"/>
              <w:rPr>
                <w:rFonts w:ascii="Calibri" w:eastAsia="Calibri" w:hAnsi="Calibri" w:cs="Calibri"/>
                <w:sz w:val="19"/>
                <w:szCs w:val="19"/>
              </w:rPr>
            </w:pPr>
            <w:r>
              <w:rPr>
                <w:rFonts w:ascii="Calibri" w:hAnsi="Calibri"/>
                <w:sz w:val="19"/>
              </w:rPr>
              <w:t>4</w:t>
            </w:r>
          </w:p>
        </w:tc>
        <w:tc>
          <w:tcPr>
            <w:tcW w:w="0" w:type="pct"/>
            <w:shd w:val="clear" w:color="auto" w:fill="D2F1EF" w:themeFill="accent6" w:themeFillTint="33"/>
          </w:tcPr>
          <w:p w14:paraId="17B7A761" w14:textId="09E1B514" w:rsidR="31EB3AD4" w:rsidRPr="00976D33" w:rsidRDefault="31EB3AD4" w:rsidP="006E6E51">
            <w:pPr>
              <w:spacing w:before="43" w:after="0"/>
              <w:ind w:left="5" w:right="-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9"/>
                <w:szCs w:val="19"/>
              </w:rPr>
            </w:pPr>
            <w:r>
              <w:rPr>
                <w:rFonts w:ascii="Calibri" w:hAnsi="Calibri"/>
                <w:sz w:val="19"/>
              </w:rPr>
              <w:t>2</w:t>
            </w:r>
          </w:p>
        </w:tc>
        <w:tc>
          <w:tcPr>
            <w:cnfStyle w:val="000010000000" w:firstRow="0" w:lastRow="0" w:firstColumn="0" w:lastColumn="0" w:oddVBand="1" w:evenVBand="0" w:oddHBand="0" w:evenHBand="0" w:firstRowFirstColumn="0" w:firstRowLastColumn="0" w:lastRowFirstColumn="0" w:lastRowLastColumn="0"/>
            <w:tcW w:w="0" w:type="pct"/>
            <w:shd w:val="clear" w:color="auto" w:fill="D2F1EF" w:themeFill="accent6" w:themeFillTint="33"/>
          </w:tcPr>
          <w:p w14:paraId="3686DA1C" w14:textId="1C82EBBA" w:rsidR="31EB3AD4" w:rsidRPr="00976D33" w:rsidRDefault="31EB3AD4" w:rsidP="006E6E51">
            <w:pPr>
              <w:spacing w:before="43" w:after="0"/>
              <w:ind w:left="18" w:right="-20"/>
              <w:jc w:val="center"/>
              <w:rPr>
                <w:rFonts w:ascii="Calibri" w:eastAsia="Calibri" w:hAnsi="Calibri" w:cs="Calibri"/>
                <w:sz w:val="19"/>
                <w:szCs w:val="19"/>
              </w:rPr>
            </w:pPr>
            <w:r>
              <w:rPr>
                <w:rFonts w:ascii="Calibri" w:hAnsi="Calibri"/>
                <w:sz w:val="19"/>
              </w:rPr>
              <w:t>1</w:t>
            </w:r>
          </w:p>
        </w:tc>
        <w:tc>
          <w:tcPr>
            <w:tcW w:w="0" w:type="pct"/>
            <w:shd w:val="clear" w:color="auto" w:fill="D2F1EF" w:themeFill="accent6" w:themeFillTint="33"/>
          </w:tcPr>
          <w:p w14:paraId="0B703D6A" w14:textId="4ACB2BC6" w:rsidR="31EB3AD4" w:rsidRPr="00976D33" w:rsidRDefault="31EB3AD4" w:rsidP="006E6E51">
            <w:pPr>
              <w:spacing w:before="43" w:after="0"/>
              <w:ind w:left="18" w:right="-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9"/>
                <w:szCs w:val="19"/>
              </w:rPr>
            </w:pPr>
            <w:r>
              <w:rPr>
                <w:rFonts w:ascii="Calibri" w:hAnsi="Calibri"/>
                <w:sz w:val="19"/>
              </w:rPr>
              <w:t>7</w:t>
            </w:r>
          </w:p>
        </w:tc>
        <w:tc>
          <w:tcPr>
            <w:cnfStyle w:val="000100000000" w:firstRow="0" w:lastRow="0" w:firstColumn="0" w:lastColumn="1" w:oddVBand="0" w:evenVBand="0" w:oddHBand="0" w:evenHBand="0" w:firstRowFirstColumn="0" w:firstRowLastColumn="0" w:lastRowFirstColumn="0" w:lastRowLastColumn="0"/>
            <w:tcW w:w="0" w:type="pct"/>
            <w:shd w:val="clear" w:color="auto" w:fill="D2F1EF" w:themeFill="accent6" w:themeFillTint="33"/>
          </w:tcPr>
          <w:p w14:paraId="066797A9" w14:textId="5C3C1E21" w:rsidR="31EB3AD4" w:rsidRPr="00976D33" w:rsidRDefault="31EB3AD4" w:rsidP="006E6E51">
            <w:pPr>
              <w:spacing w:before="43" w:after="0"/>
              <w:ind w:left="15" w:right="-20"/>
              <w:jc w:val="center"/>
              <w:rPr>
                <w:rFonts w:ascii="Calibri" w:eastAsia="Calibri" w:hAnsi="Calibri" w:cs="Calibri"/>
                <w:b w:val="0"/>
                <w:bCs/>
                <w:sz w:val="19"/>
                <w:szCs w:val="19"/>
              </w:rPr>
            </w:pPr>
            <w:r>
              <w:rPr>
                <w:rFonts w:ascii="Calibri" w:hAnsi="Calibri"/>
                <w:sz w:val="19"/>
              </w:rPr>
              <w:t>5</w:t>
            </w:r>
          </w:p>
        </w:tc>
      </w:tr>
      <w:tr w:rsidR="005B5044" w:rsidRPr="00976D33" w14:paraId="1D17BD0F" w14:textId="77777777" w:rsidTr="765A32F9">
        <w:trPr>
          <w:trHeight w:val="285"/>
        </w:trPr>
        <w:tc>
          <w:tcPr>
            <w:cnfStyle w:val="001000000000" w:firstRow="0" w:lastRow="0" w:firstColumn="1" w:lastColumn="0" w:oddVBand="0" w:evenVBand="0" w:oddHBand="0" w:evenHBand="0" w:firstRowFirstColumn="0" w:firstRowLastColumn="0" w:lastRowFirstColumn="0" w:lastRowLastColumn="0"/>
            <w:tcW w:w="1516" w:type="pct"/>
          </w:tcPr>
          <w:p w14:paraId="02C52E24" w14:textId="1C9D2B21" w:rsidR="31EB3AD4" w:rsidRPr="00976D33" w:rsidRDefault="31EB3AD4" w:rsidP="006E6E51">
            <w:pPr>
              <w:spacing w:before="43" w:after="0"/>
              <w:ind w:left="172" w:right="-20"/>
              <w:rPr>
                <w:rFonts w:ascii="Calibri" w:eastAsia="Calibri" w:hAnsi="Calibri" w:cs="Calibri"/>
                <w:color w:val="FFFFFF" w:themeColor="background1"/>
                <w:sz w:val="19"/>
                <w:szCs w:val="19"/>
              </w:rPr>
            </w:pPr>
            <w:r>
              <w:rPr>
                <w:rFonts w:ascii="Calibri" w:hAnsi="Calibri"/>
                <w:color w:val="FFFFFF" w:themeColor="background1"/>
                <w:sz w:val="19"/>
              </w:rPr>
              <w:t>Dështimet</w:t>
            </w:r>
          </w:p>
        </w:tc>
        <w:tc>
          <w:tcPr>
            <w:cnfStyle w:val="000010000000" w:firstRow="0" w:lastRow="0" w:firstColumn="0" w:lastColumn="0" w:oddVBand="1" w:evenVBand="0" w:oddHBand="0" w:evenHBand="0" w:firstRowFirstColumn="0" w:firstRowLastColumn="0" w:lastRowFirstColumn="0" w:lastRowLastColumn="0"/>
            <w:tcW w:w="679" w:type="pct"/>
            <w:shd w:val="clear" w:color="auto" w:fill="D2F1EF" w:themeFill="accent6" w:themeFillTint="33"/>
          </w:tcPr>
          <w:p w14:paraId="473F8F64" w14:textId="2DF47D37" w:rsidR="31EB3AD4" w:rsidRPr="00976D33" w:rsidRDefault="31EB3AD4" w:rsidP="006E6E51">
            <w:pPr>
              <w:spacing w:before="43" w:after="0"/>
              <w:ind w:left="22" w:right="-20"/>
              <w:jc w:val="center"/>
              <w:rPr>
                <w:rFonts w:ascii="Calibri" w:eastAsia="Calibri" w:hAnsi="Calibri" w:cs="Calibri"/>
                <w:sz w:val="19"/>
                <w:szCs w:val="19"/>
              </w:rPr>
            </w:pPr>
            <w:r>
              <w:rPr>
                <w:rFonts w:ascii="Calibri" w:hAnsi="Calibri"/>
                <w:sz w:val="19"/>
              </w:rPr>
              <w:t>2</w:t>
            </w:r>
          </w:p>
        </w:tc>
        <w:tc>
          <w:tcPr>
            <w:tcW w:w="771" w:type="pct"/>
            <w:shd w:val="clear" w:color="auto" w:fill="D2F1EF" w:themeFill="accent6" w:themeFillTint="33"/>
          </w:tcPr>
          <w:p w14:paraId="25348359" w14:textId="35DA1449" w:rsidR="31EB3AD4" w:rsidRPr="00976D33" w:rsidRDefault="31EB3AD4" w:rsidP="006E6E51">
            <w:pPr>
              <w:spacing w:before="43" w:after="0"/>
              <w:ind w:left="5" w:right="-2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9"/>
                <w:szCs w:val="19"/>
              </w:rPr>
            </w:pPr>
            <w:r>
              <w:rPr>
                <w:rFonts w:ascii="Calibri" w:hAnsi="Calibri"/>
                <w:sz w:val="19"/>
              </w:rPr>
              <w:t>2</w:t>
            </w:r>
          </w:p>
        </w:tc>
        <w:tc>
          <w:tcPr>
            <w:cnfStyle w:val="000010000000" w:firstRow="0" w:lastRow="0" w:firstColumn="0" w:lastColumn="0" w:oddVBand="1" w:evenVBand="0" w:oddHBand="0" w:evenHBand="0" w:firstRowFirstColumn="0" w:firstRowLastColumn="0" w:lastRowFirstColumn="0" w:lastRowLastColumn="0"/>
            <w:tcW w:w="678" w:type="pct"/>
            <w:shd w:val="clear" w:color="auto" w:fill="D2F1EF" w:themeFill="accent6" w:themeFillTint="33"/>
          </w:tcPr>
          <w:p w14:paraId="0EE73FCD" w14:textId="41F17113" w:rsidR="31EB3AD4" w:rsidRPr="00976D33" w:rsidRDefault="31EB3AD4" w:rsidP="006E6E51">
            <w:pPr>
              <w:spacing w:before="43" w:after="0"/>
              <w:ind w:left="18" w:right="-20"/>
              <w:jc w:val="center"/>
              <w:rPr>
                <w:rFonts w:ascii="Calibri" w:eastAsia="Calibri" w:hAnsi="Calibri" w:cs="Calibri"/>
                <w:sz w:val="19"/>
                <w:szCs w:val="19"/>
              </w:rPr>
            </w:pPr>
            <w:r>
              <w:rPr>
                <w:rFonts w:ascii="Calibri" w:hAnsi="Calibri"/>
                <w:sz w:val="19"/>
              </w:rPr>
              <w:t>0</w:t>
            </w:r>
          </w:p>
        </w:tc>
        <w:tc>
          <w:tcPr>
            <w:tcW w:w="678" w:type="pct"/>
            <w:shd w:val="clear" w:color="auto" w:fill="D2F1EF" w:themeFill="accent6" w:themeFillTint="33"/>
          </w:tcPr>
          <w:p w14:paraId="71B493EE" w14:textId="22498533" w:rsidR="31EB3AD4" w:rsidRPr="00976D33" w:rsidRDefault="31EB3AD4" w:rsidP="006E6E51">
            <w:pPr>
              <w:spacing w:before="43" w:after="0"/>
              <w:ind w:left="18" w:right="-2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9"/>
                <w:szCs w:val="19"/>
              </w:rPr>
            </w:pPr>
            <w:r>
              <w:rPr>
                <w:rFonts w:ascii="Calibri" w:hAnsi="Calibri"/>
                <w:sz w:val="19"/>
              </w:rPr>
              <w:t>9</w:t>
            </w:r>
          </w:p>
        </w:tc>
        <w:tc>
          <w:tcPr>
            <w:cnfStyle w:val="000100000000" w:firstRow="0" w:lastRow="0" w:firstColumn="0" w:lastColumn="1" w:oddVBand="0" w:evenVBand="0" w:oddHBand="0" w:evenHBand="0" w:firstRowFirstColumn="0" w:firstRowLastColumn="0" w:lastRowFirstColumn="0" w:lastRowLastColumn="0"/>
            <w:tcW w:w="678" w:type="pct"/>
            <w:shd w:val="clear" w:color="auto" w:fill="D2F1EF" w:themeFill="accent6" w:themeFillTint="33"/>
          </w:tcPr>
          <w:p w14:paraId="5793C142" w14:textId="1FB8C650" w:rsidR="31EB3AD4" w:rsidRPr="00976D33" w:rsidRDefault="31EB3AD4" w:rsidP="006E6E51">
            <w:pPr>
              <w:spacing w:before="43" w:after="0"/>
              <w:ind w:left="15" w:right="-20"/>
              <w:jc w:val="center"/>
              <w:rPr>
                <w:rFonts w:ascii="Calibri" w:eastAsia="Calibri" w:hAnsi="Calibri" w:cs="Calibri"/>
                <w:b w:val="0"/>
                <w:bCs/>
                <w:sz w:val="19"/>
                <w:szCs w:val="19"/>
              </w:rPr>
            </w:pPr>
            <w:r>
              <w:rPr>
                <w:rFonts w:ascii="Calibri" w:hAnsi="Calibri"/>
                <w:sz w:val="19"/>
              </w:rPr>
              <w:t>4</w:t>
            </w:r>
          </w:p>
        </w:tc>
      </w:tr>
      <w:tr w:rsidR="005B5044" w:rsidRPr="00976D33" w14:paraId="33F9EED0" w14:textId="77777777" w:rsidTr="765A32F9">
        <w:trPr>
          <w:cnfStyle w:val="010000000000" w:firstRow="0" w:lastRow="1"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pct"/>
          </w:tcPr>
          <w:p w14:paraId="54417688" w14:textId="7891FD8A" w:rsidR="31EB3AD4" w:rsidRPr="00976D33" w:rsidRDefault="31EB3AD4" w:rsidP="006E6E51">
            <w:pPr>
              <w:spacing w:before="43" w:after="0"/>
              <w:ind w:left="172" w:right="-20"/>
              <w:rPr>
                <w:rFonts w:ascii="Calibri" w:eastAsia="Calibri" w:hAnsi="Calibri" w:cs="Calibri"/>
                <w:color w:val="FFFFFF" w:themeColor="background1"/>
                <w:sz w:val="19"/>
                <w:szCs w:val="19"/>
              </w:rPr>
            </w:pPr>
            <w:r>
              <w:rPr>
                <w:rFonts w:ascii="Calibri" w:hAnsi="Calibri"/>
                <w:color w:val="FFFFFF" w:themeColor="background1"/>
                <w:sz w:val="19"/>
              </w:rPr>
              <w:t>Ndërprerjet totale</w:t>
            </w:r>
          </w:p>
        </w:tc>
        <w:tc>
          <w:tcPr>
            <w:cnfStyle w:val="000010000000" w:firstRow="0" w:lastRow="0" w:firstColumn="0" w:lastColumn="0" w:oddVBand="1" w:evenVBand="0" w:oddHBand="0" w:evenHBand="0" w:firstRowFirstColumn="0" w:firstRowLastColumn="0" w:lastRowFirstColumn="0" w:lastRowLastColumn="0"/>
            <w:tcW w:w="0" w:type="pct"/>
            <w:shd w:val="clear" w:color="auto" w:fill="D2F1EF" w:themeFill="accent6" w:themeFillTint="33"/>
          </w:tcPr>
          <w:p w14:paraId="6779A579" w14:textId="29CF9381" w:rsidR="31EB3AD4" w:rsidRPr="00976D33" w:rsidRDefault="31EB3AD4" w:rsidP="006E6E51">
            <w:pPr>
              <w:spacing w:before="43" w:after="0"/>
              <w:ind w:left="203" w:right="190"/>
              <w:jc w:val="center"/>
              <w:rPr>
                <w:rFonts w:ascii="Calibri" w:eastAsia="Calibri" w:hAnsi="Calibri" w:cs="Calibri"/>
                <w:sz w:val="19"/>
                <w:szCs w:val="19"/>
              </w:rPr>
            </w:pPr>
            <w:r>
              <w:rPr>
                <w:rFonts w:ascii="Calibri" w:hAnsi="Calibri"/>
                <w:sz w:val="19"/>
              </w:rPr>
              <w:t>11</w:t>
            </w:r>
          </w:p>
        </w:tc>
        <w:tc>
          <w:tcPr>
            <w:tcW w:w="0" w:type="pct"/>
            <w:shd w:val="clear" w:color="auto" w:fill="D2F1EF" w:themeFill="accent6" w:themeFillTint="33"/>
          </w:tcPr>
          <w:p w14:paraId="6514CF16" w14:textId="5BA0E6DD" w:rsidR="31EB3AD4" w:rsidRPr="00976D33" w:rsidRDefault="31EB3AD4" w:rsidP="006E6E51">
            <w:pPr>
              <w:spacing w:before="43" w:after="0"/>
              <w:ind w:left="5" w:right="-20"/>
              <w:jc w:val="center"/>
              <w:cnfStyle w:val="010000000000" w:firstRow="0" w:lastRow="1" w:firstColumn="0" w:lastColumn="0" w:oddVBand="0" w:evenVBand="0" w:oddHBand="0" w:evenHBand="0" w:firstRowFirstColumn="0" w:firstRowLastColumn="0" w:lastRowFirstColumn="0" w:lastRowLastColumn="0"/>
              <w:rPr>
                <w:rFonts w:ascii="Calibri" w:eastAsia="Calibri" w:hAnsi="Calibri" w:cs="Calibri"/>
                <w:sz w:val="19"/>
                <w:szCs w:val="19"/>
              </w:rPr>
            </w:pPr>
            <w:r>
              <w:rPr>
                <w:rFonts w:ascii="Calibri" w:hAnsi="Calibri"/>
                <w:sz w:val="19"/>
              </w:rPr>
              <w:t>8</w:t>
            </w:r>
          </w:p>
        </w:tc>
        <w:tc>
          <w:tcPr>
            <w:cnfStyle w:val="000010000000" w:firstRow="0" w:lastRow="0" w:firstColumn="0" w:lastColumn="0" w:oddVBand="1" w:evenVBand="0" w:oddHBand="0" w:evenHBand="0" w:firstRowFirstColumn="0" w:firstRowLastColumn="0" w:lastRowFirstColumn="0" w:lastRowLastColumn="0"/>
            <w:tcW w:w="0" w:type="pct"/>
            <w:shd w:val="clear" w:color="auto" w:fill="D2F1EF" w:themeFill="accent6" w:themeFillTint="33"/>
          </w:tcPr>
          <w:p w14:paraId="557186D3" w14:textId="41E98FBF" w:rsidR="31EB3AD4" w:rsidRPr="00976D33" w:rsidRDefault="31EB3AD4" w:rsidP="006E6E51">
            <w:pPr>
              <w:spacing w:before="43" w:after="0"/>
              <w:ind w:left="18" w:right="-20"/>
              <w:jc w:val="center"/>
              <w:rPr>
                <w:rFonts w:ascii="Calibri" w:eastAsia="Calibri" w:hAnsi="Calibri" w:cs="Calibri"/>
                <w:sz w:val="19"/>
                <w:szCs w:val="19"/>
              </w:rPr>
            </w:pPr>
            <w:r>
              <w:rPr>
                <w:rFonts w:ascii="Calibri" w:hAnsi="Calibri"/>
                <w:sz w:val="19"/>
              </w:rPr>
              <w:t>6</w:t>
            </w:r>
          </w:p>
        </w:tc>
        <w:tc>
          <w:tcPr>
            <w:tcW w:w="0" w:type="pct"/>
            <w:shd w:val="clear" w:color="auto" w:fill="D2F1EF" w:themeFill="accent6" w:themeFillTint="33"/>
          </w:tcPr>
          <w:p w14:paraId="7A79100D" w14:textId="31B2DEB1" w:rsidR="31EB3AD4" w:rsidRPr="00976D33" w:rsidRDefault="31EB3AD4" w:rsidP="006E6E51">
            <w:pPr>
              <w:spacing w:before="43" w:after="0"/>
              <w:ind w:left="199" w:right="191"/>
              <w:jc w:val="center"/>
              <w:cnfStyle w:val="010000000000" w:firstRow="0" w:lastRow="1" w:firstColumn="0" w:lastColumn="0" w:oddVBand="0" w:evenVBand="0" w:oddHBand="0" w:evenHBand="0" w:firstRowFirstColumn="0" w:firstRowLastColumn="0" w:lastRowFirstColumn="0" w:lastRowLastColumn="0"/>
              <w:rPr>
                <w:rFonts w:ascii="Calibri" w:eastAsia="Calibri" w:hAnsi="Calibri" w:cs="Calibri"/>
                <w:sz w:val="19"/>
                <w:szCs w:val="19"/>
              </w:rPr>
            </w:pPr>
            <w:r>
              <w:rPr>
                <w:rFonts w:ascii="Calibri" w:hAnsi="Calibri"/>
                <w:sz w:val="19"/>
              </w:rPr>
              <w:t>19</w:t>
            </w:r>
          </w:p>
        </w:tc>
        <w:tc>
          <w:tcPr>
            <w:cnfStyle w:val="000100000000" w:firstRow="0" w:lastRow="0" w:firstColumn="0" w:lastColumn="1" w:oddVBand="0" w:evenVBand="0" w:oddHBand="0" w:evenHBand="0" w:firstRowFirstColumn="0" w:firstRowLastColumn="0" w:lastRowFirstColumn="0" w:lastRowLastColumn="0"/>
            <w:tcW w:w="0" w:type="pct"/>
            <w:shd w:val="clear" w:color="auto" w:fill="D2F1EF" w:themeFill="accent6" w:themeFillTint="33"/>
          </w:tcPr>
          <w:p w14:paraId="7D67555C" w14:textId="3464CF5C" w:rsidR="31EB3AD4" w:rsidRPr="00976D33" w:rsidRDefault="31EB3AD4" w:rsidP="006E6E51">
            <w:pPr>
              <w:spacing w:before="43" w:after="0"/>
              <w:ind w:left="200" w:right="194"/>
              <w:jc w:val="center"/>
              <w:rPr>
                <w:rFonts w:ascii="Calibri" w:eastAsia="Calibri" w:hAnsi="Calibri" w:cs="Calibri"/>
                <w:b w:val="0"/>
                <w:bCs/>
                <w:sz w:val="19"/>
                <w:szCs w:val="19"/>
              </w:rPr>
            </w:pPr>
            <w:r>
              <w:rPr>
                <w:rFonts w:ascii="Calibri" w:hAnsi="Calibri"/>
                <w:sz w:val="19"/>
              </w:rPr>
              <w:t>12</w:t>
            </w:r>
          </w:p>
        </w:tc>
      </w:tr>
    </w:tbl>
    <w:p w14:paraId="3238EB34" w14:textId="72A7A247" w:rsidR="716CED69" w:rsidRPr="00976D33" w:rsidRDefault="716CED69" w:rsidP="31EB3AD4">
      <w:pPr>
        <w:rPr>
          <w:i/>
          <w:iCs/>
        </w:rPr>
      </w:pPr>
      <w:r>
        <w:rPr>
          <w:i/>
        </w:rPr>
        <w:t>Burimi: Raporti Vjetor i ZRRE-së 2022</w:t>
      </w:r>
    </w:p>
    <w:p w14:paraId="3FF3B525" w14:textId="567C9586" w:rsidR="00FE044C" w:rsidRDefault="00FE044C" w:rsidP="00FE044C">
      <w:pPr>
        <w:spacing w:after="0"/>
        <w:ind w:left="-20" w:right="-20"/>
        <w:rPr>
          <w:rFonts w:asciiTheme="majorHAnsi" w:hAnsiTheme="majorHAnsi"/>
          <w:color w:val="333333"/>
        </w:rPr>
      </w:pPr>
      <w:r>
        <w:rPr>
          <w:rFonts w:asciiTheme="majorHAnsi" w:hAnsiTheme="majorHAnsi"/>
        </w:rPr>
        <w:t xml:space="preserve">Përkundër progresit në sigurimin e disponueshmërisë së pandërprerë të termocentraleve të Kosovës, kapacitetet ekzistuese vendore të prodhimit të energjisë aktualisht nuk arrijnë të garantojnë siguri adekuate të furnizimit, duke bërë të nevojshme importet. </w:t>
      </w:r>
      <w:r>
        <w:rPr>
          <w:rFonts w:asciiTheme="majorHAnsi" w:hAnsiTheme="majorHAnsi"/>
          <w:color w:val="333333"/>
        </w:rPr>
        <w:t>Në mënyrë tipike, prodhimi maksimal kolektiv i arritshëm nga të gjitha njësitë operative varion ndërmjet 800-900 MW. Megjithatë, veçanërisht gjatë dimrit, kërkesa maksimale e tejkalon ndjeshëm këtë interval. Për shembull, në janar të vitit 2022, ngarkesa maksimale e regjistruar u rrit në 1429 MW (</w:t>
      </w:r>
      <w:r w:rsidR="00F34D69" w:rsidRPr="00976D33">
        <w:fldChar w:fldCharType="begin"/>
      </w:r>
      <w:r w:rsidR="00F34D69" w:rsidRPr="00976D33">
        <w:instrText xml:space="preserve"> REF _Ref164351750 \h </w:instrText>
      </w:r>
      <w:r w:rsidR="004A7007" w:rsidRPr="00976D33">
        <w:instrText xml:space="preserve"> \* MERGEFORMAT </w:instrText>
      </w:r>
      <w:r w:rsidR="00F34D69" w:rsidRPr="00976D33">
        <w:fldChar w:fldCharType="separate"/>
      </w:r>
      <w:r w:rsidR="003B7FFA">
        <w:t>Tabela 5</w:t>
      </w:r>
      <w:r w:rsidR="00F34D69" w:rsidRPr="00976D33">
        <w:fldChar w:fldCharType="end"/>
      </w:r>
      <w:r>
        <w:rPr>
          <w:rFonts w:asciiTheme="majorHAnsi" w:hAnsiTheme="majorHAnsi"/>
          <w:color w:val="333333"/>
        </w:rPr>
        <w:t>).</w:t>
      </w:r>
    </w:p>
    <w:p w14:paraId="3D8CB398" w14:textId="77777777" w:rsidR="00FE486A" w:rsidRPr="00976D33" w:rsidRDefault="00FE486A" w:rsidP="00FE044C">
      <w:pPr>
        <w:spacing w:after="0"/>
        <w:ind w:left="-20" w:right="-20"/>
        <w:rPr>
          <w:rFonts w:asciiTheme="majorHAnsi" w:eastAsia="Calibri" w:hAnsiTheme="majorHAnsi" w:cstheme="majorHAnsi"/>
          <w:szCs w:val="20"/>
        </w:rPr>
      </w:pPr>
    </w:p>
    <w:p w14:paraId="037914E7" w14:textId="77777777" w:rsidR="00FE044C" w:rsidRPr="00976D33" w:rsidRDefault="00FE044C" w:rsidP="00FE044C">
      <w:pPr>
        <w:spacing w:after="0"/>
        <w:ind w:left="-20" w:right="-20"/>
        <w:rPr>
          <w:rFonts w:eastAsia="Calibri" w:cs="Arial"/>
          <w:szCs w:val="20"/>
        </w:rPr>
      </w:pPr>
      <w:r>
        <w:lastRenderedPageBreak/>
        <w:t xml:space="preserve">Pengesat kryesore të identifikuara aktualisht dhe që pritet të vazhdojnë të ndikojnë në sigurinë e energjisë në periudhën afatmesme janë: </w:t>
      </w:r>
    </w:p>
    <w:p w14:paraId="572387D5" w14:textId="77777777" w:rsidR="00FE044C" w:rsidRPr="00976D33" w:rsidRDefault="00FE044C" w:rsidP="00AF7BBF">
      <w:pPr>
        <w:pStyle w:val="ListParagraph"/>
        <w:numPr>
          <w:ilvl w:val="0"/>
          <w:numId w:val="89"/>
        </w:numPr>
        <w:spacing w:after="0"/>
        <w:ind w:right="-20"/>
        <w:rPr>
          <w:rFonts w:cs="Arial"/>
          <w:szCs w:val="20"/>
        </w:rPr>
      </w:pPr>
      <w:r>
        <w:t xml:space="preserve">Numri i vogël i njësive prodhuese me kapacitet relativisht të madh, duke i bërë dështimet veçanërisht me ndikim </w:t>
      </w:r>
    </w:p>
    <w:p w14:paraId="091ECCC6" w14:textId="08D3856E" w:rsidR="00FE044C" w:rsidRPr="00976D33" w:rsidRDefault="00FE044C" w:rsidP="00AF7BBF">
      <w:pPr>
        <w:pStyle w:val="ListParagraph"/>
        <w:numPr>
          <w:ilvl w:val="0"/>
          <w:numId w:val="89"/>
        </w:numPr>
        <w:spacing w:after="0"/>
        <w:ind w:right="-20"/>
        <w:rPr>
          <w:rFonts w:cs="Arial"/>
          <w:szCs w:val="20"/>
        </w:rPr>
      </w:pPr>
      <w:r>
        <w:t>Vjetërsia dhe mungesa e remontit të madh të TC Kosova A</w:t>
      </w:r>
    </w:p>
    <w:p w14:paraId="7DA28BF6" w14:textId="77777777" w:rsidR="00FE044C" w:rsidRPr="00976D33" w:rsidRDefault="00FE044C" w:rsidP="00AF7BBF">
      <w:pPr>
        <w:pStyle w:val="ListParagraph"/>
        <w:numPr>
          <w:ilvl w:val="0"/>
          <w:numId w:val="89"/>
        </w:numPr>
        <w:spacing w:after="0"/>
        <w:ind w:right="-20"/>
        <w:rPr>
          <w:rFonts w:cs="Arial"/>
          <w:szCs w:val="20"/>
        </w:rPr>
      </w:pPr>
      <w:r>
        <w:t>Jofleksibiliteti i njësive termike ekzistuese (si në aspektin e kapacitetit të ngritjes ashtu edhe kërkesave të larta të ngarkesës minimale)</w:t>
      </w:r>
    </w:p>
    <w:p w14:paraId="5FE059DF" w14:textId="77777777" w:rsidR="00FE044C" w:rsidRPr="00976D33" w:rsidRDefault="00FE044C" w:rsidP="00AF7BBF">
      <w:pPr>
        <w:pStyle w:val="ListParagraph"/>
        <w:numPr>
          <w:ilvl w:val="0"/>
          <w:numId w:val="89"/>
        </w:numPr>
        <w:spacing w:after="0"/>
        <w:ind w:right="-20"/>
        <w:rPr>
          <w:rFonts w:cs="Arial"/>
          <w:szCs w:val="20"/>
        </w:rPr>
      </w:pPr>
      <w:r>
        <w:t xml:space="preserve">Mungesa e njësive fleksibile për të mbuluar rezervat rregullatore (rezervat dytësore, terciare) </w:t>
      </w:r>
    </w:p>
    <w:p w14:paraId="3CE4A371" w14:textId="35B26FE1" w:rsidR="00FE044C" w:rsidRPr="00976D33" w:rsidRDefault="00FE044C" w:rsidP="00AF7BBF">
      <w:pPr>
        <w:pStyle w:val="ListParagraph"/>
        <w:numPr>
          <w:ilvl w:val="0"/>
          <w:numId w:val="89"/>
        </w:numPr>
        <w:spacing w:after="0"/>
        <w:ind w:right="-20"/>
        <w:rPr>
          <w:rFonts w:cs="Arial"/>
          <w:szCs w:val="20"/>
        </w:rPr>
      </w:pPr>
      <w:r>
        <w:t>Ndikimi i mungesës së konsumit industrial të ngarkesës bazë në ndryshimet e ngarkesës ditore, në veçanti, duke çuar në dallime të larta ndërmjet ngarkesës së ditës dhe natës</w:t>
      </w:r>
    </w:p>
    <w:p w14:paraId="2A5F0151" w14:textId="77777777" w:rsidR="00FE044C" w:rsidRPr="00976D33" w:rsidRDefault="00FE044C" w:rsidP="00AF7BBF">
      <w:pPr>
        <w:pStyle w:val="ListParagraph"/>
        <w:numPr>
          <w:ilvl w:val="0"/>
          <w:numId w:val="89"/>
        </w:numPr>
        <w:spacing w:after="0"/>
        <w:ind w:right="-20"/>
        <w:rPr>
          <w:rFonts w:cs="Arial"/>
          <w:szCs w:val="20"/>
        </w:rPr>
      </w:pPr>
      <w:r>
        <w:t xml:space="preserve">Pamundësia e menaxhimit të ngarkesës (për shkak të mungesës së pajisjeve të avancuara matëse dhe mungesës së sinjaleve dinamike të çmimeve) </w:t>
      </w:r>
    </w:p>
    <w:p w14:paraId="19C23D0C" w14:textId="77777777" w:rsidR="00FE044C" w:rsidRPr="00976D33" w:rsidRDefault="00FE044C" w:rsidP="00AF7BBF">
      <w:pPr>
        <w:pStyle w:val="ListParagraph"/>
        <w:numPr>
          <w:ilvl w:val="0"/>
          <w:numId w:val="89"/>
        </w:numPr>
        <w:spacing w:after="0"/>
        <w:ind w:right="-20"/>
        <w:rPr>
          <w:rFonts w:cs="Arial"/>
          <w:szCs w:val="20"/>
        </w:rPr>
      </w:pPr>
      <w:r>
        <w:t xml:space="preserve">Tregu jokonkurrues </w:t>
      </w:r>
    </w:p>
    <w:p w14:paraId="4BACA6D0" w14:textId="77777777" w:rsidR="00FE044C" w:rsidRPr="00976D33" w:rsidRDefault="00FE044C" w:rsidP="00AF7BBF">
      <w:pPr>
        <w:pStyle w:val="ListParagraph"/>
        <w:numPr>
          <w:ilvl w:val="0"/>
          <w:numId w:val="89"/>
        </w:numPr>
        <w:spacing w:after="0"/>
        <w:ind w:right="-20"/>
        <w:rPr>
          <w:rFonts w:cs="Arial"/>
          <w:szCs w:val="20"/>
        </w:rPr>
      </w:pPr>
      <w:r>
        <w:t xml:space="preserve">Niveli i ulët i zhvillimit të tregut rajonal </w:t>
      </w:r>
    </w:p>
    <w:p w14:paraId="39884EE8" w14:textId="132CD485" w:rsidR="00FE044C" w:rsidRPr="00976D33" w:rsidRDefault="00FE044C" w:rsidP="00AF7BBF">
      <w:pPr>
        <w:pStyle w:val="ListParagraph"/>
        <w:numPr>
          <w:ilvl w:val="0"/>
          <w:numId w:val="89"/>
        </w:numPr>
        <w:rPr>
          <w:rFonts w:cs="Arial"/>
          <w:szCs w:val="20"/>
        </w:rPr>
      </w:pPr>
      <w:r>
        <w:t>Sfidat lidhur me integrimin në rrjet të BRE-ve me bazë solare, veçanërisht në nivelin e rrjetit të distribuimit</w:t>
      </w:r>
    </w:p>
    <w:p w14:paraId="4BC4738A" w14:textId="77777777" w:rsidR="00FE044C" w:rsidRPr="00976D33" w:rsidRDefault="00FE044C" w:rsidP="00FE044C">
      <w:pPr>
        <w:rPr>
          <w:rFonts w:eastAsia="Calibri" w:cs="Arial"/>
          <w:szCs w:val="20"/>
        </w:rPr>
      </w:pPr>
      <w:r>
        <w:t>Për të adresuar këto sfida dhe për të garantuar sigurinë e furnizimit, Strategjia Kombëtare e Energjisë përshkruan përmirësimin e qëndrueshmërisë së sistemit si objektivin e saj të parë strategjik, duke theksuar rëndësinë e çështjes. Për këtë qëllim, rritja e fleksibilitetit të sistemit, modernizimi dhe reduktimi i humbjeve në rrjet, rehabilitimi i kapaciteteve ekzistuese dhe investimi në kapacitete të reja prodhuese të energjisë elektrike dhe garantimi i sigurisë kibernetike përmenden si objektiva kyç. Më konkretisht, strategjia përshkruan se caqet e mëposhtme duhet të arrihen për këtë qëllim:</w:t>
      </w:r>
    </w:p>
    <w:p w14:paraId="0BC9424F" w14:textId="77777777" w:rsidR="00FE044C" w:rsidRPr="00976D33" w:rsidRDefault="00FE044C" w:rsidP="00AF7BBF">
      <w:pPr>
        <w:pStyle w:val="ListParagraph"/>
        <w:numPr>
          <w:ilvl w:val="0"/>
          <w:numId w:val="84"/>
        </w:numPr>
        <w:rPr>
          <w:rFonts w:eastAsia="Arial" w:cs="Arial"/>
        </w:rPr>
      </w:pPr>
      <w:r>
        <w:t>Përmirësimi i cilësisë së treguesve të furnizimit: Zvogëlimi i indeksit të kohëzgjatjes mesatare</w:t>
      </w:r>
      <w:r>
        <w:cr/>
      </w:r>
      <w:r>
        <w:br/>
        <w:t>të ndërprerjes (SAIDI)</w:t>
      </w:r>
    </w:p>
    <w:p w14:paraId="43018872" w14:textId="77777777" w:rsidR="00FE044C" w:rsidRPr="00976D33" w:rsidRDefault="00FE044C" w:rsidP="00FE044C">
      <w:pPr>
        <w:pStyle w:val="ListParagraph"/>
        <w:numPr>
          <w:ilvl w:val="0"/>
          <w:numId w:val="0"/>
        </w:numPr>
        <w:ind w:left="720"/>
        <w:rPr>
          <w:rFonts w:eastAsia="Arial" w:cs="Arial"/>
        </w:rPr>
      </w:pPr>
      <w:r>
        <w:t>për 35% dhe Indeksit mesatar të shpeshtësisë së ndërprerjes (SAIFI) për 30% deri në vitin 2031</w:t>
      </w:r>
    </w:p>
    <w:p w14:paraId="2CDC5CA6" w14:textId="77777777" w:rsidR="00FE044C" w:rsidRPr="00976D33" w:rsidRDefault="00FE044C" w:rsidP="00AF7BBF">
      <w:pPr>
        <w:pStyle w:val="ListParagraph"/>
        <w:numPr>
          <w:ilvl w:val="0"/>
          <w:numId w:val="84"/>
        </w:numPr>
        <w:rPr>
          <w:rFonts w:eastAsia="Arial" w:cs="Arial"/>
        </w:rPr>
      </w:pPr>
      <w:r>
        <w:t>Lansimi i shërbimeve të rezervës së bazuar në treg dhe arritja e së paku 170 MW të kapacitetit të rregullimit fleksibil</w:t>
      </w:r>
    </w:p>
    <w:p w14:paraId="1CDB20FA" w14:textId="77777777" w:rsidR="00FE044C" w:rsidRPr="00976D33" w:rsidRDefault="00FE044C" w:rsidP="00FE044C">
      <w:pPr>
        <w:pStyle w:val="ListParagraph"/>
        <w:numPr>
          <w:ilvl w:val="0"/>
          <w:numId w:val="0"/>
        </w:numPr>
        <w:ind w:left="720"/>
        <w:rPr>
          <w:rFonts w:eastAsia="Arial" w:cs="Arial"/>
        </w:rPr>
      </w:pPr>
      <w:r>
        <w:t>deri në vitin 2031</w:t>
      </w:r>
    </w:p>
    <w:p w14:paraId="1D8CD40A" w14:textId="77777777" w:rsidR="00FE044C" w:rsidRPr="00976D33" w:rsidRDefault="00FE044C" w:rsidP="00AF7BBF">
      <w:pPr>
        <w:pStyle w:val="ListParagraph"/>
        <w:numPr>
          <w:ilvl w:val="0"/>
          <w:numId w:val="84"/>
        </w:numPr>
        <w:rPr>
          <w:rFonts w:eastAsia="Arial" w:cs="Arial"/>
        </w:rPr>
      </w:pPr>
      <w:r>
        <w:t>Zvogëlimi i humbjeve në rrjet të transmisionit në nivelet e humbjeve aktuale teknike të BE-së deri në vitin 2031, dhe</w:t>
      </w:r>
    </w:p>
    <w:p w14:paraId="3EAF4678" w14:textId="77777777" w:rsidR="00FE044C" w:rsidRPr="00976D33" w:rsidRDefault="00FE044C" w:rsidP="00FE044C">
      <w:pPr>
        <w:pStyle w:val="ListParagraph"/>
        <w:numPr>
          <w:ilvl w:val="0"/>
          <w:numId w:val="0"/>
        </w:numPr>
        <w:ind w:left="720"/>
        <w:rPr>
          <w:rFonts w:eastAsia="Arial" w:cs="Arial"/>
        </w:rPr>
      </w:pPr>
      <w:r>
        <w:t>zvogëlimi i humbjeve në rrjet të distribucionit në nivelet e humbjeve teknike prej 9% deri në vitin 2031</w:t>
      </w:r>
    </w:p>
    <w:p w14:paraId="652F4454" w14:textId="77777777" w:rsidR="00FE044C" w:rsidRPr="00976D33" w:rsidRDefault="00FE044C" w:rsidP="00FE044C">
      <w:pPr>
        <w:pStyle w:val="ListParagraph"/>
        <w:ind w:left="720"/>
        <w:rPr>
          <w:rFonts w:eastAsia="Arial" w:cs="Arial"/>
        </w:rPr>
      </w:pPr>
      <w:r>
        <w:t>Rinovimi i dy njësive të termocentralit Kosova B dhe të paktën një njësie të termocentrali Kosova A për të siguruar</w:t>
      </w:r>
    </w:p>
    <w:p w14:paraId="615D4971" w14:textId="0428A66F" w:rsidR="00FE044C" w:rsidRPr="00976D33" w:rsidRDefault="00FE044C" w:rsidP="00FE044C">
      <w:pPr>
        <w:pStyle w:val="ListParagraph"/>
        <w:numPr>
          <w:ilvl w:val="0"/>
          <w:numId w:val="0"/>
        </w:numPr>
        <w:ind w:left="720"/>
        <w:rPr>
          <w:rFonts w:eastAsia="Arial" w:cs="Arial"/>
        </w:rPr>
      </w:pPr>
      <w:r>
        <w:t>kapacitet prej së paku 540 MW për ngarkesë bazë dhe 360 MW kapacitet si rezervë strategjike deri në vitin 2031 e tutje.</w:t>
      </w:r>
    </w:p>
    <w:p w14:paraId="63C7A1E6" w14:textId="668A936E" w:rsidR="00DF2C5D" w:rsidRPr="00976D33" w:rsidRDefault="009F4DDD" w:rsidP="00DF2C5D">
      <w:r>
        <w:t>Për sa i përket furnizimit nga vendet e treta, vlen të theksohet se është në fuqi një marrëveshje e nënshkruar ndërmjet Korporatës Energjetike të Kosovës (KEK) dhe Korporatës Elektroenergjetike Shqiptare (KESH sh.a.). Kjo marrëveshje parashikon shkëmbimin e energjisë mbi bazën “sipas nevojës/siç disponohet”, që do të thotë se energjia e dorëzuar “ruhet” dhe kthehet si energji në kohën kur është e nevojshme dhe është e disponueshme nga secila palë. Siç dihet, prodhimi i energjisë në Shqipëri vjen pothuajse ekskluzivisht nga hidrocentralet e vendit.</w:t>
      </w:r>
    </w:p>
    <w:p w14:paraId="0C9E12D7" w14:textId="6172BF62" w:rsidR="009F4DDD" w:rsidRPr="00976D33" w:rsidRDefault="00C33675" w:rsidP="009F4DDD">
      <w:r>
        <w:t xml:space="preserve">Në përgjithësi, interkoneksioni i Kosovës me fqinjët është ndër më të fuqishmet në Evropë. Në katër vendet në kufi me Kosovën (Shqipëri, Mali të Zi, Maqedoni të Veriut dhe Serbi), kapaciteti total maksimal i transferimit neto të importit (NTC) ishte 1,316 MW; totali maksimal i eksportit NTC ishte 1,175 MW. Duke i krahasuar këto shifra me totalin e kapaciteteve prodhuese të instaluara neto, niveli i ndërlidhjes është mbi 78%. Kërkesa e BE-së është 10% për vitin 2020 dhe 15% deri në vitin 2030, duke nënkuptuar se caqet e vitit 2030 tashmë janë përmbushur. Megjithatë, Qeveria e Kosovës është e përkushtuar që të vazhdojë të thellojë më tej bashkëpunimin me vendet fqinje, veçanërisht me Shqipërinë, për të siguruar funksionim efikas dhe të bazuar në treg të këtyre ndërlidhjeve. Në vend që të rritet më tej kapaciteti nominal i transmisionit duke ndërtuar linja të reja transmisioni, do t’i jepet prioritet përcaktimit dhe ankandit të përmirësuar të kapaciteteve ekzistuese të </w:t>
      </w:r>
      <w:r>
        <w:lastRenderedPageBreak/>
        <w:t>transferimit (shih Kapitullin 3.4.2). Në veçanti, KOSTT-i është i gatshëm të nënshkruajë një marrëveshje me OSHT-in e Serbisë në lidhje me alokimin e kapacitetit të transmisionit ndërkufitar për linjat e interkoneksionit SRB-KOS, për të zgjidhur mungesën e kapacitetit të alokuar transferues në përputhje me Opinionin e Arsyetuar të Sekretariatit të Komunitetit të Energjisë në procedurën e zgjidhjes së mosmarrëveshjeve (rasti numër ECS-2/21).</w:t>
      </w:r>
    </w:p>
    <w:p w14:paraId="27458804" w14:textId="2FB74F13" w:rsidR="0088143A" w:rsidRPr="00976D33" w:rsidRDefault="00552F2F" w:rsidP="00BC1596">
      <w:pPr>
        <w:pStyle w:val="Heading3"/>
      </w:pPr>
      <w:bookmarkStart w:id="114" w:name="_Toc164909634"/>
      <w:bookmarkStart w:id="115" w:name="_Toc164909635"/>
      <w:bookmarkStart w:id="116" w:name="_Toc164909636"/>
      <w:bookmarkStart w:id="117" w:name="_Toc164909637"/>
      <w:bookmarkStart w:id="118" w:name="_Toc164909638"/>
      <w:bookmarkStart w:id="119" w:name="_Toc164909639"/>
      <w:bookmarkStart w:id="120" w:name="_Toc164909640"/>
      <w:bookmarkStart w:id="121" w:name="_Toc164909641"/>
      <w:bookmarkStart w:id="122" w:name="_Toc164909642"/>
      <w:bookmarkStart w:id="123" w:name="_Toc164909643"/>
      <w:bookmarkStart w:id="124" w:name="_Toc164909644"/>
      <w:bookmarkStart w:id="125" w:name="_Toc164909645"/>
      <w:bookmarkStart w:id="126" w:name="_Toc164909646"/>
      <w:bookmarkStart w:id="127" w:name="_Toc164909647"/>
      <w:bookmarkStart w:id="128" w:name="_Toc164909648"/>
      <w:bookmarkStart w:id="129" w:name="_Toc164909649"/>
      <w:bookmarkStart w:id="130" w:name="_Toc164909650"/>
      <w:bookmarkStart w:id="131" w:name="_Toc164909651"/>
      <w:bookmarkStart w:id="132" w:name="_Toc164909652"/>
      <w:bookmarkStart w:id="133" w:name="_Toc164909653"/>
      <w:bookmarkStart w:id="134" w:name="_Toc164909654"/>
      <w:bookmarkStart w:id="135" w:name="_Toc164909655"/>
      <w:bookmarkStart w:id="136" w:name="_Toc164909656"/>
      <w:bookmarkStart w:id="137" w:name="_Toc164909657"/>
      <w:bookmarkStart w:id="138" w:name="_Toc18230227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t>Objektivat kombëtare në lidhje me reduktimin e varësisë së importit të energjisë nga vendet e treta</w:t>
      </w:r>
      <w:bookmarkEnd w:id="138"/>
      <w:r>
        <w:t xml:space="preserve"> </w:t>
      </w:r>
    </w:p>
    <w:p w14:paraId="317FC6FD" w14:textId="7E65D065" w:rsidR="009F4DDD" w:rsidRPr="00976D33" w:rsidRDefault="009F4DDD" w:rsidP="009F4DDD">
      <w:r>
        <w:t>Kosova karakterizohet nga një kërkesë për energji elektrike e cila ndryshon në baza sezonale (</w:t>
      </w:r>
      <w:r w:rsidR="00F34D69" w:rsidRPr="00976D33">
        <w:fldChar w:fldCharType="begin"/>
      </w:r>
      <w:r w:rsidR="00F34D69" w:rsidRPr="00976D33">
        <w:instrText xml:space="preserve"> REF _Ref164351750 \h </w:instrText>
      </w:r>
      <w:r w:rsidR="004A7007" w:rsidRPr="00976D33">
        <w:instrText xml:space="preserve"> \* MERGEFORMAT </w:instrText>
      </w:r>
      <w:r w:rsidR="00F34D69" w:rsidRPr="00976D33">
        <w:fldChar w:fldCharType="separate"/>
      </w:r>
      <w:r w:rsidR="003B7FFA">
        <w:t>Tabela 5</w:t>
      </w:r>
      <w:r w:rsidR="00F34D69" w:rsidRPr="00976D33">
        <w:fldChar w:fldCharType="end"/>
      </w:r>
      <w:r>
        <w:t xml:space="preserve">). Ndër të tjera, kjo është për shkak të përdorimit të energjisë elektrike për ngrohjen e ambienteve nga ekonomitë familjare, që ushtron presion të konsiderueshëm mbi energjinë elektrike gjatë sezonit të ngrohjes duke rezultuar në nevojën për importe të shtrenjta të energjisë elektrike. Për më tepër, për shkak të fleksibilitetit të pamjaftueshëm të sistemit për të përballuar kërkesën në periudha të ndryshme, krijohet gjithashtu një tepricë energjie, veçanërisht në kohën jashtë ngarkesës maksimale, duke bërë të nevojshme eksportin gjatë natës me çmime dukshëm më të ulëta. </w:t>
      </w:r>
    </w:p>
    <w:p w14:paraId="0E01A0F8" w14:textId="7CD70271" w:rsidR="009F4DDD" w:rsidRPr="00976D33" w:rsidRDefault="009F4DDD" w:rsidP="009F4DDD">
      <w:r>
        <w:t xml:space="preserve">Varësia nga importi do të vazhdojë të paraqes problem që duhet të trajtohet për të garantuar sigurinë e furnizimit, pavarësisht reduktimeve të dukshme aktuale në pjesëmarrjen e importeve në kërkesën totale për energji. Me 11,63% në vitin 2022, pjesëmarrja e importeve në kërkesën totale për energji elektrike ishte dukshëm më e ulët krahasuar me 19,04% të vërejtur në vitin 2021, por gjithsesi e konsiderueshme. </w:t>
      </w:r>
    </w:p>
    <w:p w14:paraId="6F890163" w14:textId="1977A517" w:rsidR="009F4DDD" w:rsidRPr="00976D33" w:rsidRDefault="009F4DDD" w:rsidP="009F4DDD">
      <w:r>
        <w:t xml:space="preserve">Në këtë drejtim, objektivat për të zvogëluar varësinë e Kosovës nga importi janë përcaktuar në </w:t>
      </w:r>
      <w:r>
        <w:rPr>
          <w:b/>
          <w:color w:val="024F75" w:themeColor="accent1"/>
        </w:rPr>
        <w:t>Strategjinë Kombëtare të Energjisë</w:t>
      </w:r>
      <w:r>
        <w:t>, me fokus të veçantë në mbështetjen e procesit të dekarbonizimit dhe promovimin e energjisë së ripërtëritshme për të ulur varësinë nga importi, si dhe rritjen e masave të zbatimit të efiçiencës së energjisë. Po aq të rëndësishme, investimet që janë parashikuar tashmë në kapacitetet ekzistuese të ngarkesës bazë do të rrisin besueshmërinë e prodhimit të bazuar në linjit dhe do të zvogëlojnë varësinë nga importi në vitet më kritike të zhvillimit të kapaciteteve të ripërtëritshme.</w:t>
      </w:r>
    </w:p>
    <w:p w14:paraId="0D8D8702" w14:textId="7113BF21" w:rsidR="0088143A" w:rsidRPr="00976D33" w:rsidRDefault="0088143A" w:rsidP="00BC1596">
      <w:pPr>
        <w:pStyle w:val="Heading3"/>
      </w:pPr>
      <w:bookmarkStart w:id="139" w:name="_Toc182302274"/>
      <w:r>
        <w:t>Objektivat kombëtare në lidhje me rritjen e fleksibilitetit të sistemit kombëtar të energjisë</w:t>
      </w:r>
      <w:bookmarkEnd w:id="139"/>
      <w:r>
        <w:t xml:space="preserve"> </w:t>
      </w:r>
    </w:p>
    <w:p w14:paraId="098119BE" w14:textId="73AD1FB9" w:rsidR="009F4DDD" w:rsidRPr="00976D33" w:rsidRDefault="009F4DDD" w:rsidP="009F4DDD">
      <w:r>
        <w:t xml:space="preserve">Duke marrë parasysh termocentralet e vjetruara dhe mungesën e gjeneratorëve të rinj, Kosova është ballafaquar me mungesën e fleksibilitetit të sistemit të aftë për t’iu përshtatur ndryshimeve të shpejta dhe të thella të kërkesës, veçanërisht gjatë kërkesës së lartë në kohë të ngarkesës maksimale. Kjo krijon nevojën për import dhe eksport të energjisë elektrike në periudha të ndryshme të pafavorshme. Sidomos duke marrë parasysh objektivat e vendosura drejt përdorimit të plotë të BRE-ve, një sistem më fleksibil po bëhet gjithnjë e më i rëndësishëm. Prandaj, Kosova synon të krijojë një treg fleksibil që funksionon mirë dhe të përmirësojë stimujt ekonomikë për investime në kapacitete fleksibile. </w:t>
      </w:r>
    </w:p>
    <w:p w14:paraId="38C54279" w14:textId="53A6E1CF" w:rsidR="009F4DDD" w:rsidRPr="00976D33" w:rsidRDefault="009F4DDD" w:rsidP="009F4DDD">
      <w:r>
        <w:t xml:space="preserve">Më konkretisht, objektivat në lidhje me fleksibilitetin e sistemit përshkruhen në </w:t>
      </w:r>
      <w:r>
        <w:rPr>
          <w:b/>
          <w:color w:val="024F75" w:themeColor="accent1"/>
        </w:rPr>
        <w:t>Strategjinë Kombëtare të Energjisë</w:t>
      </w:r>
      <w:r>
        <w:rPr>
          <w:color w:val="024F75" w:themeColor="accent1"/>
        </w:rPr>
        <w:t xml:space="preserve"> </w:t>
      </w:r>
      <w:r>
        <w:t>si më poshtë:</w:t>
      </w:r>
    </w:p>
    <w:p w14:paraId="0293FB7F" w14:textId="03CBF76E" w:rsidR="009F4DDD" w:rsidRPr="00976D33" w:rsidRDefault="009F4DDD" w:rsidP="00E15840">
      <w:pPr>
        <w:pStyle w:val="ListParagraph"/>
      </w:pPr>
      <w:r>
        <w:t>Një hap afatshkurtër është një treg plotësisht i lidhur me Shqipërinë. Pas lansimit të Bursës Shqiptare të Energjisë Elektrike  (ALPEX) në tregun e ditës në avancë, funksionalizimi i plotë i saj u bë i mundur me zbatimin e tregut të ditës në avancë në Kosovë, i cili filloi në fund të janarit 2024. Në planin afatmesëm, pasi ALPEX është plotësisht funksional, ofruesit e fleksibilitetit do të integrohen në sistem dhe në planin afatgjatë Kosova po planifikon t’i bashkohet platformave të përbashkëta balancuese të BE-së (MARI, PICASSO, IGCC).</w:t>
      </w:r>
    </w:p>
    <w:p w14:paraId="0223DAF5" w14:textId="0A99D527" w:rsidR="009F4DDD" w:rsidRPr="00976D33" w:rsidRDefault="009F4DDD" w:rsidP="721B4E60">
      <w:pPr>
        <w:pStyle w:val="ListParagraph"/>
        <w:numPr>
          <w:ilvl w:val="0"/>
          <w:numId w:val="0"/>
        </w:numPr>
      </w:pPr>
      <w:r>
        <w:t xml:space="preserve">Kosova planifikon të instalojë të paktën 170 MW kapacitet të ruajtjes së energjisë përmes baterive në sistemin e saj energjetik deri në vitin 2031. Kjo masë synon të përmirësojë fleksibilitetin e sistemit dhe të mundësojë integrimin e prodhimit të ndryshueshëm të energjisë elektrike të ripërtëritshme dhe të mundësojë përmbushjen e kërkesave të rezervave për energji të ENTSO-E dhe të ndihmojë në reduktimin e importeve të energjisë elektrike. </w:t>
      </w:r>
    </w:p>
    <w:p w14:paraId="349395BD" w14:textId="77777777" w:rsidR="009F4DDD" w:rsidRPr="00976D33" w:rsidRDefault="009F4DDD" w:rsidP="009F4DDD">
      <w:pPr>
        <w:pStyle w:val="ListParagraph"/>
      </w:pPr>
      <w:r>
        <w:t>Teknologjitë e tjera inovative si ruajtja sezonale do të eksplorohen dhe me një opsion për t’u instaluar deri në vitin 2031 (varësisht nga qëndrueshmëria e tyre ekonomike).</w:t>
      </w:r>
    </w:p>
    <w:p w14:paraId="1CE44EFF" w14:textId="77777777" w:rsidR="009F4DDD" w:rsidRPr="00976D33" w:rsidRDefault="009F4DDD" w:rsidP="009F4DDD">
      <w:pPr>
        <w:pStyle w:val="ListParagraph"/>
      </w:pPr>
      <w:r>
        <w:t xml:space="preserve">Bashkëpunimi aktual Kosovë-Shqipëri për shërbimet ndihmëse do të vazhdojë dhe forcohet. </w:t>
      </w:r>
    </w:p>
    <w:p w14:paraId="7DB74893" w14:textId="4C1AEFFB" w:rsidR="009F4DDD" w:rsidRPr="00976D33" w:rsidRDefault="007B5917" w:rsidP="00AF7BBF">
      <w:pPr>
        <w:pStyle w:val="ListParagraph"/>
        <w:numPr>
          <w:ilvl w:val="0"/>
          <w:numId w:val="84"/>
        </w:numPr>
      </w:pPr>
      <w:r>
        <w:lastRenderedPageBreak/>
        <w:t>Disponueshmëria e kontratave dinamike të çmimeve të energjisë elektrike për konsumatorët komercialë dhe familjarë do të sigurohet në përputhje me nenin 11 të Direktivës (BE) 2019/944, për t’ua mundësuar konsumatorëve të optimizojnë konsumin e tyre të energjisë elektrike varësisht nga ndryshueshmëria e furnizimit me energji elektrike. Kjo gjithashtu do të ndihmojë në uljen e faturave të energjisë dhe përmirësimin e cilësisë së furnizimit me energji elektrike. Për më tepër, konsumatorët fleksibilë të përgjegjshëm ndaj çmimeve me kontrata dinamike të çmimeve të energjisë elektrike do të përmirësonin kushtet e tregut për burimet e ndryshueshme të energjisë së ripërtëritshme dhe do të mundësonin integrimin e më shumë burimeve të ripërtëritshme në sistem.</w:t>
      </w:r>
    </w:p>
    <w:p w14:paraId="5633AA84" w14:textId="6C2F23A0" w:rsidR="00873085" w:rsidRPr="00976D33" w:rsidRDefault="00C14528" w:rsidP="00873085">
      <w:r>
        <w:t>Njehsorët inteligjentë, të cilët aktualisht janë ende shumë të rrallë në Kosovë, do të ishin të nevojshëm në nivelin e konsumatorit përfundimtar për të mundësuar përdorimin e kontratave dinamike të çmimeve të energjisë. Opsioni i mbështetjes së miratimit të njehsorëve inteligjent në nivel klienti do të merret në konsideratë në masën që përfitimi (sa i përket rritjes margjinale të fleksibilitetit të sistemit) justifikon koston financiare.</w:t>
      </w:r>
    </w:p>
    <w:p w14:paraId="5DBF1080" w14:textId="77777777" w:rsidR="00873085" w:rsidRPr="00976D33" w:rsidRDefault="00873085" w:rsidP="00873085"/>
    <w:p w14:paraId="2323ABD5" w14:textId="77777777" w:rsidR="0088143A" w:rsidRPr="00976D33" w:rsidRDefault="0088143A" w:rsidP="00BD4E9E">
      <w:pPr>
        <w:pStyle w:val="Heading2"/>
      </w:pPr>
      <w:bookmarkStart w:id="140" w:name="_Toc182302275"/>
      <w:r>
        <w:t>Dimensioni i tregut të brendshëm energjetik</w:t>
      </w:r>
      <w:bookmarkEnd w:id="140"/>
      <w:r>
        <w:t xml:space="preserve"> </w:t>
      </w:r>
    </w:p>
    <w:p w14:paraId="2A83DE60" w14:textId="77777777" w:rsidR="0088143A" w:rsidRPr="00976D33" w:rsidRDefault="0088143A" w:rsidP="00AF7BBF">
      <w:pPr>
        <w:pStyle w:val="Heading3"/>
        <w:numPr>
          <w:ilvl w:val="0"/>
          <w:numId w:val="7"/>
        </w:numPr>
      </w:pPr>
      <w:bookmarkStart w:id="141" w:name="_Toc182302276"/>
      <w:r>
        <w:t>Interkoneksioni i energjisë elektrike</w:t>
      </w:r>
      <w:bookmarkEnd w:id="141"/>
    </w:p>
    <w:p w14:paraId="1FF6D41B" w14:textId="77777777" w:rsidR="0088143A" w:rsidRPr="00976D33" w:rsidRDefault="0088143A" w:rsidP="00AF7BBF">
      <w:pPr>
        <w:pStyle w:val="Heading4"/>
        <w:numPr>
          <w:ilvl w:val="0"/>
          <w:numId w:val="8"/>
        </w:numPr>
      </w:pPr>
      <w:r>
        <w:t xml:space="preserve">Niveli i ndërlidhjes së energjisë elektrike që pala kontraktuese synon në vitin 2030 në përputhje me nenin 4(d)(1), me një strategji me nivelin nga viti 2025 e tutje të përcaktuar në bashkëpunim të ngushtë me palët kontraktuese të prekura dhe/ose shtetet anëtare të Bashkimit Evropian, duke marrë parasysh cakun e ndërlidhjes për vitin 2020 dhe treguesit e mëposhtëm të urgjencës së veprimit: </w:t>
      </w:r>
    </w:p>
    <w:p w14:paraId="5B33D15F" w14:textId="70813CE8" w:rsidR="00FE04C5" w:rsidRPr="00976D33" w:rsidRDefault="009F4DDD" w:rsidP="00CE1976">
      <w:pPr>
        <w:rPr>
          <w:rFonts w:eastAsia="Times New Roman"/>
        </w:rPr>
      </w:pPr>
      <w:r>
        <w:t>Kapaciteti i interkoneksionit të energjisë elektrike të Kosovës është disa herë më i lartë se caku i BE-së për interkoneksion prej 15% për vitin 2030 (shih Kapitullin 2.3 ii.). Prandaj, kapacitetet e ndërlidhjes së sistemit elektroenergjetik janë më se të përshtatshme edhe nga perspektiva afatgjatë. Duke pasur parasysh këtë, aktualisht nuk ka asnjë urgjencë për të marrë masa për këtë çështje.</w:t>
      </w:r>
    </w:p>
    <w:p w14:paraId="6DF400E0" w14:textId="77777777" w:rsidR="0088143A" w:rsidRPr="00976D33" w:rsidRDefault="0088143A" w:rsidP="00BC1596">
      <w:pPr>
        <w:pStyle w:val="Heading4"/>
      </w:pPr>
      <w:r>
        <w:t xml:space="preserve">Diferenca e çmimeve në tregun me shumicë që tejkalon pragun tregues prej 2 EUR/MWh ndërmjet shteteve anëtare, rajoneve ose zonave të ofertave; </w:t>
      </w:r>
    </w:p>
    <w:p w14:paraId="44D289A3" w14:textId="39E1B8AD" w:rsidR="009F4DDD" w:rsidRPr="00976D33" w:rsidRDefault="009F4DDD" w:rsidP="009F4DDD">
      <w:pPr>
        <w:rPr>
          <w:color w:val="333333"/>
        </w:rPr>
      </w:pPr>
      <w:r>
        <w:rPr>
          <w:color w:val="333333"/>
        </w:rPr>
        <w:t>Bursa Shqiptare e</w:t>
      </w:r>
      <w:r>
        <w:t xml:space="preserve"> Energjisë (ALPEX) </w:t>
      </w:r>
      <w:r>
        <w:rPr>
          <w:color w:val="333333"/>
        </w:rPr>
        <w:t>është</w:t>
      </w:r>
      <w:r>
        <w:t xml:space="preserve"> një ent i themeluar nga Kosova dhe Shqipëria për të zhvilluar një treg të bashkuar dhe të organizuar të ditës në avancë dhe brenda të njëjtës ditë. Pas një vendimi të ZRRE-së dhe ERRE-së, ALPEX operon si operatori i nominuar i tregut të energjisë elektrike (NEMO) për Shqipërinë dhe Kosovën. Pas lansimit me sukses të ALPEX në Shqipëri, lansimi i dytë në Kosovë u bë në fund të janarit të vitit 2024, duke shënuar një moment historik të rëndësishëm drejt zhvillimit të mëtejshëm të tregjeve të energjisë elektrike si dhe sigurimit të çmimeve transparente për investime në energji transparente. </w:t>
      </w:r>
    </w:p>
    <w:p w14:paraId="5BF6FA38" w14:textId="26CAD7A4" w:rsidR="009F4DDD" w:rsidRPr="00976D33" w:rsidRDefault="50231112" w:rsidP="009F4DDD">
      <w:pPr>
        <w:rPr>
          <w:color w:val="333333"/>
        </w:rPr>
      </w:pPr>
      <w:r>
        <w:rPr>
          <w:color w:val="333333"/>
        </w:rPr>
        <w:t>Duke qenë se ALPEX është tashmë plotësisht funksional në tregun e ditës në avancë, përpjekjet janë orientuar tani drejt bashkimit të tregut të ditës në avancë me vend</w:t>
      </w:r>
      <w:r w:rsidR="0037748E">
        <w:rPr>
          <w:color w:val="333333"/>
        </w:rPr>
        <w:t>et e tjera</w:t>
      </w:r>
      <w:r>
        <w:rPr>
          <w:color w:val="333333"/>
        </w:rPr>
        <w:t xml:space="preserve"> fqinje. Në këtë drejtim, konsideratat drejtohen drejt integrimit të ALPEX në SDAC përmes kufirit Shqipëri-Kosovë ose kufirit të energjisë elektrike të Kosovës me Maqedoninë e Veriut, me kusht që të merret një përjashtim i përkohshëm nga CBAM për sektorin e energjisë elektrike.</w:t>
      </w:r>
      <w:r>
        <w:t xml:space="preserve"> </w:t>
      </w:r>
      <w:r>
        <w:rPr>
          <w:color w:val="333333"/>
        </w:rPr>
        <w:t xml:space="preserve"> </w:t>
      </w:r>
      <w:r>
        <w:t xml:space="preserve">Në këto konsiderata, Kosova po merr parasysh kompromiset mes barrës së mundshme të prezantimit të çmimeve vendore ose rajonale të karbonit dhe përfitimeve të bashkimit të ardhshëm të tregut. Nëse ndiqen, </w:t>
      </w:r>
      <w:r>
        <w:rPr>
          <w:color w:val="333333"/>
        </w:rPr>
        <w:t>këto zhvillime do të krijonin një diferencë të papërfillshme të çmimeve.</w:t>
      </w:r>
    </w:p>
    <w:p w14:paraId="2CEA258A" w14:textId="2A8C03AA" w:rsidR="00FE04C5" w:rsidRPr="00976D33" w:rsidRDefault="009F4DDD" w:rsidP="009F4DDD">
      <w:pPr>
        <w:rPr>
          <w:color w:val="333333"/>
        </w:rPr>
      </w:pPr>
      <w:r>
        <w:rPr>
          <w:color w:val="333333"/>
        </w:rPr>
        <w:t>Është e qartë se për shkak të nivelit të lartë të interkonektivitetit të Kosovës dhe rajonit, çmimet e energjisë elektrike me shumicë janë shumë të varura nga zhvillimet ndërkombëtare, siç janë çmimet evropiane të gazit natyror dhe çmimet e kuotave BE-ETS. Përcaktues të rëndësishëm vendor të çmimeve të energjisë elektrike janë hapat e pritshëm gradualë të liberalizimit të tregut me shumicë dhe pakicë, ndërprerja graduale e marrëveshjes së furnizimit me shumicë ndërmjet KEK-ut dhe KESCO-s, shtrirja e bashkimit të tregut me fqinjët, si dhe vendimi për vendosjen e çmimeve të karbonit. Ndikimi i kësaj të fundit varet nga metoda e çmimit të zgjedhur (ose sasia e kuotës) si dhe nga shkalla e koordinimit me vendet fqinje dhe BE-në.</w:t>
      </w:r>
    </w:p>
    <w:p w14:paraId="2DAEE7E4" w14:textId="77777777" w:rsidR="0088143A" w:rsidRPr="00976D33" w:rsidRDefault="0088143A" w:rsidP="00BD4E9E">
      <w:pPr>
        <w:pStyle w:val="Heading4"/>
      </w:pPr>
      <w:r>
        <w:lastRenderedPageBreak/>
        <w:t xml:space="preserve">Kapaciteti nominal i transmisionit të interkonektorëve nën 30 % të ngarkesës maksimale; </w:t>
      </w:r>
    </w:p>
    <w:p w14:paraId="2A02D79E" w14:textId="77777777" w:rsidR="009F4DDD" w:rsidRPr="00976D33" w:rsidRDefault="009F4DDD" w:rsidP="009F4DDD">
      <w:r>
        <w:t>Kapaciteti nominal i transmisionit pasqyron kapacitetin fizik, të instaluar, për të cilin është projektuar interkonektori. Kjo përputhet me rrjedhën maksimale të energjisë që aseti ndërkufitar mund ta transmetojë në përputhje me kriteret e sigurisë së sistemit.</w:t>
      </w:r>
    </w:p>
    <w:p w14:paraId="4A168E4E" w14:textId="77777777" w:rsidR="009F4DDD" w:rsidRPr="00976D33" w:rsidRDefault="009F4DDD" w:rsidP="009F4DDD">
      <w:r>
        <w:t>Sipas Planit Zhvillimor të Transmisionit të KOSTT-it, kapaciteti nominal i transmisionit pritet të jetë më i lartë se ngarkesa maksimale, duke mos pasur nevojë për përmirësime të mëtejshme.</w:t>
      </w:r>
    </w:p>
    <w:p w14:paraId="2DA0AB50" w14:textId="5171763D" w:rsidR="00AA7CDF" w:rsidRPr="00976D33" w:rsidRDefault="009F4DDD" w:rsidP="009F4DDD">
      <w:r>
        <w:t>Tabela më poshtë tregon skenarin e ngarkesës maksimale dhe kapacitetin total të instaluar.</w:t>
      </w:r>
    </w:p>
    <w:p w14:paraId="5EB9F0DA" w14:textId="77777777" w:rsidR="009F4DDD" w:rsidRPr="008C14F9" w:rsidRDefault="009F4DDD" w:rsidP="009F4DDD">
      <w:pPr>
        <w:pStyle w:val="Tabellenberschrift"/>
        <w:spacing w:before="120"/>
      </w:pPr>
      <w:r>
        <w:t>Tabela 1. Zhvillimi i kapacitetit të instaluar të interkoneksionit dhe ngarkesa maksimale e sistemit në skenarin e lartë</w:t>
      </w:r>
    </w:p>
    <w:tbl>
      <w:tblPr>
        <w:tblStyle w:val="GridTable4-Accent11"/>
        <w:tblW w:w="5000" w:type="pct"/>
        <w:tblLook w:val="04A0" w:firstRow="1" w:lastRow="0" w:firstColumn="1" w:lastColumn="0" w:noHBand="0" w:noVBand="1"/>
      </w:tblPr>
      <w:tblGrid>
        <w:gridCol w:w="4666"/>
        <w:gridCol w:w="1632"/>
        <w:gridCol w:w="1634"/>
        <w:gridCol w:w="1632"/>
      </w:tblGrid>
      <w:tr w:rsidR="009F4DDD" w:rsidRPr="008C14F9" w14:paraId="4F12A1DD" w14:textId="77777777" w:rsidTr="00196DC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40" w:type="pct"/>
            <w:noWrap/>
            <w:hideMark/>
          </w:tcPr>
          <w:p w14:paraId="1E59B8DC" w14:textId="77777777" w:rsidR="009F4DDD" w:rsidRPr="008C14F9" w:rsidRDefault="009F4DDD">
            <w:pPr>
              <w:rPr>
                <w:rFonts w:ascii="Times New Roman" w:hAnsi="Times New Roman"/>
                <w:szCs w:val="20"/>
              </w:rPr>
            </w:pPr>
          </w:p>
        </w:tc>
        <w:tc>
          <w:tcPr>
            <w:tcW w:w="853" w:type="pct"/>
            <w:hideMark/>
          </w:tcPr>
          <w:p w14:paraId="73158558" w14:textId="77777777" w:rsidR="009F4DDD" w:rsidRPr="008C14F9" w:rsidRDefault="009F4DDD">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16"/>
                <w:szCs w:val="16"/>
              </w:rPr>
            </w:pPr>
            <w:r>
              <w:rPr>
                <w:color w:val="FFFFFF" w:themeColor="background1"/>
                <w:sz w:val="16"/>
              </w:rPr>
              <w:t xml:space="preserve">Viti 2020 </w:t>
            </w:r>
          </w:p>
        </w:tc>
        <w:tc>
          <w:tcPr>
            <w:tcW w:w="854" w:type="pct"/>
            <w:hideMark/>
          </w:tcPr>
          <w:p w14:paraId="1BA96E5E" w14:textId="77777777" w:rsidR="009F4DDD" w:rsidRPr="008C14F9" w:rsidRDefault="009F4DDD">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16"/>
                <w:szCs w:val="16"/>
              </w:rPr>
            </w:pPr>
            <w:r>
              <w:rPr>
                <w:color w:val="FFFFFF" w:themeColor="background1"/>
                <w:sz w:val="16"/>
              </w:rPr>
              <w:t xml:space="preserve">Viti 2025 </w:t>
            </w:r>
          </w:p>
        </w:tc>
        <w:tc>
          <w:tcPr>
            <w:tcW w:w="853" w:type="pct"/>
            <w:hideMark/>
          </w:tcPr>
          <w:p w14:paraId="4DFBC71E" w14:textId="2F79DDE7" w:rsidR="009F4DDD" w:rsidRPr="008C14F9" w:rsidRDefault="009F4DDD">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16"/>
                <w:szCs w:val="16"/>
              </w:rPr>
            </w:pPr>
            <w:r>
              <w:rPr>
                <w:color w:val="FFFFFF" w:themeColor="background1"/>
                <w:sz w:val="16"/>
              </w:rPr>
              <w:t xml:space="preserve">Viti 2032 </w:t>
            </w:r>
          </w:p>
        </w:tc>
      </w:tr>
      <w:tr w:rsidR="009F4DDD" w:rsidRPr="008C14F9" w14:paraId="7755CE77" w14:textId="77777777" w:rsidTr="00196DC9">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440" w:type="pct"/>
            <w:noWrap/>
            <w:hideMark/>
          </w:tcPr>
          <w:p w14:paraId="18D87E91" w14:textId="77777777" w:rsidR="009F4DDD" w:rsidRPr="008C14F9" w:rsidRDefault="009F4DDD">
            <w:pPr>
              <w:contextualSpacing/>
              <w:rPr>
                <w:rFonts w:eastAsia="Times New Roman" w:cs="Calibri"/>
                <w:sz w:val="16"/>
                <w:szCs w:val="16"/>
              </w:rPr>
            </w:pPr>
            <w:r>
              <w:rPr>
                <w:sz w:val="16"/>
              </w:rPr>
              <w:t>Ngarkesa maksimale e sistemit në skenarin e lartë (MW)</w:t>
            </w:r>
          </w:p>
        </w:tc>
        <w:tc>
          <w:tcPr>
            <w:tcW w:w="853" w:type="pct"/>
            <w:noWrap/>
            <w:hideMark/>
          </w:tcPr>
          <w:p w14:paraId="447C4E00" w14:textId="77777777" w:rsidR="009F4DDD" w:rsidRPr="008C14F9" w:rsidRDefault="009F4DDD">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Pr>
                <w:sz w:val="16"/>
              </w:rPr>
              <w:t>1249</w:t>
            </w:r>
          </w:p>
        </w:tc>
        <w:tc>
          <w:tcPr>
            <w:tcW w:w="854" w:type="pct"/>
            <w:noWrap/>
            <w:hideMark/>
          </w:tcPr>
          <w:p w14:paraId="6FC94138" w14:textId="77777777" w:rsidR="009F4DDD" w:rsidRPr="008C14F9" w:rsidRDefault="009F4DDD">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Pr>
                <w:sz w:val="16"/>
              </w:rPr>
              <w:t>1531</w:t>
            </w:r>
          </w:p>
        </w:tc>
        <w:tc>
          <w:tcPr>
            <w:tcW w:w="853" w:type="pct"/>
            <w:noWrap/>
            <w:hideMark/>
          </w:tcPr>
          <w:p w14:paraId="16D7FEC7" w14:textId="443CBF5D" w:rsidR="009F4DDD" w:rsidRPr="008C14F9" w:rsidRDefault="009F4DDD">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6"/>
                <w:szCs w:val="16"/>
              </w:rPr>
            </w:pPr>
            <w:r>
              <w:rPr>
                <w:sz w:val="16"/>
              </w:rPr>
              <w:t>1597</w:t>
            </w:r>
          </w:p>
        </w:tc>
      </w:tr>
      <w:tr w:rsidR="009F4DDD" w:rsidRPr="008C14F9" w14:paraId="134E4F6D" w14:textId="77777777" w:rsidTr="00196DC9">
        <w:trPr>
          <w:trHeight w:val="167"/>
        </w:trPr>
        <w:tc>
          <w:tcPr>
            <w:cnfStyle w:val="001000000000" w:firstRow="0" w:lastRow="0" w:firstColumn="1" w:lastColumn="0" w:oddVBand="0" w:evenVBand="0" w:oddHBand="0" w:evenHBand="0" w:firstRowFirstColumn="0" w:firstRowLastColumn="0" w:lastRowFirstColumn="0" w:lastRowLastColumn="0"/>
            <w:tcW w:w="2440" w:type="pct"/>
            <w:noWrap/>
            <w:hideMark/>
          </w:tcPr>
          <w:p w14:paraId="31DE9195" w14:textId="77777777" w:rsidR="009F4DDD" w:rsidRPr="008C14F9" w:rsidRDefault="009F4DDD">
            <w:pPr>
              <w:contextualSpacing/>
              <w:rPr>
                <w:rFonts w:eastAsia="Times New Roman" w:cs="Calibri"/>
                <w:sz w:val="16"/>
                <w:szCs w:val="16"/>
              </w:rPr>
            </w:pPr>
            <w:r>
              <w:rPr>
                <w:sz w:val="16"/>
              </w:rPr>
              <w:t>Kapaciteti total nominal i instaluar i interkoneksionit (MW)</w:t>
            </w:r>
          </w:p>
        </w:tc>
        <w:tc>
          <w:tcPr>
            <w:tcW w:w="853" w:type="pct"/>
            <w:noWrap/>
            <w:hideMark/>
          </w:tcPr>
          <w:p w14:paraId="4283DFC3" w14:textId="77777777" w:rsidR="009F4DDD" w:rsidRPr="008C14F9" w:rsidRDefault="009F4DDD">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Pr>
                <w:sz w:val="16"/>
              </w:rPr>
              <w:t>5575</w:t>
            </w:r>
          </w:p>
        </w:tc>
        <w:tc>
          <w:tcPr>
            <w:tcW w:w="854" w:type="pct"/>
            <w:noWrap/>
            <w:hideMark/>
          </w:tcPr>
          <w:p w14:paraId="582C257D" w14:textId="77777777" w:rsidR="009F4DDD" w:rsidRPr="008C14F9" w:rsidRDefault="009F4DDD">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Pr>
                <w:sz w:val="16"/>
              </w:rPr>
              <w:t>5575</w:t>
            </w:r>
          </w:p>
        </w:tc>
        <w:tc>
          <w:tcPr>
            <w:tcW w:w="853" w:type="pct"/>
            <w:noWrap/>
            <w:hideMark/>
          </w:tcPr>
          <w:p w14:paraId="30A70A99" w14:textId="414CE895" w:rsidR="009F4DDD" w:rsidRPr="008C14F9" w:rsidRDefault="0062240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rPr>
            </w:pPr>
            <w:r>
              <w:rPr>
                <w:sz w:val="16"/>
              </w:rPr>
              <w:t>6825</w:t>
            </w:r>
          </w:p>
        </w:tc>
      </w:tr>
    </w:tbl>
    <w:p w14:paraId="3E49B2C8" w14:textId="0FB36028" w:rsidR="009F4DDD" w:rsidRPr="00976D33" w:rsidRDefault="009F4DDD" w:rsidP="009F4DDD">
      <w:pPr>
        <w:pStyle w:val="Tabellenberschrift"/>
        <w:rPr>
          <w:i/>
          <w:color w:val="0F0D29" w:themeColor="text1"/>
        </w:rPr>
      </w:pPr>
      <w:r>
        <w:rPr>
          <w:i/>
          <w:color w:val="0F0D29" w:themeColor="text1"/>
        </w:rPr>
        <w:t>Burimi: KOSTT, Plani Zhvillimor i Transmisionit 2024-2033</w:t>
      </w:r>
    </w:p>
    <w:p w14:paraId="2C5C869D" w14:textId="63726E9B" w:rsidR="009F4DDD" w:rsidRPr="00976D33" w:rsidRDefault="009F4DDD" w:rsidP="009F4DDD">
      <w:r>
        <w:t>Lloji i gjenerimit të energjisë së ripërtëritshme të lidhur në rrjetin e transmisionit aktualisht vjen nga energjia e erës dhe hidrocentralet. Kapacitetet aktuale të instaluara neto nga këto lloje të burimeve të ripërtëritshme arrijnë deri në 139 MW për energjinë e erës dhe deri në 63 MW për hidrocentralet. Kjo pritet të rritet duke pasur parasysh caqet e BRE-ve në dimensionin e dekarbonizimit, duke arritur në 675 MW të erës dhe 727 MW të kapacitetit gjenerues solar fotovoltaik (përfshirë prodhuesit vetë-konsumues) deri në vitin 2030. Përderisa kapaciteti i instaluar i interkoneksionit, apo kapaciteti termik i linjave të transmisionit është rreth 5600 MW, kapaciteti maksimal i transferimit neto (NTC) ndërmjet Kosovës dhe rajonit arrin një nivel prej 1300 MW deri në maksimumin prej 1600 MW. Prandaj, proceset e duhura të planifikimit janë vendosur për të akomoduar integrimin e kapaciteteve të BRE-ve në rrjetin e transmisionit.</w:t>
      </w:r>
    </w:p>
    <w:p w14:paraId="74A4F459" w14:textId="77777777" w:rsidR="0088143A" w:rsidRPr="00976D33" w:rsidRDefault="0088143A" w:rsidP="00BD4E9E">
      <w:pPr>
        <w:pStyle w:val="Heading3"/>
      </w:pPr>
      <w:bookmarkStart w:id="142" w:name="_Toc182302277"/>
      <w:r>
        <w:t>Infrastruktura e transmisionit të energjisë</w:t>
      </w:r>
      <w:bookmarkEnd w:id="142"/>
      <w:r>
        <w:t xml:space="preserve"> </w:t>
      </w:r>
    </w:p>
    <w:p w14:paraId="773EE6D3" w14:textId="77777777" w:rsidR="0088143A" w:rsidRPr="00976D33" w:rsidRDefault="0088143A" w:rsidP="00AF7BBF">
      <w:pPr>
        <w:pStyle w:val="Heading4"/>
        <w:numPr>
          <w:ilvl w:val="0"/>
          <w:numId w:val="74"/>
        </w:numPr>
      </w:pPr>
      <w:r>
        <w:t xml:space="preserve">Projektet kyçe infrastrukturore të transmisionit të energjisë elektrike dhe gazit dhe, aty ku është e përshtatshme, projektet e modernizimit, që janë të nevojshme për arritjen e objektivave dhe caqeve sipas pesë dimensioneve të Strategjisë së Bashkimit për Energji </w:t>
      </w:r>
    </w:p>
    <w:p w14:paraId="432A2D74" w14:textId="177CF114" w:rsidR="009F4DDD" w:rsidRPr="00976D33" w:rsidRDefault="009F4DDD" w:rsidP="009F4DDD">
      <w:r>
        <w:t xml:space="preserve">Për të arritur objektivat strategjikë të Strategjisë Kombëtare të Energjisë, janë planifikuar në mënyrë të duhur investime të vazhdueshme në zhvillimin dhe mirëmbajtjen e sistemit të transmisionit. </w:t>
      </w:r>
      <w:r>
        <w:rPr>
          <w:b/>
          <w:color w:val="024F75" w:themeColor="accent1"/>
        </w:rPr>
        <w:t>Ligji për Energjinë Elektrike</w:t>
      </w:r>
      <w:r>
        <w:rPr>
          <w:color w:val="024F75" w:themeColor="accent1"/>
        </w:rPr>
        <w:t xml:space="preserve"> </w:t>
      </w:r>
      <w:r>
        <w:t>cakton operatorin e transmisionit dhe sistemit për të përgatitur një Plan Zhvillimor 10-vjeçar të Transmisionit (PZHT), i cili më pas miratohet nga Zyra e Rregullatorit për Energji. Plani i fundit i zhvilluar mbulon periudhën 2024-2033, i cili përcakton projektet përkatëse për zbatim (shih Kapitullin 4). Objektivi është implementimi i projekteve të parashikuara në PZHT. Implementimi i këtyre projekteve do të mundësojë arritjen e objektivave dhe synimeve të Strategjisë Kombëtare të Energjisë, do të rrisë stabilitetin dhe besueshmërinë e sistemit elektroenergjetik dhe do të sigurojë përmbushjen e kërkesave teknike të ENTSO-E.</w:t>
      </w:r>
    </w:p>
    <w:p w14:paraId="441E9E45" w14:textId="1B135B9D" w:rsidR="009F4DDD" w:rsidRPr="00976D33" w:rsidRDefault="009F4DDD" w:rsidP="009F4DDD">
      <w:r>
        <w:t>Në përgjithësi, këto projekte zhvillimore të rrjetit të transmisionit ndahen në pesë kategori:</w:t>
      </w:r>
    </w:p>
    <w:p w14:paraId="65AAA2D1" w14:textId="77777777" w:rsidR="009F4DDD" w:rsidRPr="00976D33" w:rsidRDefault="009F4DDD" w:rsidP="009F4DDD">
      <w:pPr>
        <w:pStyle w:val="ListParagraph"/>
      </w:pPr>
      <w:r>
        <w:t>Përforcimet e rrjetit të transmisionit</w:t>
      </w:r>
    </w:p>
    <w:p w14:paraId="5E351F64" w14:textId="77777777" w:rsidR="009F4DDD" w:rsidRPr="00976D33" w:rsidRDefault="009F4DDD" w:rsidP="009F4DDD">
      <w:pPr>
        <w:pStyle w:val="ListParagraph"/>
      </w:pPr>
      <w:r>
        <w:t>Mbështetja e ngarkesës/nyjat e reja 110/10(20) kV</w:t>
      </w:r>
    </w:p>
    <w:p w14:paraId="370215A5" w14:textId="77777777" w:rsidR="009F4DDD" w:rsidRPr="00976D33" w:rsidRDefault="009F4DDD" w:rsidP="009F4DDD">
      <w:pPr>
        <w:pStyle w:val="ListParagraph"/>
      </w:pPr>
      <w:r>
        <w:t>Rivitalizimi i rrjetit të transmisionit</w:t>
      </w:r>
    </w:p>
    <w:p w14:paraId="66053E5F" w14:textId="77777777" w:rsidR="009F4DDD" w:rsidRPr="00976D33" w:rsidRDefault="009F4DDD" w:rsidP="009F4DDD">
      <w:pPr>
        <w:pStyle w:val="ListParagraph"/>
      </w:pPr>
      <w:r>
        <w:t>Mbështetja e projekteve të sistemit të transmisionit (menaxhimi, monitorimi, matja dhe kontrolli),</w:t>
      </w:r>
    </w:p>
    <w:p w14:paraId="72369DC6" w14:textId="77777777" w:rsidR="009F4DDD" w:rsidRPr="00976D33" w:rsidRDefault="009F4DDD" w:rsidP="009F4DDD">
      <w:pPr>
        <w:pStyle w:val="ListParagraph"/>
      </w:pPr>
      <w:r>
        <w:t>Mbështetja e gjenerimit (aplikimi për lidhje)</w:t>
      </w:r>
    </w:p>
    <w:p w14:paraId="344F97E9" w14:textId="77777777" w:rsidR="009F4DDD" w:rsidRPr="00976D33" w:rsidRDefault="009F4DDD" w:rsidP="009F4DDD">
      <w:r>
        <w:t>Me rëndësi të veçantë janë projektet në kategorinë e përforcimit të rrjetit duke pasur parasysh efektet e tyre në rritjen e kapaciteteve të rrjetit sipas kërkesave përkatëse të Kodit të Rrjetit.</w:t>
      </w:r>
    </w:p>
    <w:p w14:paraId="0E921665" w14:textId="600A741A" w:rsidR="00A4244D" w:rsidRPr="00976D33" w:rsidRDefault="009F4DDD" w:rsidP="009F4DDD">
      <w:r>
        <w:t xml:space="preserve">Për sa i përket infrastrukturës së transmisionit të gazit natyror, aktualisht nuk ka as infrastrukturë fizike të bazuar në gaz natyror dhe as treg të gazit natyror. Megjithatë, Ligji Nr. 05/L-82 për Gazin Natyror tashmë është miratuar, i cili adreson elementet dhe kërkesat e Pakos së Tretë të Energjisë në lidhje me gazin natyror </w:t>
      </w:r>
      <w:r>
        <w:lastRenderedPageBreak/>
        <w:t>(Direktiva Nr. 2009/73/EC dhe Rregullorja Nr. 715/2009/ KE). Po ashtu, është miratuar edhe Udhëzimi Administrativ përkatës për sigurinë e furnizimit me gaz natyror.</w:t>
      </w:r>
    </w:p>
    <w:p w14:paraId="1571E1A8" w14:textId="77777777" w:rsidR="0088143A" w:rsidRPr="00976D33" w:rsidRDefault="002D28D5" w:rsidP="00BC1596">
      <w:pPr>
        <w:pStyle w:val="Heading4"/>
      </w:pPr>
      <w:r>
        <w:t xml:space="preserve">Kur është e aplikueshme, projektet kryesore infrastrukturore të parashikuara përveç Projekteve me Interes të Komunitetit të Energjisë (PIKE)/ Projekteve me Interes të Ndërsjellë (PIN) (1) </w:t>
      </w:r>
    </w:p>
    <w:p w14:paraId="4CEAB004" w14:textId="0C15017C" w:rsidR="00FE04C5" w:rsidRPr="00976D33" w:rsidRDefault="00793273" w:rsidP="00A4244D">
      <w:r>
        <w:t>Nuk aplikohet. Projekt i mëparshëm i infrastrukturës së gazit i konsideruar në kontekstin e studimit paraprak të parafizibilitetit të Kompaktit të Kosovës të MCC-së nuk do të ndiqet më tej.</w:t>
      </w:r>
    </w:p>
    <w:p w14:paraId="626F55F4" w14:textId="77777777" w:rsidR="0088143A" w:rsidRPr="00976D33" w:rsidRDefault="0088143A" w:rsidP="00BD4E9E">
      <w:pPr>
        <w:pStyle w:val="Heading3"/>
      </w:pPr>
      <w:bookmarkStart w:id="143" w:name="_Toc182302278"/>
      <w:r>
        <w:t>Integrimi i tregut</w:t>
      </w:r>
      <w:bookmarkEnd w:id="143"/>
      <w:r>
        <w:t xml:space="preserve"> </w:t>
      </w:r>
    </w:p>
    <w:p w14:paraId="64415CF0" w14:textId="77777777" w:rsidR="0088143A" w:rsidRPr="00976D33" w:rsidRDefault="0088143A" w:rsidP="00AF7BBF">
      <w:pPr>
        <w:pStyle w:val="Heading4"/>
        <w:numPr>
          <w:ilvl w:val="0"/>
          <w:numId w:val="9"/>
        </w:numPr>
      </w:pPr>
      <w:r>
        <w:t xml:space="preserve">Objektivat kombëtare që lidhen me aspekte të tjera të tregut të brendshëm energjetik, siç janë rritja e fleksibilitetit të sistemit, veçanërisht në lidhje me promovimin e çmimeve të përcaktuara në mënyrë konkurruese të energjisë elektrike në përputhje me ligjin sektorial përkatës, integrimi dhe bashkimi i tregut, që synojnë rritjen e kapacitetit të tregtueshëm të interkonektorëve ekzistues, rrjetet inteligjente, grumbullimi, përgjigja ndaj kërkesës, ruajtja, prodhimi i shpërndarë, mekanizmat për dërgimin, ri-dërgimin dhe pakësimin, dhe sinjalet e çmimeve në kohë reale, duke përfshirë kornizën kohore për përmbushjen e objektivave </w:t>
      </w:r>
    </w:p>
    <w:p w14:paraId="3A974139" w14:textId="57579820" w:rsidR="00021CB4" w:rsidRPr="00976D33" w:rsidRDefault="20722CD8" w:rsidP="00021CB4">
      <w:pPr>
        <w:rPr>
          <w:color w:val="5B9BD5"/>
        </w:rPr>
      </w:pPr>
      <w:r>
        <w:t>Duke marrë parasysh rritjen e nivelit të burimeve të ripërtëritshme që do të përdoren në prodhimin e energjisë elektrike, rritja e fleksibilitetit të sistemit është çelësi për të arritur balancimin e sistemit në kohë reale. Aktualisht, vetëm kapacitetet e rezervës energjetike për</w:t>
      </w:r>
      <w:r>
        <w:cr/>
      </w:r>
      <w:r>
        <w:br/>
        <w:t>mbajtjen nën kontroll të frekuencës (FCR) (rezerva primare prej 5 MW) sigurohen nga termocentralet në Kosovë. Shërbimet e tjera ndihmëse (+/-25 MW aFRR dhe</w:t>
      </w:r>
      <w:r>
        <w:cr/>
      </w:r>
      <w:r>
        <w:br/>
        <w:t>+143/-90 MW mFRR) ofrohen nga sistemi elektroenergjetik i Shqipërisë.</w:t>
      </w:r>
      <w:r>
        <w:rPr>
          <w:color w:val="5B9BD5"/>
        </w:rPr>
        <w:t xml:space="preserve"> </w:t>
      </w:r>
    </w:p>
    <w:p w14:paraId="57ADFFF9" w14:textId="71FD4D84" w:rsidR="00021CB4" w:rsidRPr="00976D33" w:rsidRDefault="00021CB4" w:rsidP="00021CB4">
      <w:r>
        <w:t>Në këtë drejtim, në vitet 2027-2028 pritet të vihet në punë një sistem i ruajtjes së energjisë përmes baterive me kapacitet prej 170 MW për të mundësuar balancimin e sistemit dhe integrimin e BRE-ve në sistemin e energjisë elektrike. Kohëzgjatja e ruajtjes është paraparë të jetë 2 orë dhe është planifikuar të sigurojë rregullimin sekondar (aFRR) dhe terciar (mFRR) për operatorin e sistemit. Për më tepër, ruajtja do të përdoret gjithashtu për të zhvendosur ngarkesën maksimale përmes procesit optimal të karikimit dhe shkarkimit. Në të ardhmen, do të merren parasysh opsionet shtesë të politikave për zbatimin e burimeve të fleksibilitetit, duke përfshirë prezantimin e fleksibilitetit të kërkesës nga konsumatorët industrialë dhe karikimin fleksibil të automjeteve elektrike (AE).</w:t>
      </w:r>
    </w:p>
    <w:p w14:paraId="4941CC3F" w14:textId="38754FFE" w:rsidR="00021CB4" w:rsidRPr="00976D33" w:rsidRDefault="47D2B174" w:rsidP="00021CB4">
      <w:r>
        <w:t>Megjithëse pranohet gjerësisht se rritja e konkurrencës në tregjet e energjisë me shumicë dhe pakicë janë parakushte për funksionimin e përmirësuar të tregut, aktualisht nuk ka</w:t>
      </w:r>
      <w:r>
        <w:rPr>
          <w:color w:val="5B9BD5"/>
        </w:rPr>
        <w:t xml:space="preserve"> </w:t>
      </w:r>
      <w:r>
        <w:t xml:space="preserve">treg konkurrues me shumicë dhe pakicë, i cili do t’ua mundësonte konsumatorëve të përfitonin nga çmimet konkurruese. Në këtë drejtim, Zyra e Rregullatorit për Energji ka miratuar Udhëzuesin për Liberalizimin e Tregut të Energjisë Elektrike në Kosovë. Raporti i fundit i vlerësimit të konkurrencës në sektorin e energjisë elektrike që mbulon periudhën 2020-2021, tregon se tregu i shitjes me shumicë bazohet kryesisht në kontrata bilaterale. Domethënë, prodhuesi aktual, KEK-u, është i obliguar që tërë vëllimin e tij t’ia ofrojë furnizuesit aktual, KESCO-s, sipas marrëveshjes së furnizimit me shumicë (MFSH), në masën që furnizuesi kërkon që ai të përmbushë detyrimin e tij të shërbimit universal. </w:t>
      </w:r>
    </w:p>
    <w:p w14:paraId="7C457017" w14:textId="6CDC8625" w:rsidR="00021CB4" w:rsidRPr="00976D33" w:rsidRDefault="00021CB4" w:rsidP="00021CB4">
      <w:r>
        <w:t xml:space="preserve">Për të mundësuar konkurrencën në tregun me shumicë, është thelbësore trajtimi i çështjes së MFSH-së ndërmjet gjeneratorit shtetëror (KEK) dhe furnizuesit aktual (KESCO), i cili aktualisht përbën pengesën kryesore. Përveç kësaj, mungesa e informacionit për profilet e konsumatorëve është një pengesë tjetër të cilën institucionet e Kosovës po planifikojnë ta trajtojnë. Hapja e tregut me pakicë u shty, pas zhvillimeve negative, duke përfshirë pandeminë Covid-19 dhe krizën energjetike të shkaktuar nga pushtimi rus në shkallë të plotë në Ukrainë dhe ndikimet socio-ekonomike të lidhura me to. Kështu që, konsumatorët e tensionit të mesëm vazhdojnë të furnizohen nga furnizuesi universal, me çmime të rregulluara. Megjithatë, Rregullatori planifikon të vazhdojë me përpjekjet për hapjen graduale të tregut me pakicë. </w:t>
      </w:r>
    </w:p>
    <w:p w14:paraId="6C387B77" w14:textId="63131899" w:rsidR="003C6497" w:rsidRPr="00976D33" w:rsidRDefault="00021CB4" w:rsidP="00021CB4">
      <w:r>
        <w:lastRenderedPageBreak/>
        <w:t>Në lidhje me integrimin rajonal, një nga objektivat kryesore të Kosovës</w:t>
      </w:r>
      <w:r>
        <w:rPr>
          <w:color w:val="024F75" w:themeColor="accent1"/>
        </w:rPr>
        <w:t xml:space="preserve"> </w:t>
      </w:r>
      <w:r>
        <w:t xml:space="preserve">është të forcojë bashkëpunimin rajonal dhe funksionimin e tregut. Me rëndësi të veçantë është integrimi i tregut me Shqipërinë: Nga dhjetori i vitit 2020, ka filluar funksionimi si Zonë e pavarur Rregullatore në kuadër të Evropës Kontinentale brenda bllokut Shqipëri-Kosovë (SHK). Pikëreferencat e ardhshme në këtë drejtim përfshijnë funksionalizimin e Bursës së Përbashkët Shqiptare të Energjisë (ALPEX), e cila ishte lansuar në Shqipëri në prill të vitit 2023 dhe në zonën tregtare të Kosovës në fund të janarit të vitit 2024. Pikat e ardhshme në këtë drejtim përfshijnë operacionalizimin e ALPEX në tregun brenda të njëjtës ditë dhe përmirësimin e planifikimit të përbashkët të sistemit. Për të rritur më tej tregtinë rajonale, Strategjia Kombëtare e Energjisë përshkruan gjithashtu planet për të ndërtuar interkonektorë të rinj ndërmjet Kosovës dhe Shqipërisë deri në fund të dekadës. </w:t>
      </w:r>
    </w:p>
    <w:p w14:paraId="0EEA0F14" w14:textId="557CFD9E" w:rsidR="00FE04C5" w:rsidRPr="00976D33" w:rsidRDefault="00021CB4" w:rsidP="00021CB4">
      <w:r>
        <w:t xml:space="preserve">Për më tepër, deri në vitin 2028 parashikohet integrimi më i gjerë i tregut rajonal, gjegjësisht bashkimi me zonën e tregut pan-evropian. Për këtë qëllim, Strategjia Kombëtare e Energjisë përfshin si cak kyç në planin afatgjatë anëtarësimin në kuotat evropiane, bashkimin e tregut të ditës në avancë (SDAC) dhe bashkimin e tregut brenda të njëjtës ditë (SIDC), më së voni deri në vitin 2031. Qeveria e Kosovës, së bashku me institucionet kryesore të sektorit energjetik, planifikojnë të avancojnë këtë arritje të rëndësishme, e cila konsiderohet gjithashtu një hap thelbësor në funksion të objektivave kombëtare për dekarbonizimin dhe sigurimin e furnizimit të qëndrueshëm. Për shembull, kjo do të mundësojë si dhe do të krijojë një mjedisi të favorshëm për tërheqjen e investimeve në BRE, si dhe në drejtim të trajtimit të çështjeve të ruajtjes dhe menaxhimit të kërkesës. </w:t>
      </w:r>
    </w:p>
    <w:p w14:paraId="44513B52" w14:textId="77777777" w:rsidR="0088143A" w:rsidRPr="00976D33" w:rsidRDefault="0088143A" w:rsidP="00BC1596">
      <w:pPr>
        <w:pStyle w:val="Heading4"/>
      </w:pPr>
      <w:r>
        <w:t xml:space="preserve">Kur është e aplikueshme, objektivat kombëtare që lidhen me pjesëmarrjen jodiskriminuese të energjisë së ripërtëritshme, përgjigjes ndaj kërkesës dhe ruajtjes, përfshirë përmes grumbullimit, në të gjitha tregjet e energjisë, duke përfshirë një afat kohor për arritjen e objektivave </w:t>
      </w:r>
    </w:p>
    <w:p w14:paraId="7B5D9672" w14:textId="3001CD3C" w:rsidR="00021CB4" w:rsidRPr="00976D33" w:rsidRDefault="00021CB4" w:rsidP="00021CB4">
      <w:r>
        <w:rPr>
          <w:b/>
          <w:color w:val="024F75" w:themeColor="accent1"/>
        </w:rPr>
        <w:t>Ligji për Energjinë</w:t>
      </w:r>
      <w:r>
        <w:rPr>
          <w:color w:val="024F75" w:themeColor="accent1"/>
        </w:rPr>
        <w:t xml:space="preserve"> </w:t>
      </w:r>
      <w:r>
        <w:t xml:space="preserve">ofron bazën për pjesëmarrje jodiskriminuese të energjisë së ripërtëritshme me dispozita të qarta në lidhje me qasjen dhe funksionimin e rrjetit për energji elektrike nga burimet e ripërtëritshme dhe kogjenerimin, duke përfshirë prioritetin në shpërndarjen e energjisë elektrike të prodhuar nga BRE-të. Kjo do të forcohet më tej me Ligjin e miratuar për Promovimin e Përdorimit të Burimeve të Ripërtëritshme të Energjisë. Për më tepër, versioni i projektligjit të ri për Energjinë Elektrike, i cili përputhet me Pakon për Energji të Pastër, përfshin dispozitat për përgjigje ndaj kërkesës dhe agregimit. </w:t>
      </w:r>
    </w:p>
    <w:p w14:paraId="50619590" w14:textId="77777777" w:rsidR="00021CB4" w:rsidRPr="00976D33" w:rsidRDefault="00021CB4" w:rsidP="00BC1596">
      <w:pPr>
        <w:pStyle w:val="Heading4"/>
      </w:pPr>
      <w:r>
        <w:t>Kur është e aplikueshme, objektivat kombëtare në lidhje me sigurimin që konsumatorët të marrin pjesë në sistemin energjetik dhe të përfitojnë nga vetë-prodhimi dhe teknologjitë e reja, duke përfshirë njehsorët inteligjentë;</w:t>
      </w:r>
    </w:p>
    <w:p w14:paraId="4AB3A2C8" w14:textId="5833FC04" w:rsidR="00021CB4" w:rsidRPr="00976D33" w:rsidRDefault="00021CB4" w:rsidP="00021CB4">
      <w:r>
        <w:rPr>
          <w:b/>
          <w:color w:val="024F75" w:themeColor="accent1"/>
        </w:rPr>
        <w:t>Strategjia Kombëtare e Energjisë</w:t>
      </w:r>
      <w:r>
        <w:rPr>
          <w:color w:val="024F75" w:themeColor="accent1"/>
        </w:rPr>
        <w:t xml:space="preserve"> </w:t>
      </w:r>
      <w:r>
        <w:t xml:space="preserve">parashikon një rritje dinamike të BRE-ve, kryesisht nga era dhe solare, të mbështetur nga ankandet e burimeve të ripërtëritshme, investimet publike dhe pjesëmarrja aktive e prodhuesve vetë-konsumues në këtë proces. Gjithashtu, strategjia synon të promovojë prodhuesit e vetë-konsumues të energjisë së ripërtëritshme dhe komunitetet e energjisë së ripërtëritshme, të cilat do të inkurajohen nga një strukturë ligjore dhe rregullatore e përmirësuar dhe procedurat administrative, si dhe prezantimi i skemave të ndryshme mbështetëse. Në këtë drejtim, një moment historik i rëndësishëm u arrit pasi ZRRE-ja miratoi një Rregull të ri për prodhuesit vetë-konsumues të energjisë së ripërtëritshme, duke prezantuar gjithashtu një skemë të re të faturimit neto. Më tej, Ministria e Mjedisit, Planifikimit Hapësinor dhe Infrastrukturës ka ndryshuar Udhëzimin Administrativ përkatës duke ua mundësuar konsumatorët familjarë të instalojnë panele solare në çati me kapacitet të instaluar deri në 7 kW. Të gjitha këto masa janë të orientuara drejt arritjes së </w:t>
      </w:r>
      <w:r>
        <w:rPr>
          <w:b/>
        </w:rPr>
        <w:t>objektivit</w:t>
      </w:r>
      <w:r>
        <w:t xml:space="preserve"> për arritjen e një minimumi prej 100 MW të kapacitetit të prodhuesve vetë-konsumues deri në vitin 2031 me një cak të ndërmjetëm prej 30 MW deri në vitin 2025. Instalimi i njehsorëve inteligjentë në nivel të konsumatorëve përcaktohet gjithashtu si një opsion për t’u marrë në konsideratë në Strategjinë Kombëtare të Energjisë.  </w:t>
      </w:r>
    </w:p>
    <w:p w14:paraId="6878BAF4" w14:textId="77777777" w:rsidR="0088143A" w:rsidRPr="00976D33" w:rsidRDefault="0088143A" w:rsidP="00BC1596">
      <w:pPr>
        <w:pStyle w:val="Heading4"/>
      </w:pPr>
      <w:r>
        <w:t xml:space="preserve">Objektivat kombëtare në lidhje me sigurimin e përshtatshmërisë së sistemit të energjisë elektrike, si dhe për fleksibilitetin e sistemit energjetik në lidhje me prodhimin e energjisë së ripërtëritshme, duke përfshirë afatin kohor për përmbushjen e objektivave </w:t>
      </w:r>
    </w:p>
    <w:p w14:paraId="7AA91CD8" w14:textId="77777777" w:rsidR="00021CB4" w:rsidRPr="00976D33" w:rsidRDefault="00021CB4" w:rsidP="00021CB4">
      <w:r>
        <w:t xml:space="preserve">Me objektivin e saj të parë kyç, </w:t>
      </w:r>
      <w:r>
        <w:rPr>
          <w:b/>
          <w:color w:val="024F75" w:themeColor="accent1"/>
        </w:rPr>
        <w:t>Strategjia Kombëtare e Energjisë</w:t>
      </w:r>
      <w:r>
        <w:rPr>
          <w:color w:val="024F75" w:themeColor="accent1"/>
        </w:rPr>
        <w:t xml:space="preserve"> </w:t>
      </w:r>
      <w:r>
        <w:t xml:space="preserve">parashikon që siguria e furnizimit të sigurohet duke garantuar funksionimin e unifikuar të sistemit të energjisë elektrike. Kjo kërkon kapacitete të </w:t>
      </w:r>
      <w:r>
        <w:lastRenderedPageBreak/>
        <w:t>madhësisë adekuate për furnizim dhe rezerva, besueshmëri, fleksibilitet dhe efikasitet të njësive gjeneruese, elementeve të rrjetit dhe tregjeve të integruara.</w:t>
      </w:r>
    </w:p>
    <w:p w14:paraId="44C4947D" w14:textId="2A064016" w:rsidR="00021CB4" w:rsidRPr="00976D33" w:rsidRDefault="00021CB4" w:rsidP="00021CB4">
      <w:r>
        <w:t xml:space="preserve">Në lidhje me adekuacinë e sistemit, Kosova ka kapacitete të mjaftueshme të rrjetit të interkoneksionit për flukset e transferuara të importeve të nevojshme si dhe flukset e eksporteve të mundshme. Nëse krahasohen me vlerat e mjaftueshmërisë së gjenerimit, kapacitetet e interkoneksionit kanë dhe do të kenë një diferencë të mjaftueshme sigurie. </w:t>
      </w:r>
    </w:p>
    <w:p w14:paraId="4481495D" w14:textId="77777777" w:rsidR="00021CB4" w:rsidRPr="00976D33" w:rsidRDefault="00021CB4" w:rsidP="00021CB4">
      <w:r>
        <w:t>Në lidhje me adekuacinë e gjenerimit, Plani i Adekuacinë së Gjenerimit 2019-2028 i KOSTT-it nënvizon se duke pasur parasysh rrethanat aktuale që mbizotërojnë në sektorin e energjisë në Kosovë nuk garantohet siguria e mjaftueshme e furnizimit me energji. Sfidat ndërlidhen kryesisht me kapacitetet e pamjaftueshme gjeneruese për të mbuluar pikun dhe për të siguruar rezervat e nevojshme të sistemit për rregullimin e energjisë.</w:t>
      </w:r>
    </w:p>
    <w:p w14:paraId="2EE85957" w14:textId="77777777" w:rsidR="0088143A" w:rsidRPr="00976D33" w:rsidRDefault="0088143A" w:rsidP="00BC1596">
      <w:pPr>
        <w:pStyle w:val="Heading4"/>
      </w:pPr>
      <w:r>
        <w:t xml:space="preserve">Kur është e zbatueshme, objektivat kombëtare për të mbrojtur konsumatorët e energjisë dhe për të përmirësuar konkurrencën e sektorit të energjisë me pakicë </w:t>
      </w:r>
    </w:p>
    <w:p w14:paraId="22B82F4E" w14:textId="39CD3933" w:rsidR="00021CB4" w:rsidRPr="00976D33" w:rsidRDefault="00021CB4" w:rsidP="00021CB4">
      <w:r>
        <w:rPr>
          <w:b/>
          <w:color w:val="024F75" w:themeColor="accent1"/>
        </w:rPr>
        <w:t>Strategjia Kombëtare e Energjisë e Kosovës</w:t>
      </w:r>
      <w:r>
        <w:rPr>
          <w:color w:val="024F75" w:themeColor="accent1"/>
        </w:rPr>
        <w:t xml:space="preserve"> </w:t>
      </w:r>
      <w:r>
        <w:t xml:space="preserve">vendos theks të madh te qytetarët për sa i përket përballueshmërisë së faturave të energjisë dhe mbrojtjes së konsumatorëve të të ndjeshëm. Në këtë drejtim, mbrojtja dhe fuqizimi i konsumatorëve do të arrihet përmes një spektri të gjerë të masave. Si shembull konkret, Qeveria e Kosovës kohëve të fundit ka punuar në koordinim të ngushtë me Zyrën e BE-së për zhvillimin e Planit të Veprimit të Pakos për Mbështetje të Energjisë prej 75 milionë euro me qëllim të zbutjes së ndikimeve të menjëhershme socio-ekonomike të krizës energjetike, me fokus në ekonomitë e cenueshme familjare dhe palët ekonomike të interesit. Pakoja për Mbështetje të Energjisë përfshin pesë masa të ndryshme dhe zbatohet nga Ministria e Ekonomisë, Ministria e Financave, Punës dhe Transfereve, si dhe Fondi i Kosovës për Efiçiencë të Energjisë. Ajo synon grupet e cenueshme duke ofruar mbështetje të drejtpërdrejtë financiare dhe subvencione për përmirësime të efikasitetit të energjisë dhe energji të ripërtëritshme të shpërndarë. </w:t>
      </w:r>
    </w:p>
    <w:p w14:paraId="0EFB8EDE" w14:textId="254EAC11" w:rsidR="00021CB4" w:rsidRPr="00976D33" w:rsidRDefault="00021CB4" w:rsidP="00021CB4">
      <w:r>
        <w:t xml:space="preserve">Siç është theksuar tashmë në seksionin për çmimet e përcaktuara në mënyrë konkurruese, tregu me pakicë në Kosovë ende nuk është hapur. Në këto rrethana, KESCO vazhdon të furnizojë me energji elektrike konsumatorët e tensionit të mesëm dhe të ulët me çmime të rregulluara. </w:t>
      </w:r>
    </w:p>
    <w:p w14:paraId="63A491B8" w14:textId="77777777" w:rsidR="00021CB4" w:rsidRPr="00976D33" w:rsidRDefault="00021CB4" w:rsidP="00021CB4">
      <w:r>
        <w:t xml:space="preserve">Në vitin 2017, ZRRE ka nxjerrë Udhëzuesin për Liberalizimin e Tregut të Energjisë Elektrike në Kosovë, i cili, ndër të tjera, përcakton datat specifike për një derregullim gradual të çmimeve. Konsumatorët e lidhur në rrjetin 220 kV ishin të parët që hynë në tregun e parregulluar, të pasuar nga konsumatorët në 110 kV (prill 2017), 35 kV dhe 10 kV (prill 2018). Për më tepër, udhëzimi thekson qartë se të gjithë konsumatorët përfundimtarë kanë të drejtë për furnizim me energji elektrike me norma konkurruese të tregut. </w:t>
      </w:r>
    </w:p>
    <w:p w14:paraId="3B772D17" w14:textId="07B2C1F6" w:rsidR="00021CB4" w:rsidRPr="00976D33" w:rsidRDefault="00021CB4" w:rsidP="00021CB4">
      <w:r>
        <w:t xml:space="preserve">Përveç kësaj, ZRRE ka miratuar edhe disa rregulla për të mundësuar konkurrencën në tregun me pakicë, siç është Rregulli i Ndërrimit të Furnizuesit, Rregulli për Përcaktimin e të Hyrave për Furnizuesin e Shërbimit Universal dhe Rregulli për Furnizuesin e Mundësisë së Fundit. Megjithatë, për shkak të shtyrjeve dhe për shkak të ndikimit financiar të pandemisë Covid në financa, ZRRE ka kërkuar nga KESCO që të vazhdojë furnizimin e konsumatorëve në rrjetin 35kV dhe 10 kV në kuadër të Shërbimit të Furnizimit Universal. </w:t>
      </w:r>
    </w:p>
    <w:p w14:paraId="66099EC0" w14:textId="682BBC63" w:rsidR="00021CB4" w:rsidRPr="00976D33" w:rsidRDefault="00021CB4" w:rsidP="00021CB4">
      <w:r>
        <w:t>Si përfundim, çmimet e energjisë elektrike aktualisht janë të rregulluara, të cilat caktohen nga ZRRE, për të gjithë konsumatorët familjarë dhe jofamiljarë, përveç konsumatorëve të kyçur në rrjetin e OSHT-së (220 kV dhe 110 kV). Konsumatorët e faturuar me tarifa të rregulluara janë të kyçur në nivelet e tensionit 35kV, 10kV dhe 0.4kV, ndërsa konsumatorët e kyçur në linjat 220kV dhe 110kV furnizohen me çmime të parregulluara (p.sh. çmimet e tregut). Aktualisht vetëm pesë konsumatorë janë subjekt i çmimeve të parregulluara, një konsumator i lidhur në linjë 220 kV dhe katër në 110 kV. Këta konsumatorë gjithashtu furnizohen nga furnizuesi aktual, KESCO.</w:t>
      </w:r>
    </w:p>
    <w:p w14:paraId="1A1C0BF6" w14:textId="18615DFD" w:rsidR="0088143A" w:rsidRPr="00976D33" w:rsidRDefault="0088143A" w:rsidP="00BD4E9E">
      <w:pPr>
        <w:pStyle w:val="Heading3"/>
      </w:pPr>
      <w:bookmarkStart w:id="144" w:name="_Toc182302279"/>
      <w:r>
        <w:lastRenderedPageBreak/>
        <w:t>Varfëria energjetike</w:t>
      </w:r>
      <w:bookmarkEnd w:id="144"/>
    </w:p>
    <w:p w14:paraId="41039889" w14:textId="77777777" w:rsidR="0088143A" w:rsidRPr="00976D33" w:rsidRDefault="0088143A" w:rsidP="00AF7BBF">
      <w:pPr>
        <w:pStyle w:val="Heading4"/>
        <w:numPr>
          <w:ilvl w:val="0"/>
          <w:numId w:val="10"/>
        </w:numPr>
      </w:pPr>
      <w:r>
        <w:t xml:space="preserve">Kur është e aplikueshme, objektivat kombëtare në lidhje me varfërinë energjetike, duke përfshirë afatin kohor për përmbushjen e objektivave </w:t>
      </w:r>
    </w:p>
    <w:p w14:paraId="41FF9424" w14:textId="446BD684" w:rsidR="00021CB4" w:rsidRPr="00976D33" w:rsidRDefault="00021CB4" w:rsidP="00021CB4">
      <w:r>
        <w:t xml:space="preserve">Çështja e mbrojtjes së konsumatorëve në nevojë trajtohet në nenin 49 të </w:t>
      </w:r>
      <w:r>
        <w:rPr>
          <w:b/>
          <w:color w:val="024F75" w:themeColor="accent1"/>
        </w:rPr>
        <w:t>Ligjit për Energjinë Elektrike</w:t>
      </w:r>
      <w:r>
        <w:t xml:space="preserve">. Në bazë të kësaj, Qeveria e Kosovës ka iniciuar krijimin e një grupi punues ndërinstitucional në fillim të vitit 2019 me qëllim të hartimit të një programi qeveritar për zbutjen e efekteve negative të rritjes së tarifave të energjisë. </w:t>
      </w:r>
    </w:p>
    <w:p w14:paraId="4AFE3CD8" w14:textId="7E6C9AA8" w:rsidR="003626BE" w:rsidRDefault="00A148C6" w:rsidP="00FE486A">
      <w:pPr>
        <w:spacing w:after="0"/>
      </w:pPr>
      <w:r>
        <w:t xml:space="preserve">Kriza më e fundit energjetike evropiane theksoi nevojën për një skemë gjithëpërfshirëse të mbrojtjes së konsumatorëve të cenueshëm. Në të kaluarën, skema e mbështetjes së Kosovës ka ofruar mbështetje direkte financiare (ulje të faturave të energjisë elektrike) për dy kategori relativisht të vogla të qytetarëve të cilët janë identifikuar si konsumatorë të cenueshëm të energjisë elektrike, përkatësisht përfituesit e Skemës së Ndihmës Sociale dhe përfituesit e benefiteve të ndërlidhura me luftën. Objektivi është zbatimi i një skeme të tillë gjithëpërfshirëse për konsumatorët e cenueshëm deri në vitin 2025. Për të përmirësuar më tej bazën e provave për programet e caktuara, objektiv tjetër kryesor është të zhvillohet një përkufizim ligjor për varfërinë energjetike dhe një regjistër gjithëpërfshirës. </w:t>
      </w:r>
    </w:p>
    <w:p w14:paraId="59BE26F8" w14:textId="77777777" w:rsidR="00FF705C" w:rsidRPr="00976D33" w:rsidRDefault="00FF705C" w:rsidP="006E6E51"/>
    <w:p w14:paraId="16711120" w14:textId="77777777" w:rsidR="003626BE" w:rsidRPr="00976D33" w:rsidRDefault="003626BE" w:rsidP="003626BE">
      <w:pPr>
        <w:pStyle w:val="Heading2"/>
      </w:pPr>
      <w:bookmarkStart w:id="145" w:name="_Toc182302280"/>
      <w:r>
        <w:t>Dimensioni i hulumtimit, inovacionit dhe konkurrueshmërisë</w:t>
      </w:r>
      <w:bookmarkEnd w:id="145"/>
    </w:p>
    <w:p w14:paraId="0AAAA643" w14:textId="44F03C65" w:rsidR="0088143A" w:rsidRPr="00976D33" w:rsidRDefault="0088143A" w:rsidP="00AF7BBF">
      <w:pPr>
        <w:pStyle w:val="Heading3"/>
        <w:numPr>
          <w:ilvl w:val="0"/>
          <w:numId w:val="11"/>
        </w:numPr>
      </w:pPr>
      <w:bookmarkStart w:id="146" w:name="_Toc182302281"/>
      <w:r>
        <w:t>Objektivat kombëtare dhe caqet e financimit për hulumtimin dhe inovacionin</w:t>
      </w:r>
      <w:bookmarkEnd w:id="146"/>
    </w:p>
    <w:p w14:paraId="4FB8FD34" w14:textId="77777777" w:rsidR="00B10D1B" w:rsidRPr="00976D33" w:rsidRDefault="00B10D1B" w:rsidP="00B10D1B">
      <w:pPr>
        <w:rPr>
          <w:rFonts w:cstheme="minorHAnsi"/>
        </w:rPr>
      </w:pPr>
      <w:r>
        <w:t>Roli i hulumtimit dhe inovacionit në Kosovë është njohur si kyç në zhvillimin e zgjidhjeve për çështjet që kanë të bëjnë me sigurinë e furnizimit, besueshmërinë dhe përballueshmërinë e furnizimit me energji, si dhe identifikimin e masave më të përshtatshme në integrimin e burimeve të ripërtëritshme dhe rritjen e efiçiencës së energjisë për të siguruar aktivitet ekonomik të përshtatshëm ndaj klimës dhe rritje të qëndrueshme ekonomike. Kosova ka zbatuar rregullore dhe ligje,</w:t>
      </w:r>
      <w:r w:rsidRPr="00976D33">
        <w:rPr>
          <w:rStyle w:val="FootnoteReference"/>
          <w:rFonts w:cstheme="minorHAnsi"/>
        </w:rPr>
        <w:footnoteReference w:id="7"/>
      </w:r>
      <w:r>
        <w:t xml:space="preserve"> të cilat janë në përputhje me Direktivat</w:t>
      </w:r>
      <w:r w:rsidRPr="00976D33">
        <w:rPr>
          <w:rStyle w:val="FootnoteReference"/>
          <w:rFonts w:cstheme="minorHAnsi"/>
        </w:rPr>
        <w:footnoteReference w:id="8"/>
      </w:r>
      <w:r>
        <w:t xml:space="preserve"> dhe Rregulloret e ndryshme të KE-së</w:t>
      </w:r>
      <w:r w:rsidRPr="00976D33">
        <w:rPr>
          <w:rStyle w:val="FootnoteReference"/>
          <w:rFonts w:cstheme="minorHAnsi"/>
        </w:rPr>
        <w:footnoteReference w:id="9"/>
      </w:r>
      <w:r>
        <w:t>, me qëllim të krijimit të kornizës që nxit aktivitetet e hulumtimit dhe inovacionit, e cila nga ana tjetër do të përmirësojë konkurrencën kombëtare dhe ndërkombëtare të industrive vendore. Përveç kësaj, janë përdorur një sërë udhëzimesh administrative që synojnë të mbështesin idetë inovative (bizneset fillestare) me ndikim pozitiv ekonomik dhe konkurrencë</w:t>
      </w:r>
      <w:r w:rsidRPr="00976D33">
        <w:rPr>
          <w:rStyle w:val="FootnoteReference"/>
          <w:rFonts w:cstheme="minorHAnsi"/>
        </w:rPr>
        <w:footnoteReference w:id="10"/>
      </w:r>
      <w:r>
        <w:t>.</w:t>
      </w:r>
    </w:p>
    <w:p w14:paraId="03854AB0" w14:textId="77777777" w:rsidR="00B10D1B" w:rsidRPr="00976D33" w:rsidRDefault="00B10D1B" w:rsidP="00B10D1B">
      <w:pPr>
        <w:rPr>
          <w:rFonts w:cstheme="minorHAnsi"/>
        </w:rPr>
      </w:pPr>
      <w:r>
        <w:t xml:space="preserve">Në nivelin më të lartë strategjik, dimensioni i hulumtimit, inovacionit dhe konkurrueshmërisë pasqyrohet në dy nga katër shtyllat (prioritetet kryesore të zhvillimit) të </w:t>
      </w:r>
      <w:r>
        <w:rPr>
          <w:b/>
        </w:rPr>
        <w:t>Projekt Strategjisë Kombëtare për Zhvillimit 2030 (SKZH 2030)</w:t>
      </w:r>
      <w:r>
        <w:t xml:space="preserve"> nga maji i vitit 2022. E para është shtylla e zhvillimit të qëndrueshëm ekonomik ku ky dimension trajtohet përmes objektivit zhvillimor për ekonomi inovative, qarkore dhe konkurruese dhe tetë objektivave të saj strategjikë. Shtylla tjetër e SKZH-së 2030 e cila trajton shprehimisht dimensionin e hulumtimit, inovacionit dhe konkurrueshmërisë është shtylla e zhvillimit të barabartë njerëzor dhe synimi i saj i zhvillimit për arsim të qasshëm dhe cilësor.</w:t>
      </w:r>
    </w:p>
    <w:p w14:paraId="2B8EEB4D" w14:textId="1D30DEB0" w:rsidR="00B10D1B" w:rsidRPr="00976D33" w:rsidRDefault="00B10D1B" w:rsidP="00B10D1B">
      <w:pPr>
        <w:rPr>
          <w:rFonts w:cstheme="minorHAnsi"/>
        </w:rPr>
      </w:pPr>
      <w:r>
        <w:lastRenderedPageBreak/>
        <w:t xml:space="preserve">Më konkretisht, dimensioni i hulumtimit dhe inovacionit mbulohet nga </w:t>
      </w:r>
      <w:r>
        <w:rPr>
          <w:b/>
        </w:rPr>
        <w:t xml:space="preserve">Programi Kombëtar i Shkencës 2023-2028 </w:t>
      </w:r>
      <w:r>
        <w:t xml:space="preserve">(nga dhjetori i vitit 2022), i cili është hartuar në bazë të Ligjit për Veprimtari Hulumtuese-Shkencore Nr. 04/L-135, neni 38, Programi Kombëtar i Shkencës. Si pikënisje merr programin e mëparshëm shkencor, orientimin dhe sfidat me të cilat përballet zbatimi i këtij programi, si dhe Strategjinë Kombëtare për Zhvillim 2030 dhe strategjitë e tjera të zhvillimit të Kosovës, rajonit dhe Evropës, për të rritur standardet e arritura vitet e fundit. </w:t>
      </w:r>
    </w:p>
    <w:p w14:paraId="24E5A6A4" w14:textId="77777777" w:rsidR="00B10D1B" w:rsidRPr="00976D33" w:rsidRDefault="00B10D1B" w:rsidP="00B10D1B">
      <w:pPr>
        <w:rPr>
          <w:rFonts w:cstheme="minorHAnsi"/>
        </w:rPr>
      </w:pPr>
      <w:r>
        <w:t xml:space="preserve">Objektivi kryesor i Programit të Shkencës 2023-2028 është ngritja e kapaciteteve njerëzore dhe përmirësimi i infrastrukturës në Kosovë, të cilat kanë ndikim të drejtpërdrejtë në zhvillimin ekonomik dhe rritjen e pjesëmarrjes së institucioneve dhe kërkuesve të Kosovës në Zonën Evropiane të Hulumtimit (ERA) dhe rritjen e pjesëmarrjes në projektet e Horizon Europe. Prandaj, parimet kryesore të ERA-s, siç janë 1) Etika e hulumtimit dhe inovacionit, 2) Barazia gjinore, përfshirja dhe mundësitë e barabarta për të gjithë, dhe 3) Përgjegjësia sociale janë gjithashtu </w:t>
      </w:r>
      <w:r>
        <w:rPr>
          <w:b/>
        </w:rPr>
        <w:t>parimet bazë udhëzuese</w:t>
      </w:r>
      <w:r>
        <w:t xml:space="preserve"> të Programit Kombëtar të Shkencës 2023-2028.</w:t>
      </w:r>
    </w:p>
    <w:p w14:paraId="1936A7DD" w14:textId="77777777" w:rsidR="00B61AED" w:rsidRPr="00976D33" w:rsidRDefault="00B10D1B" w:rsidP="00B10D1B">
      <w:pPr>
        <w:rPr>
          <w:rFonts w:cstheme="minorHAnsi"/>
        </w:rPr>
      </w:pPr>
      <w:r>
        <w:t xml:space="preserve">Për më tepër, Programi Kombëtar i Shkencës 2023-2028 përmban </w:t>
      </w:r>
      <w:r>
        <w:rPr>
          <w:b/>
        </w:rPr>
        <w:t>gjashtë objektiva strategjikë për fushat me prioritet</w:t>
      </w:r>
      <w:r>
        <w:t>, të cilat adresojnë problemet kryesore dhe janë të fokusuara në zhvillimin e sistemit të hulumtimit dhe inovacionit në Kosovë:</w:t>
      </w:r>
    </w:p>
    <w:p w14:paraId="60D28B4C" w14:textId="77777777" w:rsidR="00B10D1B" w:rsidRPr="00976D33" w:rsidRDefault="00B10D1B" w:rsidP="00B10D1B">
      <w:pPr>
        <w:rPr>
          <w:rFonts w:cstheme="minorHAnsi"/>
          <w:b/>
        </w:rPr>
      </w:pPr>
      <w:bookmarkStart w:id="147" w:name="_Hlk138213290"/>
      <w:r>
        <w:rPr>
          <w:b/>
        </w:rPr>
        <w:t xml:space="preserve">Objektivi 1: Zhvillimi i një sistemi efektiv të hulumtimit shkencor dhe inovacionit  </w:t>
      </w:r>
    </w:p>
    <w:p w14:paraId="0836BD6D" w14:textId="77777777" w:rsidR="00B10D1B" w:rsidRPr="00976D33" w:rsidRDefault="00B10D1B" w:rsidP="00B10D1B">
      <w:pPr>
        <w:rPr>
          <w:rFonts w:cstheme="minorHAnsi"/>
        </w:rPr>
      </w:pPr>
      <w:r>
        <w:t xml:space="preserve">Prioritet në këtë objektiv është zhvillimi i një ambienti të qëndrueshëm dhe përkrahës për hulumtime shkencore dhe inovacion në Kosovë, të mbështetur në infrastrukturë ligjore funksionale dhe rritje të kulturës për hulumtime shkencore kredibile në institucionet akademike, shkencore dhe ekonomike, përfshirë këtu edhe strategjinë dhe programet për barazi gjinore. </w:t>
      </w:r>
    </w:p>
    <w:p w14:paraId="370DB7C5" w14:textId="77777777" w:rsidR="00B10D1B" w:rsidRPr="00976D33" w:rsidRDefault="00B10D1B" w:rsidP="00B10D1B">
      <w:pPr>
        <w:rPr>
          <w:rFonts w:cstheme="minorHAnsi"/>
          <w:b/>
        </w:rPr>
      </w:pPr>
      <w:r>
        <w:rPr>
          <w:b/>
        </w:rPr>
        <w:t>Objektivi 2: Zhvillimi dhe aftësimi i kapaciteteve njerëzore për veprimtari hulumtuese-shkencore</w:t>
      </w:r>
    </w:p>
    <w:p w14:paraId="244FCABF" w14:textId="77777777" w:rsidR="00B10D1B" w:rsidRPr="00976D33" w:rsidRDefault="00B10D1B" w:rsidP="00B10D1B">
      <w:pPr>
        <w:rPr>
          <w:rFonts w:cstheme="minorHAnsi"/>
        </w:rPr>
      </w:pPr>
      <w:r>
        <w:t>Ky objektiv ka në fokus zhvillimin e kapaciteteve njerëzore për veprimtari hulumtuese dhe inovacion si dhe zhvillimin e programeve të doktoratës me përfshirje të të gjitha grupeve.</w:t>
      </w:r>
    </w:p>
    <w:p w14:paraId="2421D47C" w14:textId="77777777" w:rsidR="00B10D1B" w:rsidRPr="00976D33" w:rsidRDefault="00B10D1B" w:rsidP="00B10D1B">
      <w:pPr>
        <w:rPr>
          <w:rFonts w:cstheme="minorHAnsi"/>
          <w:b/>
        </w:rPr>
      </w:pPr>
      <w:r>
        <w:rPr>
          <w:b/>
        </w:rPr>
        <w:t>Objektivi 3: Zhvillimi i infrastrukturës së hulumtimit shkencor</w:t>
      </w:r>
    </w:p>
    <w:p w14:paraId="40E15D62" w14:textId="77777777" w:rsidR="00B10D1B" w:rsidRPr="00976D33" w:rsidRDefault="00B10D1B" w:rsidP="00B10D1B">
      <w:pPr>
        <w:rPr>
          <w:rFonts w:cstheme="minorHAnsi"/>
        </w:rPr>
      </w:pPr>
      <w:r>
        <w:t>Ky objektiv synon shtimin e ndjeshëm të kapaciteteve të infrastrukturës bashkëkohore që mundëson  qasje më konkurruese në programet e Horizon Europe dhe programeve të tjera ndërkombëtare për KSH&amp;I (EURO HPC, European Open Science Cloud, etj). Kjo do të arrihet me investime substanciale qeveritare si dhe me anë të partneriteteve me institucione komplementare në rajon dhe Evropë.</w:t>
      </w:r>
    </w:p>
    <w:p w14:paraId="20C84541" w14:textId="77777777" w:rsidR="00B10D1B" w:rsidRPr="00976D33" w:rsidRDefault="00B10D1B" w:rsidP="00B10D1B">
      <w:pPr>
        <w:rPr>
          <w:rFonts w:cstheme="minorHAnsi"/>
          <w:b/>
        </w:rPr>
      </w:pPr>
      <w:r>
        <w:rPr>
          <w:b/>
        </w:rPr>
        <w:t>Objektivi 4: Ndërkombëtarizimi i veprimtarive hulumtuese-shkencore</w:t>
      </w:r>
    </w:p>
    <w:p w14:paraId="3E15A17C" w14:textId="77777777" w:rsidR="00B10D1B" w:rsidRPr="00976D33" w:rsidRDefault="00B10D1B" w:rsidP="00B10D1B">
      <w:pPr>
        <w:rPr>
          <w:rFonts w:cstheme="minorHAnsi"/>
        </w:rPr>
      </w:pPr>
      <w:r>
        <w:t xml:space="preserve">Ndërkombëtarizimi i veprimtarisë hulumtuese-shkencore mund të realizohet përmes: a) rrjetëzimit të institucioneve të Republikës së Kosovës në programet Horizon Europe, COST dhe Këshillit për Bashkëpunim Rajonal; b) programet e mobilitetit; c) mbështetjen e projekteve të përbashkëta me institucione shkencore liderë në botë dhe d) publikimin dhe promovimin e rezultateve shkencore në revista dhe forume shkencore ndërkombëtare. </w:t>
      </w:r>
    </w:p>
    <w:p w14:paraId="5EE0E7D7" w14:textId="77777777" w:rsidR="00B10D1B" w:rsidRPr="00976D33" w:rsidRDefault="00B10D1B" w:rsidP="00B10D1B">
      <w:pPr>
        <w:rPr>
          <w:b/>
        </w:rPr>
      </w:pPr>
      <w:r>
        <w:rPr>
          <w:b/>
        </w:rPr>
        <w:t>Objektivi 5: Ndërlidhja ndërmjet shkencës, ekonomisë dhe shoqërisë</w:t>
      </w:r>
    </w:p>
    <w:p w14:paraId="752AFC1E" w14:textId="77777777" w:rsidR="00B10D1B" w:rsidRPr="00976D33" w:rsidRDefault="00B10D1B" w:rsidP="00B10D1B">
      <w:pPr>
        <w:rPr>
          <w:rFonts w:cstheme="minorHAnsi"/>
        </w:rPr>
      </w:pPr>
      <w:r>
        <w:t>Ky objektiv ka në fokus krijimin e rrjetit të bashkëpunimit ndërmjet hulumtuesve shkencorë, industrisë dhe shoqërisë si dhe krijimin e një fondi të qëndrueshëm financiar që do të përkrahë institucionet hulumtuese publike dhe private që dëshmojnë performancë konkurruese me vendet e BE-së.</w:t>
      </w:r>
    </w:p>
    <w:p w14:paraId="0D170303" w14:textId="77777777" w:rsidR="00B10D1B" w:rsidRPr="00976D33" w:rsidRDefault="00B10D1B" w:rsidP="00B10D1B">
      <w:pPr>
        <w:rPr>
          <w:b/>
        </w:rPr>
      </w:pPr>
      <w:r>
        <w:rPr>
          <w:b/>
        </w:rPr>
        <w:t>Objektiva 6.  Përsosmëria në veprimtarinë hulumtuese shkencore në fushat specifike</w:t>
      </w:r>
    </w:p>
    <w:bookmarkEnd w:id="147"/>
    <w:p w14:paraId="46DB4429" w14:textId="77777777" w:rsidR="00B10D1B" w:rsidRPr="00976D33" w:rsidRDefault="00B10D1B" w:rsidP="00B10D1B">
      <w:pPr>
        <w:rPr>
          <w:rFonts w:cstheme="minorHAnsi"/>
        </w:rPr>
      </w:pPr>
      <w:r>
        <w:t>Ky objektiv ka si cak primar themelimin e Institutit Shtetëror Ndërdisiplinar për Shkencë dhe Teknologji si dhe themelimin dhe avancimin e qendrave të përsosshmërisë shkencore, performanca e të cilave do të vlerësohet sipas kritereve ndërkombëtare.</w:t>
      </w:r>
    </w:p>
    <w:p w14:paraId="64D2A9F7" w14:textId="77777777" w:rsidR="00B10D1B" w:rsidRPr="00976D33" w:rsidRDefault="00B10D1B" w:rsidP="00B10D1B">
      <w:pPr>
        <w:rPr>
          <w:rFonts w:cstheme="minorHAnsi"/>
        </w:rPr>
      </w:pPr>
      <w:r>
        <w:t xml:space="preserve">Për çdo objektiv janë identifikuar një seri masash realizimi i të cilave kërkon angazhimin e të gjithë faktorëve përgjegjës për implementim. </w:t>
      </w:r>
    </w:p>
    <w:p w14:paraId="00CF571B" w14:textId="76DBCA45" w:rsidR="00B10D1B" w:rsidRPr="00976D33" w:rsidRDefault="00B10D1B" w:rsidP="00B10D1B">
      <w:pPr>
        <w:rPr>
          <w:rFonts w:cstheme="minorHAnsi"/>
        </w:rPr>
      </w:pPr>
      <w:r>
        <w:t xml:space="preserve">Programi Kombëtar i Shkencës 2023-2028 gjithashtu përcakton </w:t>
      </w:r>
      <w:r>
        <w:rPr>
          <w:b/>
        </w:rPr>
        <w:t>fushat me prioritet</w:t>
      </w:r>
      <w:r>
        <w:t xml:space="preserve"> në bazë të programit të mëparshëm kombëtar të shkencës, strategjitë aktuale të zhvillimit të Kosovës në sektorë të caktuar, siç janë </w:t>
      </w:r>
      <w:r>
        <w:lastRenderedPageBreak/>
        <w:t>Strategjia Kombëtare për Zhvillim 2030 dhe raporti i analizës kuantitative</w:t>
      </w:r>
      <w:r w:rsidRPr="00976D33">
        <w:rPr>
          <w:rFonts w:cstheme="minorHAnsi"/>
          <w:vertAlign w:val="superscript"/>
        </w:rPr>
        <w:footnoteReference w:id="11"/>
      </w:r>
      <w:r>
        <w:t xml:space="preserve"> të fushave prioritare paraprake në kuadër të përgatitjes së Strategjisë së Specializimit Inteligjent. Fushat me prioritet përfshijnë:</w:t>
      </w:r>
    </w:p>
    <w:p w14:paraId="0900F18E" w14:textId="77777777" w:rsidR="00B10D1B" w:rsidRPr="00976D33" w:rsidRDefault="00B10D1B" w:rsidP="00AF7BBF">
      <w:pPr>
        <w:pStyle w:val="ListParagraph"/>
        <w:numPr>
          <w:ilvl w:val="0"/>
          <w:numId w:val="38"/>
        </w:numPr>
        <w:rPr>
          <w:rFonts w:cstheme="minorHAnsi"/>
        </w:rPr>
      </w:pPr>
      <w:r>
        <w:t xml:space="preserve">Shëndetësinë; </w:t>
      </w:r>
    </w:p>
    <w:p w14:paraId="043F7B84" w14:textId="77777777" w:rsidR="00B10D1B" w:rsidRPr="00976D33" w:rsidRDefault="00B10D1B" w:rsidP="00AF7BBF">
      <w:pPr>
        <w:pStyle w:val="ListParagraph"/>
        <w:numPr>
          <w:ilvl w:val="0"/>
          <w:numId w:val="38"/>
        </w:numPr>
        <w:rPr>
          <w:rFonts w:cstheme="minorHAnsi"/>
        </w:rPr>
      </w:pPr>
      <w:r>
        <w:t xml:space="preserve">Shoqërinë - arsimin, kulturën, ekonominë dhe shkencat humane dhe shoqërore; </w:t>
      </w:r>
    </w:p>
    <w:p w14:paraId="12722526" w14:textId="77777777" w:rsidR="00B10D1B" w:rsidRPr="00976D33" w:rsidRDefault="00B10D1B" w:rsidP="00AF7BBF">
      <w:pPr>
        <w:pStyle w:val="ListParagraph"/>
        <w:numPr>
          <w:ilvl w:val="0"/>
          <w:numId w:val="38"/>
        </w:numPr>
        <w:rPr>
          <w:rFonts w:cstheme="minorHAnsi"/>
        </w:rPr>
      </w:pPr>
      <w:r>
        <w:t xml:space="preserve">Burimet natyrore, energjia, mjedisi dhe ndryshimet klimatike; </w:t>
      </w:r>
    </w:p>
    <w:p w14:paraId="4007E8C0" w14:textId="77777777" w:rsidR="00B10D1B" w:rsidRPr="00976D33" w:rsidRDefault="00B10D1B" w:rsidP="00AF7BBF">
      <w:pPr>
        <w:pStyle w:val="ListParagraph"/>
        <w:numPr>
          <w:ilvl w:val="0"/>
          <w:numId w:val="38"/>
        </w:numPr>
        <w:rPr>
          <w:rFonts w:cstheme="minorHAnsi"/>
        </w:rPr>
      </w:pPr>
      <w:r>
        <w:t xml:space="preserve">Prodhimin bujqësor (ushqimi dhe bioekonomia) </w:t>
      </w:r>
    </w:p>
    <w:p w14:paraId="0A78E9F4" w14:textId="77777777" w:rsidR="00B10D1B" w:rsidRPr="00976D33" w:rsidRDefault="00B10D1B" w:rsidP="00AF7BBF">
      <w:pPr>
        <w:pStyle w:val="ListParagraph"/>
        <w:numPr>
          <w:ilvl w:val="0"/>
          <w:numId w:val="38"/>
        </w:numPr>
        <w:rPr>
          <w:rFonts w:cstheme="minorHAnsi"/>
        </w:rPr>
      </w:pPr>
      <w:r>
        <w:t>Dy fusha horizontale të kryqëzuara (Marrëveshja e Gjelbër dhe Digjitalizimi).</w:t>
      </w:r>
    </w:p>
    <w:p w14:paraId="5BB3E97D" w14:textId="01C6082B" w:rsidR="00B10D1B" w:rsidRPr="00976D33" w:rsidRDefault="00B10D1B" w:rsidP="00B10D1B">
      <w:pPr>
        <w:rPr>
          <w:rFonts w:cstheme="minorHAnsi"/>
        </w:rPr>
      </w:pPr>
      <w:r>
        <w:t xml:space="preserve">Fushat me prioritet janë gjithashtu të krahasueshme me prioritetet e programit Horizon Europe. Përshtatja e fushave me prioritet të Kosovës me ato të vendeve të BE-së do të mundësojë rritjen e pjesëmarrjes së shkencëtarëve të Kosovës në projekte shkencore në kuadër të Horizon dhe në të njëjtën kohë do të ndihmojë në përshtatjen e kornizës ligjore të Kosovës me legjislacionin e BE-së. Ky hap i fundit shërben edhe për përgatitjen e Kosovës për të përmbushur më lehtë një pjesë të kushteve për të aplikuar për anëtarësim në BE. Prandaj, bazuar në argumentet e dhëna më sipër, u propozuan katër fusha me prioritet. </w:t>
      </w:r>
    </w:p>
    <w:p w14:paraId="201154ED" w14:textId="77777777" w:rsidR="00B10D1B" w:rsidRPr="00976D33" w:rsidRDefault="00B10D1B" w:rsidP="00B10D1B">
      <w:pPr>
        <w:rPr>
          <w:rFonts w:cstheme="minorHAnsi"/>
        </w:rPr>
      </w:pPr>
      <w:r>
        <w:t xml:space="preserve">Më e rëndësishme për PKEK-së është fusha me prioritet </w:t>
      </w:r>
      <w:r>
        <w:rPr>
          <w:b/>
        </w:rPr>
        <w:t>e burimeve natyrore, energjisë, mjedisit dhe ndryshimeve klimatike.</w:t>
      </w:r>
      <w:r>
        <w:t xml:space="preserve"> Adresimi së pari i sfidave në lidhje me energjinë, burimet natyrore dhe mjedisin ofron shumë mundësi për kryerjen e hulumtimeve shkencore në Kosovë. Hapat që propozohen të ndërmerren në hulumtim shkencor dhe inovacion në kuadër të PKEK-së duhet të kenë si rezultat ndikimet e pritshme në fushat e mëposhtme.</w:t>
      </w:r>
    </w:p>
    <w:p w14:paraId="53F3CCE2" w14:textId="77777777" w:rsidR="00B10D1B" w:rsidRPr="00976D33" w:rsidRDefault="00B10D1B" w:rsidP="00AF7BBF">
      <w:pPr>
        <w:pStyle w:val="ListParagraph"/>
        <w:numPr>
          <w:ilvl w:val="0"/>
          <w:numId w:val="38"/>
        </w:numPr>
        <w:rPr>
          <w:rFonts w:cstheme="minorHAnsi"/>
        </w:rPr>
      </w:pPr>
      <w:r>
        <w:t>Përdorimi efikas i burimeve natyrore</w:t>
      </w:r>
    </w:p>
    <w:p w14:paraId="4B07CA33" w14:textId="22FF0F21" w:rsidR="00B10D1B" w:rsidRPr="00976D33" w:rsidRDefault="00B10D1B" w:rsidP="00AF7BBF">
      <w:pPr>
        <w:pStyle w:val="ListParagraph"/>
        <w:numPr>
          <w:ilvl w:val="0"/>
          <w:numId w:val="38"/>
        </w:numPr>
        <w:rPr>
          <w:rFonts w:cstheme="minorHAnsi"/>
        </w:rPr>
      </w:pPr>
      <w:r>
        <w:t>Dekarbonizimi</w:t>
      </w:r>
    </w:p>
    <w:p w14:paraId="04E4E70A" w14:textId="77777777" w:rsidR="00B10D1B" w:rsidRPr="00976D33" w:rsidRDefault="00B10D1B" w:rsidP="00AF7BBF">
      <w:pPr>
        <w:pStyle w:val="ListParagraph"/>
        <w:numPr>
          <w:ilvl w:val="0"/>
          <w:numId w:val="38"/>
        </w:numPr>
        <w:rPr>
          <w:rFonts w:cstheme="minorHAnsi"/>
        </w:rPr>
      </w:pPr>
      <w:r>
        <w:t xml:space="preserve">Monitorimi i vazhdueshëm i mjedisit </w:t>
      </w:r>
    </w:p>
    <w:p w14:paraId="5C801C4F" w14:textId="77777777" w:rsidR="00B10D1B" w:rsidRPr="00976D33" w:rsidRDefault="00B10D1B" w:rsidP="00AF7BBF">
      <w:pPr>
        <w:pStyle w:val="ListParagraph"/>
        <w:numPr>
          <w:ilvl w:val="0"/>
          <w:numId w:val="38"/>
        </w:numPr>
        <w:rPr>
          <w:rFonts w:cstheme="minorHAnsi"/>
        </w:rPr>
      </w:pPr>
      <w:r>
        <w:t>Materialet e reja për sistemet e avancuara të energjisë, robotikës dhe censorëve</w:t>
      </w:r>
    </w:p>
    <w:p w14:paraId="39CAECF3" w14:textId="77777777" w:rsidR="00B10D1B" w:rsidRPr="00976D33" w:rsidRDefault="00B10D1B" w:rsidP="00AF7BBF">
      <w:pPr>
        <w:pStyle w:val="ListParagraph"/>
        <w:numPr>
          <w:ilvl w:val="0"/>
          <w:numId w:val="38"/>
        </w:numPr>
        <w:rPr>
          <w:rFonts w:cstheme="minorHAnsi"/>
        </w:rPr>
      </w:pPr>
      <w:r>
        <w:t>Qëndrueshmëria mjedisore e sistemeve industriale dhe të transportit</w:t>
      </w:r>
    </w:p>
    <w:p w14:paraId="1AD179F2" w14:textId="28502B75" w:rsidR="00571C85" w:rsidRPr="00976D33" w:rsidRDefault="00571C85" w:rsidP="00B10D1B">
      <w:r>
        <w:t>Sa i përket caqeve të financimit, sipas Ligjit për Veprimtari Kërkimore-Shkencore, ndarja buxhetore për hulumtim shkencor synon 0.7% të buxhetit vjetor. Megjithatë, historikisht, buxheti i dedikuar për shkencën nga qeveritë e njëpasnjëshme të Kosovës nuk e ka kaluar 0.1% të buxhetit total</w:t>
      </w:r>
      <w:r w:rsidRPr="00976D33">
        <w:rPr>
          <w:rFonts w:asciiTheme="majorHAnsi" w:eastAsia="Times New Roman" w:hAnsiTheme="majorHAnsi" w:cstheme="majorBidi"/>
          <w:color w:val="000000"/>
          <w:vertAlign w:val="superscript"/>
          <w:lang w:eastAsia="en-GB"/>
        </w:rPr>
        <w:footnoteReference w:id="12"/>
      </w:r>
      <w:r>
        <w:t>. Përderisa këto shifra janë dukshëm më të ulëta në krahasim me nivelet e financimit në vendet e BE-së, pranohet se institucionet hulumtuese-shkencore në Kosovë janë përballur me sfida në shfrytëzimin e plotë të kësaj ndarjeje të kufizuar buxhetore</w:t>
      </w:r>
      <w:r w:rsidRPr="00976D33">
        <w:rPr>
          <w:rFonts w:asciiTheme="majorHAnsi" w:eastAsia="Times New Roman" w:hAnsiTheme="majorHAnsi" w:cstheme="majorBidi"/>
          <w:color w:val="000000"/>
          <w:vertAlign w:val="superscript"/>
          <w:lang w:eastAsia="en-GB"/>
        </w:rPr>
        <w:footnoteReference w:id="13"/>
      </w:r>
      <w:r>
        <w:t>.</w:t>
      </w:r>
    </w:p>
    <w:p w14:paraId="3766B546" w14:textId="77777777" w:rsidR="00B10D1B" w:rsidRPr="00976D33" w:rsidRDefault="00B10D1B" w:rsidP="00B10D1B">
      <w:pPr>
        <w:rPr>
          <w:rFonts w:cstheme="minorHAnsi"/>
        </w:rPr>
      </w:pPr>
      <w:r>
        <w:t>Intensifikimi i bashkëpunimit ndërmjet universiteteve private dhe publike kosovare me shumë institucione dhe organizata evropiane, ndër të tjera me Këshillin Evropian të Hulumtimeve, Infrastrukturat Evropiane të Hulumtimit dhe Qendrën e Përbashkët Hulumtuese, është një gur themeli në modernizimin e aktiviteteve hulumtuese-shkencore në Kosovë dhe në tërheqjen e financimeve nga BE. Janë ndërmarrë hapat e parë në vendosjen e Pikave Kombëtare të Kontaktit për Horizon 2020 në Kosovë në ofrimin e udhëzimeve, informacioneve praktike dhe asistencës për të gjitha aspektet e pjesëmarrjes në këtë program. Ndërkohë, Kosova është bërë anëtare e plotë e Horizon 2020 në vitin 2019. Veçanërisht interesant janë personat kontaktues në Kosovë për projekte hulumtuese në lidhje me (1) energjinë e sigurt, të pastër dhe efiçiente, (2) transportin inteligjent, të gjelbër dhe të integruar, (3) veprimin klimatik, mjedisin, efiçiencën e burimeve dhe lëndëve të para, dhe ( 4) bujqësinë e qëndrueshme, bio-ekonominë dhe bioteknologjinë. Kjo është një mundësi shumë e mirë për Qeverinë e Kosovës që të shtyjë përpara aktivitetet hulumtuese dhe inovative.</w:t>
      </w:r>
    </w:p>
    <w:p w14:paraId="7A45138C" w14:textId="77777777" w:rsidR="00B10D1B" w:rsidRPr="00976D33" w:rsidRDefault="00B10D1B" w:rsidP="00B10D1B">
      <w:pPr>
        <w:rPr>
          <w:rFonts w:cstheme="minorHAnsi"/>
        </w:rPr>
      </w:pPr>
      <w:r>
        <w:t>Universitetet private dhe publike të Kosovës do të kenë mundësi të shfrytëzojnë mundësitë që vijnë nga programi i ri i Bashkimit Evropian “Zhvillimi i Horizontit të Evropës” për të gjetur fonde për projekte hulumtuese që trajtojnë çështjet që janë në përputhje me fushën e misionit të tij në:</w:t>
      </w:r>
    </w:p>
    <w:p w14:paraId="470BC8E3" w14:textId="77777777" w:rsidR="00B10D1B" w:rsidRPr="00976D33" w:rsidRDefault="00B10D1B" w:rsidP="00AF7BBF">
      <w:pPr>
        <w:pStyle w:val="ListParagraph"/>
        <w:numPr>
          <w:ilvl w:val="0"/>
          <w:numId w:val="38"/>
        </w:numPr>
        <w:rPr>
          <w:rFonts w:cstheme="minorHAnsi"/>
        </w:rPr>
      </w:pPr>
      <w:r>
        <w:lastRenderedPageBreak/>
        <w:t>Përshtatjen ndaj ndryshimeve klimatike duke përfshirë transformimin shoqëror dhe</w:t>
      </w:r>
    </w:p>
    <w:p w14:paraId="2A267D04" w14:textId="77777777" w:rsidR="00B10D1B" w:rsidRPr="00976D33" w:rsidRDefault="00B10D1B" w:rsidP="00AF7BBF">
      <w:pPr>
        <w:pStyle w:val="ListParagraph"/>
        <w:numPr>
          <w:ilvl w:val="0"/>
          <w:numId w:val="38"/>
        </w:numPr>
        <w:rPr>
          <w:rFonts w:cstheme="minorHAnsi"/>
        </w:rPr>
      </w:pPr>
      <w:r>
        <w:t>Qytetet inteligjente dhe neutrale ndaj klimës.</w:t>
      </w:r>
    </w:p>
    <w:p w14:paraId="2196C00C" w14:textId="20CAF19F" w:rsidR="00B10D1B" w:rsidRPr="00976D33" w:rsidRDefault="00B10D1B" w:rsidP="00B10D1B">
      <w:pPr>
        <w:rPr>
          <w:rFonts w:cstheme="minorHAnsi"/>
        </w:rPr>
      </w:pPr>
      <w:r>
        <w:t>Megjithatë, intervistat me disa nga pikat kombëtare të kontaktit për Horizon 2020 në Kosovë, të cilat u zhvilluan gjatë përgatitjes së draftit të parë të PKEK-së, evidentuan një numër vështirësish me të cilat po përballen universitetet dhe institutet hulumtuese të Kosovës për të marrë pjesë në Horizon 2020 dhe në projekt</w:t>
      </w:r>
      <w:r w:rsidR="0037748E">
        <w:t>et e tjera</w:t>
      </w:r>
      <w:r>
        <w:t xml:space="preserve"> hulumtuese të BE-së. Mungesa e njohurive të hulumtuesve kosovarë dhe mungesa e infrastrukturës për hulumtim bazë u theksuan si pengesa më e madhe në fillimin e projekteve dhe konsorciumeve të përbashkëta me hulumtuesit evropianë. Përveç kësaj, universitetet e Kosovës po dështojnë të krijojnë një mekanizëm të bazuar në nxitje për të inkurajuar profesorët dhe hulumtuesit e rinj që të fillojnë çfarëdo forme të bashkëpunimit me universitetet dhe institutet hulumtuese evropiane. Të intervistuarit gjithashtu vazhduan të argumentojnë se profesorët kosovarë janë të detyruar të ligjërojnë deri në katër lëndë të ndryshme deri në 20 orë në javë në një semestër. Një kombinim i këtyre faktorëve po i pengon universitetet e Kosovës që t’i rrisin aktivitetet hulumtuese.</w:t>
      </w:r>
    </w:p>
    <w:p w14:paraId="2F524BAD" w14:textId="77777777" w:rsidR="00B10D1B" w:rsidRPr="00976D33" w:rsidRDefault="00B10D1B" w:rsidP="00B10D1B">
      <w:r>
        <w:t>Megjithatë, Kosova tashmë ka ndërmarrë disa hapa fillestarë në këtë drejtim. Për shembull, Universiteti i Prishtinës, i mbështetur nga Programi i Lidershipit Transformuese të USAID-it - Bursat dhe Partneritetet dhe Universiteti Shtetëror i Arizonës si partner kyç i SHBA-së, ka inauguruar Qendrën për Energji dhe Qëndrueshmëri (QEQ). QEQ është një qendër për hulumtime dhe trajnime ndërdisiplinore gjithëpërfshirëse që synon të adresojnë sfidat lokale dhe globale të qëndrueshmërisë. Nën ombrellën e QEQ-it është zbatuar programi certifikues për “Energji të Ripërtëritshme dhe Qëndrueshmëri”. Ky program ofron kurse dhe trajnime nga fusha të ndryshme të organizuara nga fakultete të ndryshme për disa nga sfidat më aktuale në botë – ndryshimet klimatike, qëndrueshmërinë e energjisë dhe mbrojtjen e mjedisit. Të diplomuarit e programit marrin një certifikatë universitare, përveç diplomës BA ose MA. Përveç kësaj, universitetet e Kosovës, siç janë Universiteti i Prishtinës (UP), Universiteti për Biznes dhe Teknologji (UBT) dhe Universiteti Amerikan në Kosovë (AUK), po i shfrytëzojnë me sukses mundësitë e ofruara nga fondet e ndryshme të BE-së në ngritjen e kapaciteteve, dhe modernizimin dhe ristrukturimin e programeve të ndryshme baçelor, master dhe doktoraturë me synim përafrimin e tyre me nevojat e tregut. Për shembull, UBT në bashkëpunim me Erasmus+ ka zhvilluar një program baçelor në “Inxhinierinë Energjetike” dhe një program tjetër master në “Energjinë Elektrike dhe Tregjet  Energjetike”.</w:t>
      </w:r>
    </w:p>
    <w:p w14:paraId="032DF1FC" w14:textId="77777777" w:rsidR="00B10D1B" w:rsidRPr="00976D33" w:rsidRDefault="00B10D1B" w:rsidP="00B10D1B">
      <w:pPr>
        <w:rPr>
          <w:rFonts w:cstheme="minorHAnsi"/>
        </w:rPr>
      </w:pPr>
      <w:r>
        <w:t>Një bashkëpunim ndërmjet Qeverisë së Kosovës dhe asaj Gjermane ka bërë të mundur inaugurimin e Parkut të Inovacionit dhe Trajnimit në Prizren, i cili do t’i hapë rrugë inovacionit, zhvillimit të biznesit dhe aftësive dhe do të shërbejë si burim i ideve inovative dhe të suksesshme.</w:t>
      </w:r>
    </w:p>
    <w:p w14:paraId="33232AD2" w14:textId="458E7309" w:rsidR="00A81EC4" w:rsidRPr="00976D33" w:rsidRDefault="00552F2F" w:rsidP="00A81EC4">
      <w:pPr>
        <w:pStyle w:val="Heading3"/>
        <w:rPr>
          <w:sz w:val="24"/>
          <w:szCs w:val="28"/>
        </w:rPr>
      </w:pPr>
      <w:bookmarkStart w:id="148" w:name="_Toc182302282"/>
      <w:r>
        <w:t>Objektivat kombëtare për vitin 2050 në lidhje me promovimin e teknologjive të energjisë së pastër dhe caqet afatgjata (2050) për vendosjen e teknologjive me karbon të ulët</w:t>
      </w:r>
      <w:bookmarkEnd w:id="148"/>
    </w:p>
    <w:p w14:paraId="672E89B6" w14:textId="4979CFA1" w:rsidR="00B10D1B" w:rsidRPr="00976D33" w:rsidRDefault="3B8EE7DA" w:rsidP="002E053A">
      <w:pPr>
        <w:rPr>
          <w:sz w:val="24"/>
          <w:szCs w:val="28"/>
        </w:rPr>
      </w:pPr>
      <w:bookmarkStart w:id="149" w:name="_Toc139460692"/>
      <w:r>
        <w:t>Me nënshkrimin e Deklaratës së Sofjes për Agjendën e Gjelbër për Ballkanin Perëndimor si pjesë e “Procesit të Berlinit”, Kosova është zotuar të ndjekë Bashkimin Evropian në rrugën e tij të dekarbonizimit drejt një ekonomie neutrale ndaj karbonit deri në vitin 2050. Gjithashtu, përmes Komunitetit të Energjisë dhe Udhërrëfyesit të Dekarbonizimit, Kosova ka demonstruar gatishmëri për t’iu bashkuar Bashkimit Evropian dhe partnerëve të tjerë ndërkombëtarë në arritjen e emetimeve neto zero të GS-ve deri në vitin 2050. Planet dhe caqet specifike afatgjata teknologjike dhe sektoriale nuk janë miratuar ende.</w:t>
      </w:r>
      <w:bookmarkEnd w:id="149"/>
      <w:r>
        <w:rPr>
          <w:sz w:val="24"/>
        </w:rPr>
        <w:t xml:space="preserve"> </w:t>
      </w:r>
    </w:p>
    <w:p w14:paraId="7F65F9A2" w14:textId="2290642F" w:rsidR="00B10D1B" w:rsidRPr="00976D33" w:rsidRDefault="00552F2F" w:rsidP="00B10D1B">
      <w:pPr>
        <w:pStyle w:val="Heading3"/>
      </w:pPr>
      <w:bookmarkStart w:id="150" w:name="_Toc182302283"/>
      <w:r>
        <w:t>Objektivat kombëtare në lidhje me konkurrencën</w:t>
      </w:r>
      <w:bookmarkEnd w:id="150"/>
      <w:r>
        <w:t xml:space="preserve"> </w:t>
      </w:r>
    </w:p>
    <w:p w14:paraId="0626B8FC" w14:textId="5829924A" w:rsidR="00B10D1B" w:rsidRPr="00976D33" w:rsidRDefault="4B0EFD71" w:rsidP="00B10D1B">
      <w:r>
        <w:rPr>
          <w:sz w:val="19"/>
        </w:rPr>
        <w:t xml:space="preserve">Siç është analizuar në draftin e Strategjisë Kombëtare për Zhvillim 2030, </w:t>
      </w:r>
      <w:r>
        <w:t xml:space="preserve">Kosova gjatë dekadës së fundit ka treguar një performancë të mirë sa i përket rritjes ekonomike. Megjithatë, kjo rritje nuk është treguar të jetë e qëndrueshme, pasi nuk është shoqëruar me rritje të punësimit dhe as nuk ka mbështetur zgjerimin e bazës së prodhimit. Struktura e ekonomisë së Kosovës, e bazuar për një kohë të gjatë kryesisht në konsumin e nxitur nga remitencat dhe investimet në infrastrukturë me kthim të ulët, si dhe nga aktivitetet ekonomike me vlerë të ulët të shtuar, nuk premton zhvillim të qëndrueshëm në planin afatgjatë. Për më tepër, problemet endemike të zhvillimit të Kosovës, siç është niveli i lartë i papunësisë, nuk mund të trajtohen ë masë të konsiderueshme me këtë strukturë.  </w:t>
      </w:r>
    </w:p>
    <w:p w14:paraId="16935C36" w14:textId="77777777" w:rsidR="00B10D1B" w:rsidRPr="00976D33" w:rsidRDefault="00B10D1B" w:rsidP="00B10D1B">
      <w:pPr>
        <w:rPr>
          <w:rFonts w:cstheme="minorHAnsi"/>
        </w:rPr>
      </w:pPr>
      <w:r>
        <w:lastRenderedPageBreak/>
        <w:t xml:space="preserve">Për të adresuar këto sfida, Strategjia Kombëtare për Zhvillimit 2030 konsideron </w:t>
      </w:r>
      <w:r>
        <w:rPr>
          <w:b/>
        </w:rPr>
        <w:t>ndërtimin e një ekonomie inovative, qarkore dhe konkurruese</w:t>
      </w:r>
      <w:r>
        <w:t xml:space="preserve"> si </w:t>
      </w:r>
      <w:r>
        <w:rPr>
          <w:b/>
          <w:bCs/>
        </w:rPr>
        <w:t>objektivi</w:t>
      </w:r>
      <w:r>
        <w:t xml:space="preserve"> i parë </w:t>
      </w:r>
      <w:r>
        <w:rPr>
          <w:b/>
        </w:rPr>
        <w:t>zhvillimor</w:t>
      </w:r>
      <w:r>
        <w:t xml:space="preserve"> i shtyllës së saj që lidhet me zhvillimin e qëndrueshëm ekonomik. Deri në vitin 2030, Kosova synon të krijojë një mjedis të favorshëm biznesi dhe të luajë rol aktiv në zhvillimin e një ekonomie konkurruese drejt aktiviteteve të prodhimit dhe shërbimeve me vlerë të shtuar. Inovacionit, si një përcaktues i rëndësishëm i konkurrencës, së bashku me ekonominë qarkore si model për zhvillimin e qëndrueshëm, do t’i kushtohet vëmendje e veçantë në trajektoren e re ekonomike. Transformimi ekonomik i Kosovës do të bazohet në ndërmarrje konkurruese, inovative dhe të gjelbra. Meqenëse kërkesa e përgjithshme është e kufizuar për shkak të tregut të vogël vendor, qëllimi është që të mundësohet një prani më e madhe e ndërmarrjeve kosovare në tregjet ndërkombëtare.</w:t>
      </w:r>
    </w:p>
    <w:p w14:paraId="2E455417" w14:textId="4403A8BA" w:rsidR="00904D5D" w:rsidRPr="00976D33" w:rsidRDefault="00B10D1B" w:rsidP="00B10D1B">
      <w:pPr>
        <w:rPr>
          <w:rFonts w:cstheme="minorHAnsi"/>
        </w:rPr>
      </w:pPr>
      <w:r>
        <w:t xml:space="preserve">Treguesit përkatës të ndikimit </w:t>
      </w:r>
      <w:r>
        <w:rPr>
          <w:b/>
        </w:rPr>
        <w:t xml:space="preserve">me caqet e tyre bazë dhe për vitin 2026 dhe 2030 </w:t>
      </w:r>
      <w:r>
        <w:t xml:space="preserve">janë paraqitur në </w:t>
      </w:r>
      <w:r w:rsidR="00AF03FC" w:rsidRPr="00976D33">
        <w:rPr>
          <w:rFonts w:cstheme="minorHAnsi"/>
        </w:rPr>
        <w:fldChar w:fldCharType="begin"/>
      </w:r>
      <w:r w:rsidR="00AF03FC" w:rsidRPr="00976D33">
        <w:rPr>
          <w:rFonts w:cstheme="minorHAnsi"/>
        </w:rPr>
        <w:instrText xml:space="preserve"> REF _Ref137823032 \h </w:instrText>
      </w:r>
      <w:r w:rsidR="004A7007" w:rsidRPr="00976D33">
        <w:rPr>
          <w:rFonts w:cstheme="minorHAnsi"/>
        </w:rPr>
        <w:instrText xml:space="preserve"> \* MERGEFORMAT </w:instrText>
      </w:r>
      <w:r w:rsidR="00AF03FC" w:rsidRPr="00976D33">
        <w:rPr>
          <w:rFonts w:cstheme="minorHAnsi"/>
        </w:rPr>
      </w:r>
      <w:r w:rsidR="00AF03FC" w:rsidRPr="00976D33">
        <w:rPr>
          <w:rFonts w:cstheme="minorHAnsi"/>
        </w:rPr>
        <w:fldChar w:fldCharType="separate"/>
      </w:r>
      <w:r w:rsidR="003B7FFA">
        <w:t>Tabela 7</w:t>
      </w:r>
      <w:r w:rsidR="00AF03FC" w:rsidRPr="00976D33">
        <w:rPr>
          <w:rFonts w:cstheme="minorHAnsi"/>
        </w:rPr>
        <w:fldChar w:fldCharType="end"/>
      </w:r>
      <w:r>
        <w:t>.</w:t>
      </w:r>
    </w:p>
    <w:p w14:paraId="34B7D358" w14:textId="71E8CCBC" w:rsidR="00B10D1B" w:rsidRPr="00976D33" w:rsidRDefault="00B10D1B" w:rsidP="00B10D1B">
      <w:pPr>
        <w:pStyle w:val="Caption"/>
      </w:pPr>
      <w:bookmarkStart w:id="151" w:name="_Ref137823032"/>
      <w:bookmarkStart w:id="152" w:name="_Toc181867300"/>
      <w:r>
        <w:t xml:space="preserve">Tabela </w:t>
      </w:r>
      <w:r w:rsidRPr="00976D33">
        <w:fldChar w:fldCharType="begin"/>
      </w:r>
      <w:r w:rsidRPr="00976D33">
        <w:instrText>SEQ Table \* ARABIC</w:instrText>
      </w:r>
      <w:r w:rsidRPr="00976D33">
        <w:fldChar w:fldCharType="separate"/>
      </w:r>
      <w:r w:rsidR="003B7FFA">
        <w:rPr>
          <w:noProof/>
        </w:rPr>
        <w:t>7</w:t>
      </w:r>
      <w:r w:rsidRPr="00976D33">
        <w:fldChar w:fldCharType="end"/>
      </w:r>
      <w:bookmarkEnd w:id="151"/>
      <w:r>
        <w:t>. Treguesit e ndikimit për objektivin zhvillimor të SKZH 2030 për ndërtimin e një ekonomie inovative, qarkore, dhe konkurruese</w:t>
      </w:r>
      <w:bookmarkEnd w:id="152"/>
    </w:p>
    <w:tbl>
      <w:tblPr>
        <w:tblStyle w:val="ListTable3-Accent11"/>
        <w:tblW w:w="5000" w:type="pct"/>
        <w:tblLook w:val="04A0" w:firstRow="1" w:lastRow="0" w:firstColumn="1" w:lastColumn="0" w:noHBand="0" w:noVBand="1"/>
      </w:tblPr>
      <w:tblGrid>
        <w:gridCol w:w="4585"/>
        <w:gridCol w:w="1857"/>
        <w:gridCol w:w="1561"/>
        <w:gridCol w:w="1561"/>
      </w:tblGrid>
      <w:tr w:rsidR="00B10D1B" w:rsidRPr="00976D33" w14:paraId="3D2F6571" w14:textId="77777777" w:rsidTr="00746A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7" w:type="pct"/>
          </w:tcPr>
          <w:p w14:paraId="0B339A68" w14:textId="77777777" w:rsidR="00B10D1B" w:rsidRPr="00976D33" w:rsidRDefault="00B10D1B" w:rsidP="00904D5D">
            <w:pPr>
              <w:pStyle w:val="NoSpacing"/>
              <w:spacing w:before="0"/>
              <w:jc w:val="center"/>
              <w:rPr>
                <w:rFonts w:asciiTheme="majorHAnsi" w:hAnsiTheme="majorHAnsi" w:cstheme="majorHAnsi"/>
                <w:b w:val="0"/>
                <w:sz w:val="18"/>
                <w:szCs w:val="18"/>
              </w:rPr>
            </w:pPr>
            <w:r>
              <w:rPr>
                <w:rFonts w:asciiTheme="majorHAnsi" w:hAnsiTheme="majorHAnsi"/>
                <w:sz w:val="18"/>
              </w:rPr>
              <w:t>Treguesi i ndikimit</w:t>
            </w:r>
          </w:p>
        </w:tc>
        <w:tc>
          <w:tcPr>
            <w:tcW w:w="971" w:type="pct"/>
          </w:tcPr>
          <w:p w14:paraId="55B74D8A" w14:textId="77777777" w:rsidR="00B10D1B" w:rsidRPr="00976D33" w:rsidRDefault="00B10D1B" w:rsidP="00904D5D">
            <w:pPr>
              <w:pStyle w:val="NoSpacing"/>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rPr>
            </w:pPr>
            <w:r>
              <w:rPr>
                <w:rFonts w:asciiTheme="majorHAnsi" w:hAnsiTheme="majorHAnsi"/>
                <w:sz w:val="18"/>
              </w:rPr>
              <w:t>Baza</w:t>
            </w:r>
          </w:p>
        </w:tc>
        <w:tc>
          <w:tcPr>
            <w:tcW w:w="816" w:type="pct"/>
          </w:tcPr>
          <w:p w14:paraId="74268517" w14:textId="77777777" w:rsidR="00B10D1B" w:rsidRPr="00976D33" w:rsidRDefault="00B10D1B" w:rsidP="00904D5D">
            <w:pPr>
              <w:pStyle w:val="NoSpacing"/>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rPr>
            </w:pPr>
            <w:r>
              <w:rPr>
                <w:rFonts w:asciiTheme="majorHAnsi" w:hAnsiTheme="majorHAnsi"/>
                <w:sz w:val="18"/>
              </w:rPr>
              <w:t>Caku 2026</w:t>
            </w:r>
          </w:p>
        </w:tc>
        <w:tc>
          <w:tcPr>
            <w:tcW w:w="816" w:type="pct"/>
          </w:tcPr>
          <w:p w14:paraId="04CCBB05" w14:textId="77777777" w:rsidR="00B10D1B" w:rsidRPr="00976D33" w:rsidRDefault="00B10D1B" w:rsidP="00904D5D">
            <w:pPr>
              <w:pStyle w:val="NoSpacing"/>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rPr>
            </w:pPr>
            <w:r>
              <w:rPr>
                <w:rFonts w:asciiTheme="majorHAnsi" w:hAnsiTheme="majorHAnsi"/>
                <w:sz w:val="18"/>
              </w:rPr>
              <w:t>Caku 2030</w:t>
            </w:r>
          </w:p>
        </w:tc>
      </w:tr>
      <w:tr w:rsidR="00B10D1B" w:rsidRPr="00976D33" w14:paraId="092A0283" w14:textId="77777777" w:rsidTr="00746A07">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397" w:type="pct"/>
          </w:tcPr>
          <w:p w14:paraId="5E53637C" w14:textId="77777777" w:rsidR="00B10D1B" w:rsidRPr="00976D33" w:rsidRDefault="00B10D1B" w:rsidP="00904D5D">
            <w:pPr>
              <w:pStyle w:val="NoSpacing"/>
              <w:spacing w:before="0"/>
              <w:rPr>
                <w:rFonts w:asciiTheme="majorHAnsi" w:hAnsiTheme="majorHAnsi" w:cstheme="majorHAnsi"/>
                <w:sz w:val="18"/>
                <w:szCs w:val="18"/>
              </w:rPr>
            </w:pPr>
            <w:r>
              <w:rPr>
                <w:rFonts w:asciiTheme="majorHAnsi" w:hAnsiTheme="majorHAnsi"/>
                <w:sz w:val="18"/>
              </w:rPr>
              <w:t>BPV për kokë banori (EUR)</w:t>
            </w:r>
          </w:p>
        </w:tc>
        <w:tc>
          <w:tcPr>
            <w:tcW w:w="971" w:type="pct"/>
          </w:tcPr>
          <w:p w14:paraId="401C782B" w14:textId="77777777" w:rsidR="00B10D1B" w:rsidRPr="00976D33" w:rsidRDefault="00B10D1B" w:rsidP="00904D5D">
            <w:pPr>
              <w:pStyle w:val="NoSpacing"/>
              <w:spacing w:befor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3,772 (2020)</w:t>
            </w:r>
          </w:p>
        </w:tc>
        <w:tc>
          <w:tcPr>
            <w:tcW w:w="816" w:type="pct"/>
          </w:tcPr>
          <w:p w14:paraId="1F3AE795" w14:textId="77777777" w:rsidR="00B10D1B" w:rsidRPr="00976D33" w:rsidRDefault="00B10D1B" w:rsidP="00904D5D">
            <w:pPr>
              <w:pStyle w:val="NoSpacing"/>
              <w:spacing w:befor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&gt;30%</w:t>
            </w:r>
          </w:p>
        </w:tc>
        <w:tc>
          <w:tcPr>
            <w:tcW w:w="816" w:type="pct"/>
          </w:tcPr>
          <w:p w14:paraId="31D3106D" w14:textId="77777777" w:rsidR="00B10D1B" w:rsidRPr="00976D33" w:rsidRDefault="00B10D1B" w:rsidP="00904D5D">
            <w:pPr>
              <w:pStyle w:val="NoSpacing"/>
              <w:spacing w:befor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&gt;50%</w:t>
            </w:r>
          </w:p>
        </w:tc>
      </w:tr>
      <w:tr w:rsidR="00B10D1B" w:rsidRPr="00976D33" w14:paraId="4A412A68" w14:textId="77777777" w:rsidTr="00746A07">
        <w:trPr>
          <w:trHeight w:val="80"/>
        </w:trPr>
        <w:tc>
          <w:tcPr>
            <w:cnfStyle w:val="001000000000" w:firstRow="0" w:lastRow="0" w:firstColumn="1" w:lastColumn="0" w:oddVBand="0" w:evenVBand="0" w:oddHBand="0" w:evenHBand="0" w:firstRowFirstColumn="0" w:firstRowLastColumn="0" w:lastRowFirstColumn="0" w:lastRowLastColumn="0"/>
            <w:tcW w:w="2397" w:type="pct"/>
          </w:tcPr>
          <w:p w14:paraId="2BAF180F" w14:textId="77777777" w:rsidR="00B10D1B" w:rsidRPr="00976D33" w:rsidRDefault="00B10D1B" w:rsidP="00904D5D">
            <w:pPr>
              <w:pStyle w:val="NoSpacing"/>
              <w:spacing w:before="0"/>
              <w:rPr>
                <w:rFonts w:asciiTheme="majorHAnsi" w:hAnsiTheme="majorHAnsi" w:cstheme="majorHAnsi"/>
                <w:sz w:val="18"/>
                <w:szCs w:val="18"/>
              </w:rPr>
            </w:pPr>
            <w:r>
              <w:rPr>
                <w:rFonts w:asciiTheme="majorHAnsi" w:hAnsiTheme="majorHAnsi"/>
                <w:sz w:val="18"/>
              </w:rPr>
              <w:t>Eksportet e mallrave dhe shërbimeve (% e BPV-së)</w:t>
            </w:r>
          </w:p>
        </w:tc>
        <w:tc>
          <w:tcPr>
            <w:tcW w:w="971" w:type="pct"/>
          </w:tcPr>
          <w:p w14:paraId="2417911A" w14:textId="370E9BEA" w:rsidR="00B10D1B" w:rsidRPr="00976D33" w:rsidRDefault="00B10D1B" w:rsidP="00904D5D">
            <w:pPr>
              <w:pStyle w:val="NoSpacing"/>
              <w:spacing w:befor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sz w:val="18"/>
                <w:szCs w:val="18"/>
              </w:rPr>
            </w:pPr>
            <w:r>
              <w:rPr>
                <w:rFonts w:asciiTheme="majorHAnsi" w:hAnsiTheme="majorHAnsi"/>
                <w:sz w:val="18"/>
              </w:rPr>
              <w:t>21.6%</w:t>
            </w:r>
          </w:p>
        </w:tc>
        <w:tc>
          <w:tcPr>
            <w:tcW w:w="816" w:type="pct"/>
          </w:tcPr>
          <w:p w14:paraId="37266757" w14:textId="77777777" w:rsidR="00B10D1B" w:rsidRPr="00976D33" w:rsidRDefault="00B10D1B" w:rsidP="00904D5D">
            <w:pPr>
              <w:pStyle w:val="NoSpacing"/>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rPr>
            </w:pPr>
            <w:r>
              <w:rPr>
                <w:rFonts w:asciiTheme="majorHAnsi" w:hAnsiTheme="majorHAnsi"/>
                <w:sz w:val="18"/>
              </w:rPr>
              <w:t>35%</w:t>
            </w:r>
          </w:p>
        </w:tc>
        <w:tc>
          <w:tcPr>
            <w:tcW w:w="816" w:type="pct"/>
          </w:tcPr>
          <w:p w14:paraId="575746BA" w14:textId="77777777" w:rsidR="00B10D1B" w:rsidRPr="00976D33" w:rsidRDefault="00B10D1B" w:rsidP="00904D5D">
            <w:pPr>
              <w:pStyle w:val="NoSpacing"/>
              <w:spacing w:befor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sz w:val="18"/>
                <w:szCs w:val="18"/>
              </w:rPr>
            </w:pPr>
            <w:r>
              <w:rPr>
                <w:rFonts w:asciiTheme="majorHAnsi" w:hAnsiTheme="majorHAnsi"/>
                <w:sz w:val="18"/>
              </w:rPr>
              <w:t>45%</w:t>
            </w:r>
          </w:p>
        </w:tc>
      </w:tr>
      <w:tr w:rsidR="00B10D1B" w:rsidRPr="00976D33" w14:paraId="36F70178" w14:textId="77777777" w:rsidTr="00746A07">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2397" w:type="pct"/>
          </w:tcPr>
          <w:p w14:paraId="4104B3A5" w14:textId="77777777" w:rsidR="00B10D1B" w:rsidRPr="00976D33" w:rsidRDefault="00B10D1B" w:rsidP="00904D5D">
            <w:pPr>
              <w:pStyle w:val="NoSpacing"/>
              <w:spacing w:before="0"/>
              <w:rPr>
                <w:rFonts w:asciiTheme="majorHAnsi" w:hAnsiTheme="majorHAnsi" w:cstheme="majorHAnsi"/>
                <w:sz w:val="18"/>
                <w:szCs w:val="18"/>
              </w:rPr>
            </w:pPr>
            <w:r>
              <w:rPr>
                <w:rFonts w:asciiTheme="majorHAnsi" w:hAnsiTheme="majorHAnsi"/>
                <w:sz w:val="18"/>
              </w:rPr>
              <w:t>Emetimet e CO</w:t>
            </w:r>
            <w:r>
              <w:rPr>
                <w:rFonts w:asciiTheme="majorHAnsi" w:hAnsiTheme="majorHAnsi"/>
                <w:sz w:val="18"/>
                <w:vertAlign w:val="subscript"/>
              </w:rPr>
              <w:t>2</w:t>
            </w:r>
            <w:r>
              <w:rPr>
                <w:rFonts w:asciiTheme="majorHAnsi" w:hAnsiTheme="majorHAnsi"/>
                <w:sz w:val="18"/>
              </w:rPr>
              <w:t xml:space="preserve"> për njësi të BPV-së (kg CO</w:t>
            </w:r>
            <w:r>
              <w:rPr>
                <w:rFonts w:asciiTheme="majorHAnsi" w:hAnsiTheme="majorHAnsi"/>
                <w:sz w:val="18"/>
                <w:vertAlign w:val="subscript"/>
              </w:rPr>
              <w:t>2</w:t>
            </w:r>
            <w:r>
              <w:rPr>
                <w:rFonts w:asciiTheme="majorHAnsi" w:hAnsiTheme="majorHAnsi"/>
                <w:sz w:val="18"/>
              </w:rPr>
              <w:t>/EUR)</w:t>
            </w:r>
          </w:p>
        </w:tc>
        <w:tc>
          <w:tcPr>
            <w:tcW w:w="971" w:type="pct"/>
          </w:tcPr>
          <w:p w14:paraId="6C6C8EF0" w14:textId="77777777" w:rsidR="00B10D1B" w:rsidRPr="00976D33" w:rsidRDefault="00B10D1B" w:rsidP="00904D5D">
            <w:pPr>
              <w:pStyle w:val="NoSpacing"/>
              <w:spacing w:befor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0.4707</w:t>
            </w:r>
          </w:p>
        </w:tc>
        <w:tc>
          <w:tcPr>
            <w:tcW w:w="816" w:type="pct"/>
          </w:tcPr>
          <w:p w14:paraId="1BB490C4" w14:textId="77777777" w:rsidR="00B10D1B" w:rsidRPr="00976D33" w:rsidRDefault="00B10D1B" w:rsidP="00904D5D">
            <w:pPr>
              <w:pStyle w:val="NoSpacing"/>
              <w:spacing w:befor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0.3025</w:t>
            </w:r>
          </w:p>
        </w:tc>
        <w:tc>
          <w:tcPr>
            <w:tcW w:w="816" w:type="pct"/>
          </w:tcPr>
          <w:p w14:paraId="7922612D" w14:textId="77777777" w:rsidR="00B10D1B" w:rsidRPr="00976D33" w:rsidRDefault="00B10D1B" w:rsidP="00904D5D">
            <w:pPr>
              <w:pStyle w:val="NoSpacing"/>
              <w:spacing w:befor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0.1867</w:t>
            </w:r>
          </w:p>
        </w:tc>
      </w:tr>
    </w:tbl>
    <w:p w14:paraId="3D0037D4" w14:textId="77777777" w:rsidR="00B10D1B" w:rsidRPr="00976D33" w:rsidRDefault="00B10D1B" w:rsidP="00B10D1B">
      <w:pPr>
        <w:rPr>
          <w:rFonts w:cstheme="minorHAnsi"/>
        </w:rPr>
      </w:pPr>
    </w:p>
    <w:p w14:paraId="4C6A94AF" w14:textId="77777777" w:rsidR="00B10D1B" w:rsidRPr="00976D33" w:rsidRDefault="00B10D1B" w:rsidP="00B10D1B">
      <w:r>
        <w:t xml:space="preserve">Ky objektiv zhvillimor artikulohet më tej përmes </w:t>
      </w:r>
      <w:r>
        <w:rPr>
          <w:b/>
          <w:bCs/>
        </w:rPr>
        <w:t>objektivave</w:t>
      </w:r>
      <w:r>
        <w:t xml:space="preserve"> </w:t>
      </w:r>
      <w:r>
        <w:rPr>
          <w:b/>
          <w:bCs/>
        </w:rPr>
        <w:t>strategjikë</w:t>
      </w:r>
      <w:r>
        <w:t xml:space="preserve"> të mëposhtëm:</w:t>
      </w:r>
    </w:p>
    <w:p w14:paraId="2FD6E128" w14:textId="77777777" w:rsidR="00B10D1B" w:rsidRPr="00976D33" w:rsidRDefault="00B10D1B" w:rsidP="00AF7BBF">
      <w:pPr>
        <w:pStyle w:val="ListParagraph"/>
        <w:numPr>
          <w:ilvl w:val="0"/>
          <w:numId w:val="39"/>
        </w:numPr>
        <w:rPr>
          <w:rFonts w:cstheme="minorHAnsi"/>
        </w:rPr>
      </w:pPr>
      <w:r>
        <w:t>Ndërtimi i një mjedisi afarist të drejtë, të adaptueshëm dhe konkurrues</w:t>
      </w:r>
    </w:p>
    <w:p w14:paraId="61887E5E" w14:textId="77777777" w:rsidR="00B10D1B" w:rsidRPr="00976D33" w:rsidRDefault="00B10D1B" w:rsidP="00AF7BBF">
      <w:pPr>
        <w:pStyle w:val="ListParagraph"/>
        <w:numPr>
          <w:ilvl w:val="0"/>
          <w:numId w:val="39"/>
        </w:numPr>
        <w:rPr>
          <w:rFonts w:cstheme="minorHAnsi"/>
        </w:rPr>
      </w:pPr>
      <w:r>
        <w:t>Përshpejtimi i transformimit digjital dhe inovacionit tek NVM-të dhe startup bizneset</w:t>
      </w:r>
    </w:p>
    <w:p w14:paraId="4C64B6E3" w14:textId="77777777" w:rsidR="00B10D1B" w:rsidRPr="00976D33" w:rsidRDefault="00B10D1B" w:rsidP="00AF7BBF">
      <w:pPr>
        <w:pStyle w:val="ListParagraph"/>
        <w:numPr>
          <w:ilvl w:val="0"/>
          <w:numId w:val="39"/>
        </w:numPr>
        <w:rPr>
          <w:rFonts w:cstheme="minorHAnsi"/>
        </w:rPr>
      </w:pPr>
      <w:r>
        <w:t xml:space="preserve">Zhvillimi i industrisë drejt produkteve dhe shërbimeve me vlerë më të lartë të shtuar </w:t>
      </w:r>
    </w:p>
    <w:p w14:paraId="4EC8FB08" w14:textId="77777777" w:rsidR="00B10D1B" w:rsidRPr="00976D33" w:rsidRDefault="00B10D1B" w:rsidP="00AF7BBF">
      <w:pPr>
        <w:pStyle w:val="ListParagraph"/>
        <w:numPr>
          <w:ilvl w:val="0"/>
          <w:numId w:val="39"/>
        </w:numPr>
        <w:rPr>
          <w:rFonts w:cstheme="minorHAnsi"/>
        </w:rPr>
      </w:pPr>
      <w:r>
        <w:t>Mobilizimi i industrisë drejt ekonomisë qarkore</w:t>
      </w:r>
    </w:p>
    <w:p w14:paraId="0F533036" w14:textId="77777777" w:rsidR="00B10D1B" w:rsidRPr="00976D33" w:rsidRDefault="00B10D1B" w:rsidP="00AF7BBF">
      <w:pPr>
        <w:pStyle w:val="ListParagraph"/>
        <w:numPr>
          <w:ilvl w:val="0"/>
          <w:numId w:val="39"/>
        </w:numPr>
        <w:rPr>
          <w:rFonts w:cstheme="minorHAnsi"/>
        </w:rPr>
      </w:pPr>
      <w:r>
        <w:t>Ndërkombëtarizimi i ndërmarrjeve dhe ulja e varësisë së tepërt në importe</w:t>
      </w:r>
    </w:p>
    <w:p w14:paraId="056D33FB" w14:textId="77777777" w:rsidR="00B10D1B" w:rsidRPr="00976D33" w:rsidRDefault="00B10D1B" w:rsidP="00AF7BBF">
      <w:pPr>
        <w:pStyle w:val="ListParagraph"/>
        <w:numPr>
          <w:ilvl w:val="0"/>
          <w:numId w:val="39"/>
        </w:numPr>
        <w:rPr>
          <w:rFonts w:cstheme="minorHAnsi"/>
        </w:rPr>
      </w:pPr>
      <w:r>
        <w:t>Rritja e investimeve të orientuara në eksport</w:t>
      </w:r>
    </w:p>
    <w:p w14:paraId="496FC5AD" w14:textId="77777777" w:rsidR="00B10D1B" w:rsidRPr="00976D33" w:rsidRDefault="00B10D1B" w:rsidP="00AF7BBF">
      <w:pPr>
        <w:pStyle w:val="ListParagraph"/>
        <w:numPr>
          <w:ilvl w:val="0"/>
          <w:numId w:val="39"/>
        </w:numPr>
        <w:rPr>
          <w:rFonts w:cstheme="minorHAnsi"/>
        </w:rPr>
      </w:pPr>
      <w:r>
        <w:t>Përmirësimi i produktivitetit dhe qëndrueshmërisë në bujqësi</w:t>
      </w:r>
    </w:p>
    <w:p w14:paraId="5FFF5F1A" w14:textId="77777777" w:rsidR="00B10D1B" w:rsidRPr="00976D33" w:rsidRDefault="00B10D1B" w:rsidP="00AF7BBF">
      <w:pPr>
        <w:pStyle w:val="ListParagraph"/>
        <w:numPr>
          <w:ilvl w:val="0"/>
          <w:numId w:val="39"/>
        </w:numPr>
        <w:rPr>
          <w:rFonts w:cstheme="minorHAnsi"/>
        </w:rPr>
      </w:pPr>
      <w:r>
        <w:t>Ndërtimi i lidhjeve të qëndrueshme në mes të fermerëve, përpunuesve dhe shitësve me pakicë</w:t>
      </w:r>
    </w:p>
    <w:p w14:paraId="62F05FCE" w14:textId="77777777" w:rsidR="00B10D1B" w:rsidRPr="00976D33" w:rsidRDefault="00B10D1B" w:rsidP="00B10D1B">
      <w:pPr>
        <w:rPr>
          <w:rFonts w:cstheme="minorHAnsi"/>
        </w:rPr>
      </w:pPr>
      <w:r>
        <w:t>Të gjitha këto objektiva strategjike shoqërohen me tregues për matjen e performancës së tyre dhe caqet përkatës për vitin 2026 dhe 2030.</w:t>
      </w:r>
    </w:p>
    <w:p w14:paraId="3A98493D" w14:textId="5240B2B7" w:rsidR="00B10D1B" w:rsidRPr="00976D33" w:rsidRDefault="00B10D1B" w:rsidP="00B10D1B">
      <w:pPr>
        <w:rPr>
          <w:rFonts w:cstheme="minorHAnsi"/>
        </w:rPr>
      </w:pPr>
      <w:r>
        <w:t>Kosova e sheh si mundësi të madhe për ta ri-industrializuar tërë ekonominë me dekarbonizimin e sektorit të energjisë, bujqësisë dhe mobilitetit dhe ta përdorë këtë si një mundësi për rritje dhe punësim. Tranzicioni i energjisë është një nga sfidat kryesore, pasi energjia është një faktor hyrës në industri të tjera. Si rezultat, politikat e studiuara mirë të tranzicionit energjetik do të zbatohen me kujdes, sepse çdo mungesë efikasiteti në tranzicionin energjetik përkthehet në mungesë efikasiteti më të lartë në industritë tjera intensive energjetike. Kështu që, një koordinim i politikave energjetike me politikat e tjera kombëtare do të sigurojë që industritë intensive energjetike nuk do të përballen me kosto më të larta të energjisë, për shkak të subvencioneve të larta të burimeve të ripërtëritshme dhe/ose çmimeve të karbonit, të cilat do të pengojnë konkurrencën e tyre. Në të njëjtën kohë, siguria e furnizimit me energji do të sigurojë që firmat të mos kenë nevojë të investojnë më në furnizimin rezervë (p.sh. agregatorët), gjë që do ta kthejë këtë në një avantazh konkurrues.</w:t>
      </w:r>
    </w:p>
    <w:p w14:paraId="56552D4A" w14:textId="517F3D25" w:rsidR="00B10D1B" w:rsidRPr="00976D33" w:rsidRDefault="00B10D1B" w:rsidP="00B10D1B">
      <w:pPr>
        <w:spacing w:after="152" w:line="259" w:lineRule="auto"/>
        <w:rPr>
          <w:rFonts w:cstheme="minorHAnsi"/>
        </w:rPr>
      </w:pPr>
      <w:r>
        <w:t>Një koordinim i ngushtë i politikave klimatike dhe energjetike shihet i nevojshëm për të siguruar furnizim të përballueshëm dhe të sigurt me energji. Një infrastrukturë moderne dhe efikase energjetike për sa i përket kapaciteteve të reja të gjenerimit, transmisionit dhe distribuimit do të ulë kostot e energjisë dhe do të eliminojë ndërprerjet e paplanifikuara të energjisë. Futja e konkurrencës nëpërmjet liberalizimit të tregut në tregun e shitjes me pakicë të energjisë elektrike do të eliminojë monopolet ekzistuese dhe do të bëjë presion në rënie të çmimeve të energjisë elektrike, por në të njëjtën kohë së bashku me linjën e re të interkoneksionit me Shqipërinë do të rrisë sigurinë e furnizimit me energji elektrike. Mbi 90% e energjisë elektrike vjen nga termocentralet me thëngjill. Prandaj, politikat energjetike dhe klimatike do të sigurojnë që qëllimet afatshkurtra të mos injorohen kur drejtohemi kah kombinimi optimal i prodhimit të energjisë elektrike neutrale ndaj karbonit. Në të njëjtën kohë, masat e efiçiencës së energjisë që synojnë të zvogëlojnë intensitetin e energjisë industriale do të çojnë në uljen e kërkesës për energji dhe rrjedhimisht në uljen e kostove të energjisë dhe siguri më të lartë të furnizimit.</w:t>
      </w:r>
    </w:p>
    <w:p w14:paraId="23B52D88" w14:textId="77777777" w:rsidR="00AA7CDF" w:rsidRPr="00976D33" w:rsidRDefault="00AA7CDF" w:rsidP="00B10D1B">
      <w:pPr>
        <w:spacing w:after="152" w:line="259" w:lineRule="auto"/>
        <w:rPr>
          <w:rFonts w:cstheme="minorHAnsi"/>
        </w:rPr>
        <w:sectPr w:rsidR="00AA7CDF" w:rsidRPr="00976D33" w:rsidSect="007E6A8A">
          <w:footnotePr>
            <w:numRestart w:val="eachPage"/>
          </w:footnotePr>
          <w:type w:val="continuous"/>
          <w:pgSz w:w="11906" w:h="16838" w:code="9"/>
          <w:pgMar w:top="1469" w:right="1022" w:bottom="1138" w:left="1310" w:header="1001" w:footer="720" w:gutter="0"/>
          <w:cols w:space="720"/>
        </w:sectPr>
      </w:pPr>
    </w:p>
    <w:p w14:paraId="7F3E761C" w14:textId="77777777" w:rsidR="00AA7CDF" w:rsidRPr="00976D33" w:rsidRDefault="00AA7CDF" w:rsidP="00B10D1B">
      <w:pPr>
        <w:spacing w:after="152" w:line="259" w:lineRule="auto"/>
        <w:rPr>
          <w:rFonts w:cstheme="minorHAnsi"/>
        </w:rPr>
        <w:sectPr w:rsidR="00AA7CDF" w:rsidRPr="00976D33" w:rsidSect="007E6A8A">
          <w:footnotePr>
            <w:numRestart w:val="eachPage"/>
          </w:footnotePr>
          <w:pgSz w:w="11906" w:h="16838" w:code="9"/>
          <w:pgMar w:top="1469" w:right="1022" w:bottom="1138" w:left="1310" w:header="1001" w:footer="720" w:gutter="0"/>
          <w:cols w:space="720"/>
        </w:sectPr>
      </w:pPr>
    </w:p>
    <w:p w14:paraId="1A45FEEB" w14:textId="77777777" w:rsidR="00130A52" w:rsidRPr="00976D33" w:rsidRDefault="00130A52" w:rsidP="00130A52">
      <w:pPr>
        <w:spacing w:after="152" w:line="259" w:lineRule="auto"/>
        <w:rPr>
          <w:rFonts w:cstheme="minorHAnsi"/>
        </w:rPr>
        <w:sectPr w:rsidR="00130A52" w:rsidRPr="00976D33" w:rsidSect="007E6A8A">
          <w:footnotePr>
            <w:numRestart w:val="eachSect"/>
          </w:footnotePr>
          <w:type w:val="continuous"/>
          <w:pgSz w:w="11906" w:h="16838" w:code="9"/>
          <w:pgMar w:top="1469" w:right="1022" w:bottom="1138" w:left="1310" w:header="1001" w:footer="720" w:gutter="0"/>
          <w:cols w:space="720"/>
        </w:sectPr>
      </w:pPr>
    </w:p>
    <w:p w14:paraId="735367AD" w14:textId="77777777" w:rsidR="00AB189C" w:rsidRPr="00976D33" w:rsidRDefault="00AB189C" w:rsidP="00587EDC">
      <w:pPr>
        <w:pStyle w:val="Heading1"/>
        <w:spacing w:before="0"/>
        <w:ind w:left="431" w:hanging="431"/>
        <w:rPr>
          <w:sz w:val="44"/>
          <w:szCs w:val="24"/>
        </w:rPr>
      </w:pPr>
      <w:bookmarkStart w:id="153" w:name="_Toc182302284"/>
      <w:r>
        <w:rPr>
          <w:sz w:val="44"/>
        </w:rPr>
        <w:t>POLITIKAT DHE MASAT</w:t>
      </w:r>
      <w:bookmarkEnd w:id="153"/>
      <w:r>
        <w:rPr>
          <w:sz w:val="44"/>
        </w:rPr>
        <w:t xml:space="preserve"> </w:t>
      </w:r>
    </w:p>
    <w:p w14:paraId="61BD5BA5" w14:textId="77777777" w:rsidR="00AB189C" w:rsidRPr="00976D33" w:rsidRDefault="00AB189C" w:rsidP="00AB189C">
      <w:pPr>
        <w:spacing w:after="138" w:line="259" w:lineRule="auto"/>
        <w:jc w:val="left"/>
      </w:pPr>
      <w:r>
        <w:t>Në këtë kapitull jepet një analizë gjithëpërfshirëse e politikave dhe masave të propozuara, duke përshkruar implikimet e tyre specifike brenda secilit dimension. Theksi qëndron në qartësinë e skenarëve sipas të cilëve këto masa do të realizohen. Veçanërisht, kur një skenar nuk përcaktohet shprehimisht, ai nënkupton një qasje të dyfishtë të zbatimit, që përfshin si WEM ashtu edhe WAM.</w:t>
      </w:r>
    </w:p>
    <w:p w14:paraId="3871B643" w14:textId="77777777" w:rsidR="00AB189C" w:rsidRPr="00976D33" w:rsidRDefault="00AB189C" w:rsidP="00AB189C">
      <w:pPr>
        <w:pStyle w:val="Heading2"/>
        <w:spacing w:after="200"/>
      </w:pPr>
      <w:bookmarkStart w:id="154" w:name="_Toc71271814"/>
      <w:bookmarkStart w:id="155" w:name="_Toc182302285"/>
      <w:r>
        <w:t>Dimensioni i dekarbonizimit</w:t>
      </w:r>
      <w:bookmarkEnd w:id="154"/>
      <w:bookmarkEnd w:id="155"/>
      <w:r>
        <w:t xml:space="preserve"> </w:t>
      </w:r>
    </w:p>
    <w:p w14:paraId="7D6A02B3" w14:textId="77777777" w:rsidR="00AB189C" w:rsidRPr="00976D33" w:rsidRDefault="00AB189C" w:rsidP="00AF7BBF">
      <w:pPr>
        <w:pStyle w:val="Heading3"/>
        <w:numPr>
          <w:ilvl w:val="0"/>
          <w:numId w:val="75"/>
        </w:numPr>
      </w:pPr>
      <w:bookmarkStart w:id="156" w:name="_Toc71271815"/>
      <w:bookmarkStart w:id="157" w:name="_Toc182302286"/>
      <w:r>
        <w:t>Emetimet dhe largimet e GS-ve</w:t>
      </w:r>
      <w:bookmarkEnd w:id="156"/>
      <w:bookmarkEnd w:id="157"/>
      <w:r>
        <w:t xml:space="preserve"> </w:t>
      </w:r>
    </w:p>
    <w:p w14:paraId="66F68F7A" w14:textId="77777777" w:rsidR="00AB189C" w:rsidRPr="00976D33" w:rsidRDefault="00AB189C" w:rsidP="00AF7BBF">
      <w:pPr>
        <w:pStyle w:val="Heading4"/>
        <w:numPr>
          <w:ilvl w:val="0"/>
          <w:numId w:val="76"/>
        </w:numPr>
      </w:pPr>
      <w:r>
        <w:t xml:space="preserve">Politikat dhe masat për të arritur një ekonomi të gjerë që përfshin të gjithë sektorët kyç të emetimit të gazrave dhe sektorët për përmirësimin e largimit të tyre, me një vështrim të vizionit afatgjatë dhe objektivit për t’u bërë ekonomi me emetim të ulët dhe për të arritur një ekuilibër mes emetimeve dhe largimeve, në përputhje me Marrëveshjen e Parisit. </w:t>
      </w:r>
    </w:p>
    <w:p w14:paraId="50063893" w14:textId="707EEB65" w:rsidR="005C57AD" w:rsidRPr="00976D33" w:rsidRDefault="005C57AD" w:rsidP="005C57AD">
      <w:r>
        <w:t>Politikat dhe masat (PM) që kanë ndikim në emetimet dhe largimet e GS-ve bazohen në të dhënat dhe informacionin e dhënë në disa dokumente strategjike, siç janë Strategjia e Energjisë 2022-2031,</w:t>
      </w:r>
      <w:r>
        <w:rPr>
          <w:b/>
        </w:rPr>
        <w:t xml:space="preserve"> </w:t>
      </w:r>
      <w:r>
        <w:t>Strategjia për Menaxhimin e Integruar të Mbetjeve 2024-2035 dhe Plani i Veprimit 2024-2026, Politika dhe Strategjia për Zhvillimin e Pyjeve 2022-2030, Strategjia për Bujqësi dhe Zhvillim Rural 2022-2028, dhe Strategjia e Ndryshimeve Klimatike 2017-2028, si dhe punëtoritë e grupit punues të organizuar në mars/prill të vitit 2023.</w:t>
      </w:r>
    </w:p>
    <w:tbl>
      <w:tblPr>
        <w:tblStyle w:val="GridTable5Dark-Accent1"/>
        <w:tblW w:w="0" w:type="auto"/>
        <w:tblLook w:val="04A0" w:firstRow="1" w:lastRow="0" w:firstColumn="1" w:lastColumn="0" w:noHBand="0" w:noVBand="1"/>
      </w:tblPr>
      <w:tblGrid>
        <w:gridCol w:w="2425"/>
        <w:gridCol w:w="7139"/>
      </w:tblGrid>
      <w:tr w:rsidR="005C57AD" w:rsidRPr="008C14F9" w14:paraId="3407B44D" w14:textId="77777777" w:rsidTr="7A23F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tcPr>
          <w:p w14:paraId="56C3E3D1" w14:textId="6853474E" w:rsidR="005C57AD" w:rsidRPr="008C14F9" w:rsidRDefault="005C57AD">
            <w:pPr>
              <w:spacing w:before="20" w:after="20"/>
              <w:rPr>
                <w:color w:val="FFFFFF" w:themeColor="background1"/>
                <w:sz w:val="18"/>
                <w:szCs w:val="18"/>
              </w:rPr>
            </w:pPr>
            <w:r>
              <w:rPr>
                <w:color w:val="FFFFFF" w:themeColor="background1"/>
                <w:sz w:val="18"/>
              </w:rPr>
              <w:t xml:space="preserve"> </w:t>
            </w:r>
            <w:bookmarkStart w:id="158" w:name="_Toc71247168"/>
            <w:bookmarkStart w:id="159" w:name="_Toc138210142"/>
            <w:bookmarkStart w:id="160" w:name="_Toc138998443"/>
            <w:r>
              <w:rPr>
                <w:color w:val="FFFFFF" w:themeColor="background1"/>
                <w:sz w:val="18"/>
              </w:rPr>
              <w:t xml:space="preserve">PM </w:t>
            </w:r>
            <w:r w:rsidRPr="008C14F9">
              <w:rPr>
                <w:color w:val="FFFFFF" w:themeColor="background1"/>
                <w:sz w:val="18"/>
              </w:rPr>
              <w:fldChar w:fldCharType="begin"/>
            </w:r>
            <w:r w:rsidRPr="008C14F9">
              <w:rPr>
                <w:color w:val="FFFFFF" w:themeColor="background1"/>
                <w:sz w:val="18"/>
              </w:rPr>
              <w:instrText xml:space="preserve"> SEQ PAM \* ARABIC </w:instrText>
            </w:r>
            <w:r w:rsidRPr="008C14F9">
              <w:rPr>
                <w:color w:val="FFFFFF" w:themeColor="background1"/>
                <w:sz w:val="18"/>
              </w:rPr>
              <w:fldChar w:fldCharType="separate"/>
            </w:r>
            <w:r w:rsidR="003B7FFA">
              <w:rPr>
                <w:noProof/>
                <w:color w:val="FFFFFF" w:themeColor="background1"/>
                <w:sz w:val="18"/>
              </w:rPr>
              <w:t>1</w:t>
            </w:r>
            <w:r w:rsidRPr="008C14F9">
              <w:rPr>
                <w:color w:val="FFFFFF" w:themeColor="background1"/>
                <w:sz w:val="18"/>
              </w:rPr>
              <w:fldChar w:fldCharType="end"/>
            </w:r>
            <w:r>
              <w:rPr>
                <w:color w:val="FFFFFF" w:themeColor="background1"/>
                <w:sz w:val="18"/>
              </w:rPr>
              <w:t>:</w:t>
            </w:r>
            <w:r>
              <w:t xml:space="preserve"> </w:t>
            </w:r>
            <w:bookmarkEnd w:id="158"/>
            <w:r>
              <w:rPr>
                <w:color w:val="FFFFFF" w:themeColor="background1"/>
                <w:sz w:val="18"/>
              </w:rPr>
              <w:t>Studim i efekteve të CBAM dhe/ose çmimi vendor i karbonit</w:t>
            </w:r>
            <w:bookmarkEnd w:id="159"/>
            <w:bookmarkEnd w:id="160"/>
          </w:p>
        </w:tc>
      </w:tr>
      <w:tr w:rsidR="005C57AD" w:rsidRPr="008C14F9" w14:paraId="2CC9D8E1" w14:textId="77777777" w:rsidTr="7A23F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tcPr>
          <w:p w14:paraId="269CAC9D" w14:textId="6A170014" w:rsidR="005C57AD" w:rsidRPr="008C14F9" w:rsidRDefault="005C57AD">
            <w:pPr>
              <w:spacing w:before="20" w:after="20"/>
              <w:rPr>
                <w:b w:val="0"/>
                <w:bCs w:val="0"/>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 xml:space="preserve">Si palë kontraktuese e Komunitetit të Energjisë, si dhe palë nënshkruese e Deklaratës së Sofjes për Agjendën e Gjelbër për Ballkanin Perëndimor, Kosova të shqyrtojë zbatimin e mekanizmit të çmimit të karbonit si dhe efektin e mekanizmit të CBAM-it në ekonomi. Komponentët themelorë për funksionimin efektiv të ETS-së përfshijnë transpozimin e rregullores së BE-së në lidhje me monitorimin, raportimin, akreditimin dhe verifikimin e emetimeve të GS-ve, si dhe krijimin e infrastrukturës institucionale dhe teknike dhe një sistemi të qeverisjes. </w:t>
            </w:r>
          </w:p>
          <w:p w14:paraId="6396D72E" w14:textId="1F7F4209" w:rsidR="005C57AD" w:rsidRPr="008C14F9" w:rsidRDefault="0014300C">
            <w:pPr>
              <w:spacing w:before="20" w:after="20"/>
              <w:rPr>
                <w:color w:val="FFFFFF" w:themeColor="background1"/>
                <w:sz w:val="18"/>
                <w:szCs w:val="18"/>
              </w:rPr>
            </w:pPr>
            <w:r>
              <w:rPr>
                <w:b w:val="0"/>
                <w:color w:val="FFFFFF" w:themeColor="background1"/>
                <w:sz w:val="18"/>
              </w:rPr>
              <w:t>Për këtë qëllim, është kryer një studim që analizon ndikimet e CBAM-it, si dhe çmimin e ardhshëm vendor të karbonit në ekonominë e Kosovës.  Rezultatet e studimit shërbejnë si bazë për vendimmarrje dhe negociata me BE-në lidhur me zbatimin e mekanizmit të çmimit të karbonit përmes fuqizimit të barabartë.</w:t>
            </w:r>
          </w:p>
        </w:tc>
      </w:tr>
      <w:tr w:rsidR="005C57AD" w:rsidRPr="008C14F9" w14:paraId="359CD188" w14:textId="77777777" w:rsidTr="7A23FCD7">
        <w:tc>
          <w:tcPr>
            <w:cnfStyle w:val="001000000000" w:firstRow="0" w:lastRow="0" w:firstColumn="1" w:lastColumn="0" w:oddVBand="0" w:evenVBand="0" w:oddHBand="0" w:evenHBand="0" w:firstRowFirstColumn="0" w:firstRowLastColumn="0" w:lastRowFirstColumn="0" w:lastRowLastColumn="0"/>
            <w:tcW w:w="2425" w:type="dxa"/>
          </w:tcPr>
          <w:p w14:paraId="5691E90F" w14:textId="77777777" w:rsidR="005C57AD" w:rsidRPr="008C14F9" w:rsidRDefault="005C57AD">
            <w:pPr>
              <w:spacing w:before="20" w:after="20"/>
              <w:jc w:val="left"/>
              <w:rPr>
                <w:color w:val="FFFFFF" w:themeColor="background1"/>
                <w:sz w:val="18"/>
                <w:szCs w:val="18"/>
              </w:rPr>
            </w:pPr>
            <w:r>
              <w:rPr>
                <w:color w:val="FFFFFF" w:themeColor="background1"/>
                <w:sz w:val="18"/>
              </w:rPr>
              <w:t>Sektori/lloji</w:t>
            </w:r>
          </w:p>
        </w:tc>
        <w:tc>
          <w:tcPr>
            <w:tcW w:w="7139" w:type="dxa"/>
          </w:tcPr>
          <w:p w14:paraId="36A6BC91" w14:textId="77777777" w:rsidR="005C57AD" w:rsidRPr="008C14F9" w:rsidRDefault="005C57AD">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rPr>
              <w:t>Energjik, industria/legjislativ, rregullator</w:t>
            </w:r>
          </w:p>
        </w:tc>
      </w:tr>
      <w:tr w:rsidR="005C57AD" w:rsidRPr="008C14F9" w14:paraId="1AD215A1" w14:textId="77777777" w:rsidTr="7A23F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5C1F137D" w14:textId="77777777" w:rsidR="005C57AD" w:rsidRPr="008C14F9" w:rsidRDefault="005C57AD">
            <w:pPr>
              <w:spacing w:before="20" w:after="20"/>
              <w:jc w:val="left"/>
              <w:rPr>
                <w:color w:val="FFFFFF" w:themeColor="background1"/>
                <w:sz w:val="18"/>
                <w:szCs w:val="18"/>
              </w:rPr>
            </w:pPr>
            <w:r>
              <w:rPr>
                <w:color w:val="FFFFFF" w:themeColor="background1"/>
                <w:sz w:val="18"/>
              </w:rPr>
              <w:t>Statusi i implementimit</w:t>
            </w:r>
          </w:p>
        </w:tc>
        <w:tc>
          <w:tcPr>
            <w:tcW w:w="7139" w:type="dxa"/>
          </w:tcPr>
          <w:p w14:paraId="2F3B8E62" w14:textId="01B18531" w:rsidR="005C57AD" w:rsidRPr="008C14F9" w:rsidRDefault="003E25BC">
            <w:pPr>
              <w:spacing w:before="20" w:after="20"/>
              <w:cnfStyle w:val="000000100000" w:firstRow="0" w:lastRow="0" w:firstColumn="0" w:lastColumn="0" w:oddVBand="0" w:evenVBand="0" w:oddHBand="1" w:evenHBand="0" w:firstRowFirstColumn="0" w:firstRowLastColumn="0" w:lastRowFirstColumn="0" w:lastRowLastColumn="0"/>
              <w:rPr>
                <w:sz w:val="18"/>
                <w:szCs w:val="18"/>
              </w:rPr>
            </w:pPr>
            <w:r>
              <w:rPr>
                <w:sz w:val="18"/>
              </w:rPr>
              <w:t>Një nga këto aktivitete tashmë ka filluar përmes një studimi të CBAM-it që është duke u zhvilluar nga një Grup Punues ndërqeveritar së bashku me Fondin Monetar Ndërkombëtar (FMN). Versioni përfundimtar i studimit është në dispozicion në faqen e internetit të MMPHI-së.</w:t>
            </w:r>
          </w:p>
        </w:tc>
      </w:tr>
      <w:tr w:rsidR="005C57AD" w:rsidRPr="008C14F9" w14:paraId="0AEE1640" w14:textId="77777777" w:rsidTr="7A23FCD7">
        <w:tc>
          <w:tcPr>
            <w:cnfStyle w:val="001000000000" w:firstRow="0" w:lastRow="0" w:firstColumn="1" w:lastColumn="0" w:oddVBand="0" w:evenVBand="0" w:oddHBand="0" w:evenHBand="0" w:firstRowFirstColumn="0" w:firstRowLastColumn="0" w:lastRowFirstColumn="0" w:lastRowLastColumn="0"/>
            <w:tcW w:w="2425" w:type="dxa"/>
          </w:tcPr>
          <w:p w14:paraId="089474AB" w14:textId="77777777" w:rsidR="005C57AD" w:rsidRPr="008C14F9" w:rsidRDefault="005C57AD">
            <w:pPr>
              <w:spacing w:before="20" w:after="20"/>
              <w:jc w:val="left"/>
              <w:rPr>
                <w:color w:val="FFFFFF" w:themeColor="background1"/>
                <w:sz w:val="18"/>
                <w:szCs w:val="18"/>
              </w:rPr>
            </w:pPr>
            <w:r>
              <w:rPr>
                <w:color w:val="FFFFFF" w:themeColor="background1"/>
                <w:sz w:val="18"/>
              </w:rPr>
              <w:t>Efektet kuantitative</w:t>
            </w:r>
          </w:p>
        </w:tc>
        <w:tc>
          <w:tcPr>
            <w:tcW w:w="7139" w:type="dxa"/>
          </w:tcPr>
          <w:p w14:paraId="424C79EB" w14:textId="0DF1821E" w:rsidR="005C57AD" w:rsidRPr="008C14F9" w:rsidRDefault="005C57AD">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rPr>
              <w:t>n/a</w:t>
            </w:r>
          </w:p>
        </w:tc>
      </w:tr>
      <w:tr w:rsidR="005C57AD" w:rsidRPr="008C14F9" w14:paraId="69FA961F" w14:textId="77777777" w:rsidTr="7A23F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6AD83B9C" w14:textId="77777777" w:rsidR="005C57AD" w:rsidRPr="008C14F9" w:rsidRDefault="005C57AD">
            <w:pPr>
              <w:spacing w:before="20" w:after="20"/>
              <w:jc w:val="left"/>
              <w:rPr>
                <w:color w:val="FFFFFF" w:themeColor="background1"/>
                <w:sz w:val="18"/>
                <w:szCs w:val="18"/>
              </w:rPr>
            </w:pPr>
            <w:r>
              <w:rPr>
                <w:color w:val="FFFFFF" w:themeColor="background1"/>
                <w:sz w:val="18"/>
              </w:rPr>
              <w:t>Investimet</w:t>
            </w:r>
          </w:p>
        </w:tc>
        <w:tc>
          <w:tcPr>
            <w:tcW w:w="7139" w:type="dxa"/>
          </w:tcPr>
          <w:p w14:paraId="0473CFE1" w14:textId="77777777" w:rsidR="005C57AD" w:rsidRPr="008C14F9" w:rsidRDefault="005C57AD">
            <w:pPr>
              <w:spacing w:before="20" w:after="20"/>
              <w:cnfStyle w:val="000000100000" w:firstRow="0" w:lastRow="0" w:firstColumn="0" w:lastColumn="0" w:oddVBand="0" w:evenVBand="0" w:oddHBand="1" w:evenHBand="0" w:firstRowFirstColumn="0" w:firstRowLastColumn="0" w:lastRowFirstColumn="0" w:lastRowLastColumn="0"/>
              <w:rPr>
                <w:sz w:val="18"/>
                <w:szCs w:val="18"/>
              </w:rPr>
            </w:pPr>
            <w:r>
              <w:rPr>
                <w:sz w:val="18"/>
              </w:rPr>
              <w:t>n/a</w:t>
            </w:r>
          </w:p>
        </w:tc>
      </w:tr>
      <w:tr w:rsidR="005C57AD" w:rsidRPr="000A65E6" w14:paraId="4AD074C6" w14:textId="77777777" w:rsidTr="7A23FCD7">
        <w:tc>
          <w:tcPr>
            <w:cnfStyle w:val="001000000000" w:firstRow="0" w:lastRow="0" w:firstColumn="1" w:lastColumn="0" w:oddVBand="0" w:evenVBand="0" w:oddHBand="0" w:evenHBand="0" w:firstRowFirstColumn="0" w:firstRowLastColumn="0" w:lastRowFirstColumn="0" w:lastRowLastColumn="0"/>
            <w:tcW w:w="2425" w:type="dxa"/>
          </w:tcPr>
          <w:p w14:paraId="4D5E039E" w14:textId="77777777" w:rsidR="005C57AD" w:rsidRPr="008C14F9" w:rsidRDefault="005C57AD">
            <w:pPr>
              <w:spacing w:before="20" w:after="20"/>
              <w:jc w:val="left"/>
              <w:rPr>
                <w:color w:val="FFFFFF" w:themeColor="background1"/>
                <w:sz w:val="18"/>
                <w:szCs w:val="18"/>
              </w:rPr>
            </w:pPr>
            <w:r>
              <w:rPr>
                <w:color w:val="FFFFFF" w:themeColor="background1"/>
                <w:sz w:val="18"/>
              </w:rPr>
              <w:t>Institucioni përgjegjës</w:t>
            </w:r>
          </w:p>
        </w:tc>
        <w:tc>
          <w:tcPr>
            <w:tcW w:w="7139" w:type="dxa"/>
          </w:tcPr>
          <w:p w14:paraId="2ABDB4DE" w14:textId="18A6EB52" w:rsidR="005C57AD" w:rsidRPr="008C14F9" w:rsidRDefault="0014300C">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rPr>
              <w:t>MMPHI, ME, MF, KEK, KOST, ZRRE</w:t>
            </w:r>
          </w:p>
        </w:tc>
      </w:tr>
      <w:tr w:rsidR="005C57AD" w:rsidRPr="008C14F9" w14:paraId="3FAB1AF0" w14:textId="77777777" w:rsidTr="7A23F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3A1CBEC0" w14:textId="77777777" w:rsidR="005C57AD" w:rsidRPr="008C14F9" w:rsidRDefault="005C57AD">
            <w:pPr>
              <w:spacing w:before="20" w:after="20"/>
              <w:jc w:val="left"/>
              <w:rPr>
                <w:color w:val="FFFFFF" w:themeColor="background1"/>
                <w:sz w:val="18"/>
                <w:szCs w:val="18"/>
              </w:rPr>
            </w:pPr>
            <w:r>
              <w:rPr>
                <w:color w:val="FFFFFF" w:themeColor="background1"/>
                <w:sz w:val="18"/>
              </w:rPr>
              <w:t>Treguesit e progresit</w:t>
            </w:r>
          </w:p>
        </w:tc>
        <w:tc>
          <w:tcPr>
            <w:tcW w:w="7139" w:type="dxa"/>
          </w:tcPr>
          <w:p w14:paraId="7BCE9806" w14:textId="6A86CADC" w:rsidR="005C57AD" w:rsidRPr="008C14F9" w:rsidRDefault="005C57AD">
            <w:pPr>
              <w:keepNext/>
              <w:spacing w:before="20" w:after="20"/>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Studimi që analizon ndikimin e CBAM-it i zhvilluar deri në fund të vitit 2024 </w:t>
            </w:r>
          </w:p>
        </w:tc>
      </w:tr>
      <w:tr w:rsidR="005C57AD" w:rsidRPr="00976D33" w14:paraId="3D976414" w14:textId="77777777" w:rsidTr="7A23FCD7">
        <w:tc>
          <w:tcPr>
            <w:cnfStyle w:val="001000000000" w:firstRow="0" w:lastRow="0" w:firstColumn="1" w:lastColumn="0" w:oddVBand="0" w:evenVBand="0" w:oddHBand="0" w:evenHBand="0" w:firstRowFirstColumn="0" w:firstRowLastColumn="0" w:lastRowFirstColumn="0" w:lastRowLastColumn="0"/>
            <w:tcW w:w="2425" w:type="dxa"/>
          </w:tcPr>
          <w:p w14:paraId="22352D4D" w14:textId="462D73E2" w:rsidR="005C57AD" w:rsidRPr="008C14F9" w:rsidRDefault="005C57AD">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39" w:type="dxa"/>
          </w:tcPr>
          <w:p w14:paraId="6D179AB8" w14:textId="77777777" w:rsidR="005C57AD" w:rsidRPr="00976D33" w:rsidRDefault="005C57AD">
            <w:pPr>
              <w:keepNext/>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Hulumtimi, inovacioni dhe konkurrueshmëria </w:t>
            </w:r>
          </w:p>
        </w:tc>
      </w:tr>
    </w:tbl>
    <w:p w14:paraId="73E72802" w14:textId="77777777" w:rsidR="005C57AD" w:rsidRPr="00976D33" w:rsidRDefault="005C57AD" w:rsidP="005C57AD"/>
    <w:tbl>
      <w:tblPr>
        <w:tblStyle w:val="GridTable5Dark-Accent1"/>
        <w:tblW w:w="0" w:type="auto"/>
        <w:tblLook w:val="04A0" w:firstRow="1" w:lastRow="0" w:firstColumn="1" w:lastColumn="0" w:noHBand="0" w:noVBand="1"/>
      </w:tblPr>
      <w:tblGrid>
        <w:gridCol w:w="2425"/>
        <w:gridCol w:w="7139"/>
      </w:tblGrid>
      <w:tr w:rsidR="005C57AD" w:rsidRPr="008C14F9" w14:paraId="6614C5A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tcPr>
          <w:p w14:paraId="05F6BF47" w14:textId="4C503AF1" w:rsidR="005C57AD" w:rsidRPr="008C14F9" w:rsidRDefault="005C57AD">
            <w:pPr>
              <w:spacing w:before="20" w:after="20"/>
              <w:rPr>
                <w:color w:val="FFFFFF" w:themeColor="background1"/>
                <w:sz w:val="18"/>
                <w:szCs w:val="18"/>
              </w:rPr>
            </w:pPr>
            <w:bookmarkStart w:id="161" w:name="_Toc138210143"/>
            <w:bookmarkStart w:id="162" w:name="_Toc138998444"/>
            <w:r>
              <w:rPr>
                <w:color w:val="FFFFFF" w:themeColor="background1"/>
                <w:sz w:val="18"/>
              </w:rPr>
              <w:t xml:space="preserve">PM </w:t>
            </w:r>
            <w:r w:rsidRPr="008C14F9">
              <w:rPr>
                <w:color w:val="FFFFFF" w:themeColor="background1"/>
                <w:sz w:val="18"/>
              </w:rPr>
              <w:fldChar w:fldCharType="begin"/>
            </w:r>
            <w:r w:rsidRPr="008C14F9">
              <w:rPr>
                <w:color w:val="FFFFFF" w:themeColor="background1"/>
                <w:sz w:val="18"/>
              </w:rPr>
              <w:instrText xml:space="preserve"> SEQ PAM \* ARABIC </w:instrText>
            </w:r>
            <w:r w:rsidRPr="008C14F9">
              <w:rPr>
                <w:color w:val="FFFFFF" w:themeColor="background1"/>
                <w:sz w:val="18"/>
              </w:rPr>
              <w:fldChar w:fldCharType="separate"/>
            </w:r>
            <w:r w:rsidR="003B7FFA">
              <w:rPr>
                <w:noProof/>
                <w:color w:val="FFFFFF" w:themeColor="background1"/>
                <w:sz w:val="18"/>
              </w:rPr>
              <w:t>2</w:t>
            </w:r>
            <w:r w:rsidRPr="008C14F9">
              <w:rPr>
                <w:color w:val="FFFFFF" w:themeColor="background1"/>
                <w:sz w:val="18"/>
              </w:rPr>
              <w:fldChar w:fldCharType="end"/>
            </w:r>
            <w:r>
              <w:rPr>
                <w:color w:val="FFFFFF" w:themeColor="background1"/>
                <w:sz w:val="18"/>
              </w:rPr>
              <w:t>:</w:t>
            </w:r>
            <w:r>
              <w:t xml:space="preserve"> </w:t>
            </w:r>
            <w:r>
              <w:rPr>
                <w:color w:val="FFFFFF" w:themeColor="background1"/>
                <w:sz w:val="18"/>
              </w:rPr>
              <w:t>Largimi nga funksioni i një njësie të TC Kosova A</w:t>
            </w:r>
            <w:bookmarkEnd w:id="161"/>
            <w:bookmarkEnd w:id="162"/>
          </w:p>
        </w:tc>
      </w:tr>
      <w:tr w:rsidR="005C57AD" w:rsidRPr="008C14F9" w14:paraId="3E4965C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tcPr>
          <w:p w14:paraId="45EFA715" w14:textId="2D3C9FCF" w:rsidR="005C57AD" w:rsidRPr="008C14F9" w:rsidRDefault="005C57AD">
            <w:pPr>
              <w:spacing w:before="20" w:after="20"/>
              <w:rPr>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Strategjia e Energjisë 2022-2031 parasheh heqjen graduale nga funksioni të një ose dy njësive të termocentralit të me thëngjill Kosova A, me objektiv dekarbonizimin dhe promovimin e energjisë së ripërtëritshme. Kjo masë konsideron se një nga njësitë e Kosovës A, me kapacitet të instaluar neto prej 116 MW, do të mbyllet përgjithmonë pasi të ketë përfunduar rinovimi i njësisë tjetër të linjitit në TC Kosova A.</w:t>
            </w:r>
          </w:p>
          <w:p w14:paraId="15E99D6F" w14:textId="5C2B91F8" w:rsidR="005C57AD" w:rsidRPr="008C14F9" w:rsidRDefault="00BF6BB3">
            <w:pPr>
              <w:spacing w:before="20" w:after="20"/>
              <w:rPr>
                <w:b w:val="0"/>
                <w:bCs w:val="0"/>
                <w:color w:val="FFFFFF" w:themeColor="background1"/>
                <w:sz w:val="18"/>
                <w:szCs w:val="18"/>
              </w:rPr>
            </w:pPr>
            <w:r>
              <w:rPr>
                <w:b w:val="0"/>
                <w:color w:val="FFFFFF" w:themeColor="background1"/>
                <w:sz w:val="18"/>
              </w:rPr>
              <w:t xml:space="preserve">Implementimi i kësaj mase dhe afati kohor është i lidhur drejtpërdrejt me </w:t>
            </w:r>
            <w:r w:rsidRPr="008C14F9">
              <w:rPr>
                <w:color w:val="FFFFFF" w:themeColor="background1"/>
                <w:sz w:val="18"/>
              </w:rPr>
              <w:fldChar w:fldCharType="begin"/>
            </w:r>
            <w:r w:rsidRPr="008C14F9">
              <w:rPr>
                <w:b w:val="0"/>
                <w:color w:val="FFFFFF" w:themeColor="background1"/>
                <w:sz w:val="18"/>
              </w:rPr>
              <w:instrText xml:space="preserve"> REF _Ref164838767 \h  \* MERGEFORMAT </w:instrText>
            </w:r>
            <w:r w:rsidRPr="008C14F9">
              <w:rPr>
                <w:color w:val="FFFFFF" w:themeColor="background1"/>
                <w:sz w:val="18"/>
              </w:rPr>
            </w:r>
            <w:r w:rsidRPr="008C14F9">
              <w:rPr>
                <w:color w:val="FFFFFF" w:themeColor="background1"/>
                <w:sz w:val="18"/>
              </w:rPr>
              <w:fldChar w:fldCharType="separate"/>
            </w:r>
            <w:r w:rsidR="003B7FFA">
              <w:rPr>
                <w:color w:val="FFFFFF" w:themeColor="background1"/>
                <w:sz w:val="18"/>
              </w:rPr>
              <w:t>PM</w:t>
            </w:r>
            <w:r w:rsidRPr="008C14F9">
              <w:rPr>
                <w:color w:val="FFFFFF" w:themeColor="background1"/>
                <w:sz w:val="18"/>
              </w:rPr>
              <w:fldChar w:fldCharType="end"/>
            </w:r>
            <w:r>
              <w:rPr>
                <w:b w:val="0"/>
                <w:color w:val="FFFFFF" w:themeColor="background1"/>
                <w:sz w:val="18"/>
              </w:rPr>
              <w:t xml:space="preserve"> 48</w:t>
            </w:r>
            <w:r>
              <w:rPr>
                <w:b w:val="0"/>
              </w:rPr>
              <w:t>.</w:t>
            </w:r>
            <w:r>
              <w:rPr>
                <w:b w:val="0"/>
                <w:color w:val="FFFFFF" w:themeColor="background1"/>
                <w:sz w:val="18"/>
              </w:rPr>
              <w:t xml:space="preserve"> Mbyllja e njësisë së TC Kosova A dhe kalimi në energji të ripërtëritshme do të sjellë përfitime të mëdha për shëndetin dhe mjedisin e komunitetit lokal. Megjithatë, ky tranzicion mund të rezultojë në humbje të vendeve të punës, veçanërisht duke prekur punëtorët meshkuj dhe mund të rrisë vështirësitë ekonomike në zonat e prekura, pasi vendet e reja të punës për energjinë e ripërtëritshme mund të mos ndodhen në të njëjtat rajone. Për më tepër, komunitetet mund të përballen me sfida specifike, siç janë papunësia, duke nënvizuar domosdoshmërinë për politika gjithëpërfshirëse dhe programe të trajnimit profesional të financuara në mënyrë adekuate që do të zhvillohen për të mbështetur këtë tranzicion.</w:t>
            </w:r>
          </w:p>
        </w:tc>
      </w:tr>
      <w:tr w:rsidR="005C57AD" w:rsidRPr="008C14F9" w14:paraId="515C6076" w14:textId="77777777">
        <w:tc>
          <w:tcPr>
            <w:cnfStyle w:val="001000000000" w:firstRow="0" w:lastRow="0" w:firstColumn="1" w:lastColumn="0" w:oddVBand="0" w:evenVBand="0" w:oddHBand="0" w:evenHBand="0" w:firstRowFirstColumn="0" w:firstRowLastColumn="0" w:lastRowFirstColumn="0" w:lastRowLastColumn="0"/>
            <w:tcW w:w="2425" w:type="dxa"/>
          </w:tcPr>
          <w:p w14:paraId="20D2041F" w14:textId="77777777" w:rsidR="005C57AD" w:rsidRPr="008C14F9" w:rsidRDefault="005C57AD">
            <w:pPr>
              <w:spacing w:before="20" w:after="20"/>
              <w:jc w:val="left"/>
              <w:rPr>
                <w:color w:val="FFFFFF" w:themeColor="background1"/>
                <w:sz w:val="18"/>
                <w:szCs w:val="18"/>
              </w:rPr>
            </w:pPr>
            <w:r>
              <w:rPr>
                <w:color w:val="FFFFFF" w:themeColor="background1"/>
                <w:sz w:val="18"/>
              </w:rPr>
              <w:lastRenderedPageBreak/>
              <w:t>Sektori/lloji</w:t>
            </w:r>
          </w:p>
        </w:tc>
        <w:tc>
          <w:tcPr>
            <w:tcW w:w="7139" w:type="dxa"/>
          </w:tcPr>
          <w:p w14:paraId="33F4CCAA" w14:textId="77777777" w:rsidR="005C57AD" w:rsidRPr="008C14F9" w:rsidRDefault="005C57AD">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rPr>
              <w:t>Teknik</w:t>
            </w:r>
          </w:p>
        </w:tc>
      </w:tr>
      <w:tr w:rsidR="005C57AD" w:rsidRPr="008C14F9" w14:paraId="310EA8A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5FED6C60" w14:textId="77777777" w:rsidR="005C57AD" w:rsidRPr="008C14F9" w:rsidRDefault="005C57AD">
            <w:pPr>
              <w:spacing w:before="20" w:after="20"/>
              <w:jc w:val="left"/>
              <w:rPr>
                <w:color w:val="FFFFFF" w:themeColor="background1"/>
                <w:sz w:val="18"/>
                <w:szCs w:val="18"/>
              </w:rPr>
            </w:pPr>
            <w:r>
              <w:rPr>
                <w:color w:val="FFFFFF" w:themeColor="background1"/>
                <w:sz w:val="18"/>
              </w:rPr>
              <w:t>Statusi i implementimit</w:t>
            </w:r>
          </w:p>
        </w:tc>
        <w:tc>
          <w:tcPr>
            <w:tcW w:w="7139" w:type="dxa"/>
          </w:tcPr>
          <w:p w14:paraId="32639317" w14:textId="77777777" w:rsidR="005C57AD" w:rsidRPr="008C14F9" w:rsidRDefault="005C57AD">
            <w:pPr>
              <w:spacing w:before="20" w:after="20"/>
              <w:cnfStyle w:val="000000100000" w:firstRow="0" w:lastRow="0" w:firstColumn="0" w:lastColumn="0" w:oddVBand="0" w:evenVBand="0" w:oddHBand="1" w:evenHBand="0" w:firstRowFirstColumn="0" w:firstRowLastColumn="0" w:lastRowFirstColumn="0" w:lastRowLastColumn="0"/>
              <w:rPr>
                <w:sz w:val="18"/>
                <w:szCs w:val="18"/>
              </w:rPr>
            </w:pPr>
            <w:r>
              <w:rPr>
                <w:sz w:val="18"/>
              </w:rPr>
              <w:t>Planifikuar</w:t>
            </w:r>
          </w:p>
        </w:tc>
      </w:tr>
      <w:tr w:rsidR="005C57AD" w:rsidRPr="008C14F9" w14:paraId="00A39EFE" w14:textId="77777777">
        <w:tc>
          <w:tcPr>
            <w:cnfStyle w:val="001000000000" w:firstRow="0" w:lastRow="0" w:firstColumn="1" w:lastColumn="0" w:oddVBand="0" w:evenVBand="0" w:oddHBand="0" w:evenHBand="0" w:firstRowFirstColumn="0" w:firstRowLastColumn="0" w:lastRowFirstColumn="0" w:lastRowLastColumn="0"/>
            <w:tcW w:w="2425" w:type="dxa"/>
          </w:tcPr>
          <w:p w14:paraId="1A680913" w14:textId="77777777" w:rsidR="005C57AD" w:rsidRPr="008C14F9" w:rsidRDefault="005C57AD">
            <w:pPr>
              <w:spacing w:before="20" w:after="20"/>
              <w:jc w:val="left"/>
              <w:rPr>
                <w:color w:val="FFFFFF" w:themeColor="background1"/>
                <w:sz w:val="18"/>
                <w:szCs w:val="18"/>
              </w:rPr>
            </w:pPr>
            <w:r>
              <w:rPr>
                <w:color w:val="FFFFFF" w:themeColor="background1"/>
                <w:sz w:val="18"/>
              </w:rPr>
              <w:t>Efektet kuantitative</w:t>
            </w:r>
          </w:p>
        </w:tc>
        <w:tc>
          <w:tcPr>
            <w:tcW w:w="7139" w:type="dxa"/>
          </w:tcPr>
          <w:p w14:paraId="2430D68D" w14:textId="55A8CF88" w:rsidR="005C57AD" w:rsidRPr="008C14F9" w:rsidRDefault="005C57AD">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rPr>
              <w:t>116 MW më pak kapacitet linjit</w:t>
            </w:r>
          </w:p>
        </w:tc>
      </w:tr>
      <w:tr w:rsidR="005C57AD" w:rsidRPr="008C14F9" w14:paraId="0E675DD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2017197E" w14:textId="77777777" w:rsidR="005C57AD" w:rsidRPr="008C14F9" w:rsidRDefault="005C57AD">
            <w:pPr>
              <w:spacing w:before="20" w:after="20"/>
              <w:jc w:val="left"/>
              <w:rPr>
                <w:color w:val="FFFFFF" w:themeColor="background1"/>
                <w:sz w:val="18"/>
                <w:szCs w:val="18"/>
              </w:rPr>
            </w:pPr>
            <w:r>
              <w:rPr>
                <w:color w:val="FFFFFF" w:themeColor="background1"/>
                <w:sz w:val="18"/>
              </w:rPr>
              <w:t>Investimet</w:t>
            </w:r>
          </w:p>
        </w:tc>
        <w:tc>
          <w:tcPr>
            <w:tcW w:w="7139" w:type="dxa"/>
          </w:tcPr>
          <w:p w14:paraId="3139B87D" w14:textId="77777777" w:rsidR="005C57AD" w:rsidRPr="008C14F9" w:rsidRDefault="005C57AD">
            <w:pPr>
              <w:spacing w:before="20" w:after="20"/>
              <w:cnfStyle w:val="000000100000" w:firstRow="0" w:lastRow="0" w:firstColumn="0" w:lastColumn="0" w:oddVBand="0" w:evenVBand="0" w:oddHBand="1" w:evenHBand="0" w:firstRowFirstColumn="0" w:firstRowLastColumn="0" w:lastRowFirstColumn="0" w:lastRowLastColumn="0"/>
              <w:rPr>
                <w:sz w:val="18"/>
                <w:szCs w:val="18"/>
              </w:rPr>
            </w:pPr>
            <w:r>
              <w:rPr>
                <w:sz w:val="18"/>
              </w:rPr>
              <w:t>n/a</w:t>
            </w:r>
          </w:p>
        </w:tc>
      </w:tr>
      <w:tr w:rsidR="005C57AD" w:rsidRPr="008C14F9" w14:paraId="1189FC2F" w14:textId="77777777">
        <w:tc>
          <w:tcPr>
            <w:cnfStyle w:val="001000000000" w:firstRow="0" w:lastRow="0" w:firstColumn="1" w:lastColumn="0" w:oddVBand="0" w:evenVBand="0" w:oddHBand="0" w:evenHBand="0" w:firstRowFirstColumn="0" w:firstRowLastColumn="0" w:lastRowFirstColumn="0" w:lastRowLastColumn="0"/>
            <w:tcW w:w="2425" w:type="dxa"/>
          </w:tcPr>
          <w:p w14:paraId="2E884C80" w14:textId="77777777" w:rsidR="005C57AD" w:rsidRPr="008C14F9" w:rsidRDefault="005C57AD">
            <w:pPr>
              <w:spacing w:before="20" w:after="20"/>
              <w:jc w:val="left"/>
              <w:rPr>
                <w:color w:val="FFFFFF" w:themeColor="background1"/>
                <w:sz w:val="18"/>
                <w:szCs w:val="18"/>
              </w:rPr>
            </w:pPr>
            <w:r>
              <w:rPr>
                <w:color w:val="FFFFFF" w:themeColor="background1"/>
                <w:sz w:val="18"/>
              </w:rPr>
              <w:t>Institucioni përgjegjës</w:t>
            </w:r>
          </w:p>
        </w:tc>
        <w:tc>
          <w:tcPr>
            <w:tcW w:w="7139" w:type="dxa"/>
          </w:tcPr>
          <w:p w14:paraId="3DEB9398" w14:textId="77777777" w:rsidR="005C57AD" w:rsidRPr="008C14F9" w:rsidRDefault="005C57AD">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rPr>
              <w:t>ME, KEK</w:t>
            </w:r>
          </w:p>
        </w:tc>
      </w:tr>
      <w:tr w:rsidR="005C57AD" w:rsidRPr="008C14F9" w14:paraId="48EBA8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759C5DA7" w14:textId="77777777" w:rsidR="005C57AD" w:rsidRPr="008C14F9" w:rsidRDefault="005C57AD">
            <w:pPr>
              <w:spacing w:before="20" w:after="20"/>
              <w:jc w:val="left"/>
              <w:rPr>
                <w:color w:val="FFFFFF" w:themeColor="background1"/>
                <w:sz w:val="18"/>
                <w:szCs w:val="18"/>
              </w:rPr>
            </w:pPr>
            <w:r>
              <w:rPr>
                <w:color w:val="FFFFFF" w:themeColor="background1"/>
                <w:sz w:val="18"/>
              </w:rPr>
              <w:t>Treguesit e progresit</w:t>
            </w:r>
          </w:p>
        </w:tc>
        <w:tc>
          <w:tcPr>
            <w:tcW w:w="7139" w:type="dxa"/>
          </w:tcPr>
          <w:p w14:paraId="0AC1D3EC" w14:textId="1975A030" w:rsidR="005C57AD" w:rsidRPr="008C14F9" w:rsidRDefault="005C57AD">
            <w:pPr>
              <w:keepNext/>
              <w:spacing w:before="20" w:after="20"/>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 Një njësi e TC Kosova A mbyllet përgjithmonë</w:t>
            </w:r>
          </w:p>
        </w:tc>
      </w:tr>
      <w:tr w:rsidR="005C57AD" w:rsidRPr="00976D33" w14:paraId="1FCB7AE3" w14:textId="77777777">
        <w:tc>
          <w:tcPr>
            <w:cnfStyle w:val="001000000000" w:firstRow="0" w:lastRow="0" w:firstColumn="1" w:lastColumn="0" w:oddVBand="0" w:evenVBand="0" w:oddHBand="0" w:evenHBand="0" w:firstRowFirstColumn="0" w:firstRowLastColumn="0" w:lastRowFirstColumn="0" w:lastRowLastColumn="0"/>
            <w:tcW w:w="2425" w:type="dxa"/>
          </w:tcPr>
          <w:p w14:paraId="13B69BEF" w14:textId="5F2EB21E" w:rsidR="005C57AD" w:rsidRPr="008C14F9" w:rsidRDefault="005C57AD">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39" w:type="dxa"/>
          </w:tcPr>
          <w:p w14:paraId="5F88D7CB" w14:textId="508F0031" w:rsidR="005C57AD" w:rsidRPr="00976D33" w:rsidRDefault="005C57AD">
            <w:pPr>
              <w:keepNext/>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Siguria energjetike </w:t>
            </w:r>
          </w:p>
        </w:tc>
      </w:tr>
    </w:tbl>
    <w:p w14:paraId="27BC4409" w14:textId="77777777" w:rsidR="005C57AD" w:rsidRPr="00976D33" w:rsidRDefault="005C57AD" w:rsidP="005C57AD"/>
    <w:tbl>
      <w:tblPr>
        <w:tblStyle w:val="GridTable5Dark-Accent1"/>
        <w:tblW w:w="0" w:type="auto"/>
        <w:tblLook w:val="04A0" w:firstRow="1" w:lastRow="0" w:firstColumn="1" w:lastColumn="0" w:noHBand="0" w:noVBand="1"/>
      </w:tblPr>
      <w:tblGrid>
        <w:gridCol w:w="2425"/>
        <w:gridCol w:w="7139"/>
      </w:tblGrid>
      <w:tr w:rsidR="00905112" w:rsidRPr="008C14F9" w14:paraId="72F73B4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tcPr>
          <w:p w14:paraId="21CA8FB1" w14:textId="2A5D1ED1" w:rsidR="00905112" w:rsidRPr="008C14F9" w:rsidRDefault="00905112">
            <w:pPr>
              <w:spacing w:before="20" w:after="20"/>
              <w:rPr>
                <w:color w:val="FFFFFF" w:themeColor="background1"/>
                <w:sz w:val="18"/>
                <w:szCs w:val="18"/>
              </w:rPr>
            </w:pPr>
            <w:bookmarkStart w:id="163" w:name="_Toc138210144"/>
            <w:bookmarkStart w:id="164" w:name="_Toc138998445"/>
            <w:r>
              <w:rPr>
                <w:color w:val="FFFFFF" w:themeColor="background1"/>
                <w:sz w:val="18"/>
              </w:rPr>
              <w:t>PM 3</w:t>
            </w:r>
            <w:r>
              <w:rPr>
                <w:b w:val="0"/>
                <w:color w:val="FFFFFF" w:themeColor="background1"/>
                <w:sz w:val="18"/>
              </w:rPr>
              <w:t xml:space="preserve">: </w:t>
            </w:r>
            <w:r>
              <w:rPr>
                <w:color w:val="FFFFFF" w:themeColor="background1"/>
                <w:sz w:val="18"/>
              </w:rPr>
              <w:t>Menaxhimi i kontrolluar i mbeturinave të ngurta</w:t>
            </w:r>
            <w:bookmarkEnd w:id="163"/>
            <w:bookmarkEnd w:id="164"/>
          </w:p>
        </w:tc>
      </w:tr>
      <w:tr w:rsidR="00905112" w:rsidRPr="008C14F9" w14:paraId="196723E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tcPr>
          <w:p w14:paraId="11AB46E1" w14:textId="60253FB4" w:rsidR="00905112" w:rsidRPr="008C14F9" w:rsidRDefault="00905112">
            <w:pPr>
              <w:spacing w:before="20" w:after="20"/>
              <w:rPr>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 xml:space="preserve"> Strategjia për Menaxhim të Integruar të Mbetjeve 2024-2035 dhe Plani i Veprimit 2024-2026 parashikojnë rritjen e përqindjes së mbetjeve të ngurta komunale (MNK) të grumbulluara dhe menaxhuara në objekte të kontrolluara. Qëllimi është të krijohet një rrjet i objekteve të integruara të menaxhimit të mbetjeve që do të rrisë pjesën e MNK-ve të menaxhuara në objektet e kontrolluara nga niveli bazë prej 0% (në vitin 2023) në 30% deri në vitin 2028 dhe 50% deri në vitin 2030. </w:t>
            </w:r>
            <w:r>
              <w:rPr>
                <w:color w:val="FFFFFF" w:themeColor="background1"/>
                <w:sz w:val="18"/>
              </w:rPr>
              <w:t>Kjo planifikohet të arrihet duke rritur përqindjen e popullsisë totale me qasje në shërbimet e grumbullimit të mbeturinave komunale nga 90% në vitin 2021 në 98% deri në vitin 2028 dhe në 99% deri në vitin 2030.</w:t>
            </w:r>
            <w:r>
              <w:rPr>
                <w:b w:val="0"/>
                <w:color w:val="FFFFFF" w:themeColor="background1"/>
                <w:sz w:val="18"/>
              </w:rPr>
              <w:t xml:space="preserve"> Për më tepër, synohet që pjesëmarrja e MNK-ve të depozituara nga niveli bazë prej 100% në më pak se 30% deri në vitin 2035 dhe në më pak se 10% deri në vitin 2045.</w:t>
            </w:r>
          </w:p>
          <w:p w14:paraId="72CADEE8" w14:textId="5F7C1AE1" w:rsidR="00905112" w:rsidRPr="008C14F9" w:rsidRDefault="00CD102E">
            <w:pPr>
              <w:spacing w:before="20" w:after="20"/>
              <w:rPr>
                <w:color w:val="FFFFFF" w:themeColor="background1"/>
                <w:sz w:val="18"/>
                <w:szCs w:val="18"/>
              </w:rPr>
            </w:pPr>
            <w:r>
              <w:rPr>
                <w:b w:val="0"/>
                <w:color w:val="FFFFFF" w:themeColor="background1"/>
                <w:sz w:val="18"/>
              </w:rPr>
              <w:t>Aktivitetet për menaxhimin e mbeturinave komunale janë planifikuar për pesë zona të grumbullimit: Prishtinë, Mitrovicë, Pejë, Prizren dhe Gjilan. Aktivitetet përfshijnë rritjen e shkallës së grumbullimit të mbeturinave shtëpiake, grumbullim dhe riciklim të veçantë të llojeve të ndryshme të mbeturinave, një përqindje më të lartë të trajtimit të mbeturinave të ngurta dhe një përqindje më të ulët të mbeturinave të depozituara në vendet për asgjësimin e mbeturinave të ngurta. Planifikohet që me aktivitetet e reja të menaxhimit të mbeturinave komunale, përmes trajtimit dhe grumbullimit/kompostimit të veçantë, 100% e mbeturinave totale të gjeneruara të trajtohen deri në vitin 2036 krahasuar me vlerën bazë prej 0% në vitin 2024.</w:t>
            </w:r>
          </w:p>
          <w:p w14:paraId="65BA1417" w14:textId="498A8708" w:rsidR="009E4BFE" w:rsidRPr="008C14F9" w:rsidRDefault="00C44679">
            <w:pPr>
              <w:spacing w:before="20" w:after="20"/>
              <w:rPr>
                <w:color w:val="FFFFFF" w:themeColor="background1"/>
                <w:sz w:val="18"/>
                <w:szCs w:val="18"/>
              </w:rPr>
            </w:pPr>
            <w:r>
              <w:rPr>
                <w:color w:val="FFFFFF" w:themeColor="background1"/>
                <w:sz w:val="18"/>
              </w:rPr>
              <w:t>Investimet totale të planifikuara nga viti 2024 deri në vitin 2030 për aktivitetet e planifikuara të menaxhimit të mbeturinave komunale në pesë zonat e grumbullimit janë:</w:t>
            </w:r>
          </w:p>
          <w:p w14:paraId="1D48C730" w14:textId="34809171" w:rsidR="008E5F5B" w:rsidRPr="008C14F9" w:rsidRDefault="008E5F5B" w:rsidP="008C14F9">
            <w:pPr>
              <w:pStyle w:val="ListParagraph"/>
              <w:numPr>
                <w:ilvl w:val="0"/>
                <w:numId w:val="84"/>
              </w:numPr>
              <w:spacing w:before="20" w:after="20"/>
              <w:rPr>
                <w:b w:val="0"/>
                <w:color w:val="FFFFFF" w:themeColor="background1"/>
                <w:sz w:val="18"/>
                <w:szCs w:val="18"/>
              </w:rPr>
            </w:pPr>
            <w:r>
              <w:rPr>
                <w:color w:val="FFFFFF" w:themeColor="background1"/>
                <w:sz w:val="18"/>
              </w:rPr>
              <w:t>Prishtinë:</w:t>
            </w:r>
            <w:r>
              <w:rPr>
                <w:b w:val="0"/>
                <w:color w:val="FFFFFF" w:themeColor="background1"/>
                <w:sz w:val="18"/>
              </w:rPr>
              <w:t xml:space="preserve"> 105.0 mil euro (WEM)</w:t>
            </w:r>
          </w:p>
          <w:p w14:paraId="04464B4D" w14:textId="56A922B3" w:rsidR="008E5F5B" w:rsidRPr="008C14F9" w:rsidRDefault="00A47502" w:rsidP="008C14F9">
            <w:pPr>
              <w:pStyle w:val="ListParagraph"/>
              <w:numPr>
                <w:ilvl w:val="0"/>
                <w:numId w:val="84"/>
              </w:numPr>
              <w:spacing w:before="20" w:after="20"/>
              <w:rPr>
                <w:b w:val="0"/>
                <w:color w:val="FFFFFF" w:themeColor="background1"/>
                <w:sz w:val="18"/>
                <w:szCs w:val="18"/>
              </w:rPr>
            </w:pPr>
            <w:r>
              <w:rPr>
                <w:color w:val="FFFFFF" w:themeColor="background1"/>
                <w:sz w:val="18"/>
              </w:rPr>
              <w:t>Mitrovicë:</w:t>
            </w:r>
            <w:r>
              <w:rPr>
                <w:b w:val="0"/>
                <w:color w:val="FFFFFF" w:themeColor="background1"/>
                <w:sz w:val="18"/>
              </w:rPr>
              <w:t xml:space="preserve"> 30.3 mil euro (WAM)</w:t>
            </w:r>
          </w:p>
          <w:p w14:paraId="73008F92" w14:textId="22730BFB" w:rsidR="00A47502" w:rsidRPr="008C14F9" w:rsidRDefault="00A47502" w:rsidP="008C14F9">
            <w:pPr>
              <w:pStyle w:val="ListParagraph"/>
              <w:numPr>
                <w:ilvl w:val="0"/>
                <w:numId w:val="84"/>
              </w:numPr>
              <w:spacing w:before="20" w:after="20"/>
              <w:rPr>
                <w:b w:val="0"/>
                <w:color w:val="FFFFFF" w:themeColor="background1"/>
                <w:sz w:val="18"/>
                <w:szCs w:val="18"/>
              </w:rPr>
            </w:pPr>
            <w:r>
              <w:rPr>
                <w:color w:val="FFFFFF" w:themeColor="background1"/>
                <w:sz w:val="18"/>
              </w:rPr>
              <w:t>Pejë:</w:t>
            </w:r>
            <w:r>
              <w:rPr>
                <w:b w:val="0"/>
                <w:color w:val="FFFFFF" w:themeColor="background1"/>
                <w:sz w:val="18"/>
              </w:rPr>
              <w:t xml:space="preserve"> 38.5 mil euro (WEM)</w:t>
            </w:r>
          </w:p>
          <w:p w14:paraId="4AB2AB47" w14:textId="6F52A227" w:rsidR="00A47502" w:rsidRPr="008C14F9" w:rsidRDefault="00A47502" w:rsidP="008C14F9">
            <w:pPr>
              <w:pStyle w:val="ListParagraph"/>
              <w:numPr>
                <w:ilvl w:val="0"/>
                <w:numId w:val="84"/>
              </w:numPr>
              <w:spacing w:before="20" w:after="20"/>
              <w:rPr>
                <w:b w:val="0"/>
                <w:color w:val="FFFFFF" w:themeColor="background1"/>
                <w:sz w:val="18"/>
                <w:szCs w:val="18"/>
              </w:rPr>
            </w:pPr>
            <w:r>
              <w:rPr>
                <w:color w:val="FFFFFF" w:themeColor="background1"/>
                <w:sz w:val="18"/>
              </w:rPr>
              <w:t>Prizren:</w:t>
            </w:r>
            <w:r>
              <w:rPr>
                <w:b w:val="0"/>
                <w:color w:val="FFFFFF" w:themeColor="background1"/>
                <w:sz w:val="18"/>
              </w:rPr>
              <w:t xml:space="preserve"> 95.9 mil euro (WAM)</w:t>
            </w:r>
          </w:p>
          <w:p w14:paraId="4EA7CEF4" w14:textId="770320A7" w:rsidR="00A47502" w:rsidRPr="008C14F9" w:rsidRDefault="00A47502" w:rsidP="008C14F9">
            <w:pPr>
              <w:pStyle w:val="ListParagraph"/>
              <w:numPr>
                <w:ilvl w:val="0"/>
                <w:numId w:val="84"/>
              </w:numPr>
              <w:spacing w:before="20" w:after="20"/>
              <w:rPr>
                <w:b w:val="0"/>
                <w:color w:val="FFFFFF" w:themeColor="background1"/>
                <w:sz w:val="18"/>
                <w:szCs w:val="18"/>
              </w:rPr>
            </w:pPr>
            <w:r>
              <w:rPr>
                <w:color w:val="FFFFFF" w:themeColor="background1"/>
                <w:sz w:val="18"/>
              </w:rPr>
              <w:t>Gjilan:</w:t>
            </w:r>
            <w:r>
              <w:rPr>
                <w:b w:val="0"/>
                <w:color w:val="FFFFFF" w:themeColor="background1"/>
                <w:sz w:val="18"/>
              </w:rPr>
              <w:t xml:space="preserve"> 51.1 mil euro (WAM)</w:t>
            </w:r>
          </w:p>
          <w:p w14:paraId="2FB03A10" w14:textId="77777777" w:rsidR="008E5F5B" w:rsidRPr="008C14F9" w:rsidRDefault="008E5F5B">
            <w:pPr>
              <w:spacing w:before="20" w:after="20"/>
              <w:rPr>
                <w:color w:val="auto"/>
                <w:sz w:val="18"/>
                <w:szCs w:val="18"/>
              </w:rPr>
            </w:pPr>
          </w:p>
          <w:p w14:paraId="6BD65AD2" w14:textId="77777777" w:rsidR="00905112" w:rsidRPr="008C14F9" w:rsidRDefault="00905112">
            <w:pPr>
              <w:spacing w:before="20" w:after="20"/>
              <w:rPr>
                <w:b w:val="0"/>
                <w:color w:val="FFFFFF" w:themeColor="background1"/>
                <w:sz w:val="18"/>
                <w:szCs w:val="18"/>
              </w:rPr>
            </w:pPr>
            <w:r>
              <w:rPr>
                <w:b w:val="0"/>
                <w:color w:val="FFFFFF" w:themeColor="background1"/>
                <w:sz w:val="18"/>
              </w:rPr>
              <w:t>Për të shfrytëzuar përfitimet e menaxhimit efektiv të mbeturinave të ngurta për mjedisin dhe shëndetin publik, synohet zbatimi i politikave gjithëpërfshirëse që ofrojnë mundësi të barabarta dhe mbështetje për grupet e cenueshme. Për të adresuar zhvendosjen e mbledhësve joformalë të mbeturinave, e cila mund të ndodhë si pasojë e përmirësimit të menaxhimit të mbeturinave, do të zbatohen politika edukative që synojnë mbledhësit joformalë të mbeturinave, duke ofruar mbështetje sociale, financiare dhe teknologjike, së bashku me masat tjera.</w:t>
            </w:r>
          </w:p>
        </w:tc>
      </w:tr>
      <w:tr w:rsidR="00905112" w:rsidRPr="008C14F9" w14:paraId="2848581C" w14:textId="77777777">
        <w:tc>
          <w:tcPr>
            <w:cnfStyle w:val="001000000000" w:firstRow="0" w:lastRow="0" w:firstColumn="1" w:lastColumn="0" w:oddVBand="0" w:evenVBand="0" w:oddHBand="0" w:evenHBand="0" w:firstRowFirstColumn="0" w:firstRowLastColumn="0" w:lastRowFirstColumn="0" w:lastRowLastColumn="0"/>
            <w:tcW w:w="2425" w:type="dxa"/>
          </w:tcPr>
          <w:p w14:paraId="24D900E7" w14:textId="77777777" w:rsidR="00905112" w:rsidRPr="008C14F9" w:rsidRDefault="00905112">
            <w:pPr>
              <w:spacing w:before="20" w:after="20"/>
              <w:jc w:val="left"/>
              <w:rPr>
                <w:color w:val="FFFFFF" w:themeColor="background1"/>
                <w:sz w:val="18"/>
                <w:szCs w:val="18"/>
              </w:rPr>
            </w:pPr>
            <w:r>
              <w:rPr>
                <w:color w:val="FFFFFF" w:themeColor="background1"/>
                <w:sz w:val="18"/>
              </w:rPr>
              <w:t>Sektori/lloji</w:t>
            </w:r>
          </w:p>
        </w:tc>
        <w:tc>
          <w:tcPr>
            <w:tcW w:w="7139" w:type="dxa"/>
          </w:tcPr>
          <w:p w14:paraId="3404694C" w14:textId="77777777" w:rsidR="00905112" w:rsidRPr="008C14F9" w:rsidRDefault="00905112">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rPr>
              <w:t>Mbeturina/teknik</w:t>
            </w:r>
          </w:p>
        </w:tc>
      </w:tr>
      <w:tr w:rsidR="00905112" w:rsidRPr="008C14F9" w14:paraId="6E26C3F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7A68F94B" w14:textId="77777777" w:rsidR="00905112" w:rsidRPr="008C14F9" w:rsidRDefault="00905112">
            <w:pPr>
              <w:spacing w:before="20" w:after="20"/>
              <w:jc w:val="left"/>
              <w:rPr>
                <w:color w:val="FFFFFF" w:themeColor="background1"/>
                <w:sz w:val="18"/>
                <w:szCs w:val="18"/>
              </w:rPr>
            </w:pPr>
            <w:r>
              <w:rPr>
                <w:color w:val="FFFFFF" w:themeColor="background1"/>
                <w:sz w:val="18"/>
              </w:rPr>
              <w:t>Statusi i implementimit</w:t>
            </w:r>
          </w:p>
        </w:tc>
        <w:tc>
          <w:tcPr>
            <w:tcW w:w="7139" w:type="dxa"/>
            <w:vAlign w:val="center"/>
          </w:tcPr>
          <w:p w14:paraId="2830AB42" w14:textId="45EEDA3F" w:rsidR="00905112" w:rsidRPr="008C14F9" w:rsidRDefault="001069FF">
            <w:pPr>
              <w:spacing w:before="20" w:after="20"/>
              <w:cnfStyle w:val="000000100000" w:firstRow="0" w:lastRow="0" w:firstColumn="0" w:lastColumn="0" w:oddVBand="0" w:evenVBand="0" w:oddHBand="1" w:evenHBand="0" w:firstRowFirstColumn="0" w:firstRowLastColumn="0" w:lastRowFirstColumn="0" w:lastRowLastColumn="0"/>
              <w:rPr>
                <w:sz w:val="18"/>
                <w:szCs w:val="18"/>
              </w:rPr>
            </w:pPr>
            <w:r>
              <w:rPr>
                <w:sz w:val="18"/>
              </w:rPr>
              <w:t>Aktivitetet e planifikuara për menaxhimin e mbeturinave komunale janë buxhetuar dhe nën zbatim për zonat e Prishtinës dhe Pejës (WEM). Aktivitetet për Mitrovicën, Prizrenin dhe Gjilanin janë të planifikuara dhe do të zbatohen pas sigurimit të buxhetit (WAM).</w:t>
            </w:r>
          </w:p>
        </w:tc>
      </w:tr>
      <w:tr w:rsidR="00905112" w:rsidRPr="008C14F9" w14:paraId="5EC3901A" w14:textId="77777777">
        <w:tc>
          <w:tcPr>
            <w:cnfStyle w:val="001000000000" w:firstRow="0" w:lastRow="0" w:firstColumn="1" w:lastColumn="0" w:oddVBand="0" w:evenVBand="0" w:oddHBand="0" w:evenHBand="0" w:firstRowFirstColumn="0" w:firstRowLastColumn="0" w:lastRowFirstColumn="0" w:lastRowLastColumn="0"/>
            <w:tcW w:w="2425" w:type="dxa"/>
          </w:tcPr>
          <w:p w14:paraId="6037BA88" w14:textId="77777777" w:rsidR="00905112" w:rsidRPr="008C14F9" w:rsidRDefault="00905112">
            <w:pPr>
              <w:spacing w:before="20" w:after="20"/>
              <w:jc w:val="left"/>
              <w:rPr>
                <w:color w:val="FFFFFF" w:themeColor="background1"/>
                <w:sz w:val="18"/>
                <w:szCs w:val="18"/>
              </w:rPr>
            </w:pPr>
            <w:r>
              <w:rPr>
                <w:color w:val="FFFFFF" w:themeColor="background1"/>
                <w:sz w:val="18"/>
              </w:rPr>
              <w:t>Efektet kuantitative</w:t>
            </w:r>
          </w:p>
        </w:tc>
        <w:tc>
          <w:tcPr>
            <w:tcW w:w="7139" w:type="dxa"/>
            <w:vAlign w:val="center"/>
          </w:tcPr>
          <w:p w14:paraId="54FBE66C" w14:textId="1CA22EC5" w:rsidR="00905112" w:rsidRPr="008C14F9" w:rsidRDefault="00905112">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rPr>
              <w:t>Pjesëmarrja e MNK-ve të menaxhuara do të rritet në 30% deri në vitin 2028 dhe në 50% deri në vitin 2030. Burimi: Strategjia e Kosovës për Menaxhimin e Integruar të Mbeturinave</w:t>
            </w:r>
          </w:p>
        </w:tc>
      </w:tr>
      <w:tr w:rsidR="00905112" w:rsidRPr="008C14F9" w14:paraId="33F5E41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0F7C319B" w14:textId="77777777" w:rsidR="00905112" w:rsidRPr="008C14F9" w:rsidRDefault="00905112">
            <w:pPr>
              <w:spacing w:before="20" w:after="20"/>
              <w:jc w:val="left"/>
              <w:rPr>
                <w:color w:val="FFFFFF" w:themeColor="background1"/>
                <w:sz w:val="18"/>
                <w:szCs w:val="18"/>
              </w:rPr>
            </w:pPr>
            <w:r>
              <w:rPr>
                <w:color w:val="FFFFFF" w:themeColor="background1"/>
                <w:sz w:val="18"/>
              </w:rPr>
              <w:t>Investimet</w:t>
            </w:r>
          </w:p>
        </w:tc>
        <w:tc>
          <w:tcPr>
            <w:tcW w:w="7139" w:type="dxa"/>
            <w:vAlign w:val="center"/>
          </w:tcPr>
          <w:p w14:paraId="2A87B9F6" w14:textId="0FFDE695" w:rsidR="00905112" w:rsidRPr="008C14F9" w:rsidRDefault="002D20DB">
            <w:pPr>
              <w:spacing w:before="20" w:after="20"/>
              <w:cnfStyle w:val="000000100000" w:firstRow="0" w:lastRow="0" w:firstColumn="0" w:lastColumn="0" w:oddVBand="0" w:evenVBand="0" w:oddHBand="1" w:evenHBand="0" w:firstRowFirstColumn="0" w:firstRowLastColumn="0" w:lastRowFirstColumn="0" w:lastRowLastColumn="0"/>
              <w:rPr>
                <w:sz w:val="18"/>
                <w:szCs w:val="18"/>
              </w:rPr>
            </w:pPr>
            <w:r>
              <w:rPr>
                <w:sz w:val="18"/>
              </w:rPr>
              <w:t>143.4 mil. euro *WEM), 320.7 mil. euro (WAM). Burimi: MMPHI</w:t>
            </w:r>
          </w:p>
        </w:tc>
      </w:tr>
      <w:tr w:rsidR="00905112" w:rsidRPr="008C14F9" w14:paraId="42016AD0" w14:textId="77777777">
        <w:tc>
          <w:tcPr>
            <w:cnfStyle w:val="001000000000" w:firstRow="0" w:lastRow="0" w:firstColumn="1" w:lastColumn="0" w:oddVBand="0" w:evenVBand="0" w:oddHBand="0" w:evenHBand="0" w:firstRowFirstColumn="0" w:firstRowLastColumn="0" w:lastRowFirstColumn="0" w:lastRowLastColumn="0"/>
            <w:tcW w:w="2425" w:type="dxa"/>
          </w:tcPr>
          <w:p w14:paraId="7B3D0CE4" w14:textId="77777777" w:rsidR="00905112" w:rsidRPr="008C14F9" w:rsidRDefault="00905112">
            <w:pPr>
              <w:spacing w:before="20" w:after="20"/>
              <w:jc w:val="left"/>
              <w:rPr>
                <w:color w:val="FFFFFF" w:themeColor="background1"/>
                <w:sz w:val="18"/>
                <w:szCs w:val="18"/>
              </w:rPr>
            </w:pPr>
            <w:r>
              <w:rPr>
                <w:color w:val="FFFFFF" w:themeColor="background1"/>
                <w:sz w:val="18"/>
              </w:rPr>
              <w:t>Institucioni përgjegjës</w:t>
            </w:r>
          </w:p>
        </w:tc>
        <w:tc>
          <w:tcPr>
            <w:tcW w:w="7139" w:type="dxa"/>
            <w:vAlign w:val="center"/>
          </w:tcPr>
          <w:p w14:paraId="7024774B" w14:textId="77777777" w:rsidR="00905112" w:rsidRPr="008C14F9" w:rsidRDefault="00905112">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rPr>
              <w:t>MMPHI, ME, MF</w:t>
            </w:r>
          </w:p>
        </w:tc>
      </w:tr>
      <w:tr w:rsidR="00905112" w:rsidRPr="008C14F9" w14:paraId="071CD2D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4B6B7D10" w14:textId="77777777" w:rsidR="00905112" w:rsidRPr="008C14F9" w:rsidRDefault="00905112">
            <w:pPr>
              <w:spacing w:before="20" w:after="20"/>
              <w:jc w:val="left"/>
              <w:rPr>
                <w:color w:val="FFFFFF" w:themeColor="background1"/>
                <w:sz w:val="18"/>
                <w:szCs w:val="18"/>
              </w:rPr>
            </w:pPr>
            <w:r>
              <w:rPr>
                <w:color w:val="FFFFFF" w:themeColor="background1"/>
                <w:sz w:val="18"/>
              </w:rPr>
              <w:t>Treguesit e progresit</w:t>
            </w:r>
          </w:p>
        </w:tc>
        <w:tc>
          <w:tcPr>
            <w:tcW w:w="7139" w:type="dxa"/>
            <w:vAlign w:val="center"/>
          </w:tcPr>
          <w:p w14:paraId="75A99DEF" w14:textId="7605AE4F" w:rsidR="00905112" w:rsidRPr="008C14F9" w:rsidRDefault="00905112">
            <w:pPr>
              <w:keepNext/>
              <w:spacing w:before="20" w:after="20"/>
              <w:cnfStyle w:val="000000100000" w:firstRow="0" w:lastRow="0" w:firstColumn="0" w:lastColumn="0" w:oddVBand="0" w:evenVBand="0" w:oddHBand="1" w:evenHBand="0" w:firstRowFirstColumn="0" w:firstRowLastColumn="0" w:lastRowFirstColumn="0" w:lastRowLastColumn="0"/>
              <w:rPr>
                <w:sz w:val="18"/>
                <w:szCs w:val="18"/>
              </w:rPr>
            </w:pPr>
            <w:r>
              <w:rPr>
                <w:sz w:val="18"/>
              </w:rPr>
              <w:t>Pjesa e mbeturinave të mbledhura, pjesa e mbeturinave të trajtuara në objektet e menaxhuara</w:t>
            </w:r>
          </w:p>
        </w:tc>
      </w:tr>
      <w:tr w:rsidR="00905112" w:rsidRPr="00976D33" w14:paraId="3D804C50" w14:textId="77777777">
        <w:tc>
          <w:tcPr>
            <w:cnfStyle w:val="001000000000" w:firstRow="0" w:lastRow="0" w:firstColumn="1" w:lastColumn="0" w:oddVBand="0" w:evenVBand="0" w:oddHBand="0" w:evenHBand="0" w:firstRowFirstColumn="0" w:firstRowLastColumn="0" w:lastRowFirstColumn="0" w:lastRowLastColumn="0"/>
            <w:tcW w:w="2425" w:type="dxa"/>
          </w:tcPr>
          <w:p w14:paraId="77D11CB4" w14:textId="08F5832D" w:rsidR="00905112" w:rsidRPr="008C14F9" w:rsidRDefault="00905112">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39" w:type="dxa"/>
          </w:tcPr>
          <w:p w14:paraId="2C4711BD" w14:textId="77777777" w:rsidR="00905112" w:rsidRPr="00976D33" w:rsidRDefault="00905112">
            <w:pPr>
              <w:keepNext/>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 </w:t>
            </w:r>
          </w:p>
        </w:tc>
      </w:tr>
    </w:tbl>
    <w:p w14:paraId="06E88888" w14:textId="77777777" w:rsidR="00905112" w:rsidRDefault="00905112" w:rsidP="005C57AD">
      <w:pPr>
        <w:pStyle w:val="Default"/>
        <w:rPr>
          <w:lang w:val="en-GB"/>
        </w:rPr>
      </w:pPr>
    </w:p>
    <w:p w14:paraId="49A27F5F" w14:textId="77777777" w:rsidR="00FF705C" w:rsidRPr="00FF705C" w:rsidRDefault="00FF705C" w:rsidP="005C57AD">
      <w:pPr>
        <w:pStyle w:val="Default"/>
        <w:rPr>
          <w:sz w:val="20"/>
          <w:szCs w:val="20"/>
          <w:lang w:val="en-GB"/>
        </w:rPr>
      </w:pPr>
    </w:p>
    <w:tbl>
      <w:tblPr>
        <w:tblStyle w:val="GridTable5Dark-Accent1"/>
        <w:tblW w:w="5000" w:type="pct"/>
        <w:tblLook w:val="04A0" w:firstRow="1" w:lastRow="0" w:firstColumn="1" w:lastColumn="0" w:noHBand="0" w:noVBand="1"/>
      </w:tblPr>
      <w:tblGrid>
        <w:gridCol w:w="2427"/>
        <w:gridCol w:w="7127"/>
      </w:tblGrid>
      <w:tr w:rsidR="005C57AD" w:rsidRPr="008C14F9" w14:paraId="1EF6497A"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69989E1A" w14:textId="2386E510" w:rsidR="005C57AD" w:rsidRPr="008C14F9" w:rsidRDefault="005C57AD">
            <w:pPr>
              <w:spacing w:before="20" w:after="20"/>
              <w:rPr>
                <w:color w:val="FFFFFF" w:themeColor="background1"/>
              </w:rPr>
            </w:pPr>
            <w:bookmarkStart w:id="165" w:name="_Toc138210145"/>
            <w:bookmarkStart w:id="166" w:name="_Toc138998446"/>
            <w:r>
              <w:rPr>
                <w:color w:val="FFFFFF" w:themeColor="background1"/>
                <w:sz w:val="18"/>
              </w:rPr>
              <w:t>PM 4</w:t>
            </w:r>
            <w:r>
              <w:rPr>
                <w:b w:val="0"/>
                <w:color w:val="FFFFFF" w:themeColor="background1"/>
                <w:sz w:val="18"/>
              </w:rPr>
              <w:t xml:space="preserve">: </w:t>
            </w:r>
            <w:r>
              <w:rPr>
                <w:color w:val="FFFFFF" w:themeColor="background1"/>
                <w:sz w:val="18"/>
              </w:rPr>
              <w:t>Rritja e burimeve pyjore</w:t>
            </w:r>
            <w:bookmarkEnd w:id="165"/>
            <w:bookmarkEnd w:id="166"/>
          </w:p>
        </w:tc>
      </w:tr>
      <w:tr w:rsidR="005C57AD" w:rsidRPr="008C14F9" w14:paraId="110B576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696D94BA" w14:textId="77777777" w:rsidR="005C57AD" w:rsidRPr="008C14F9" w:rsidRDefault="005C57AD">
            <w:pPr>
              <w:spacing w:before="20" w:after="20"/>
              <w:rPr>
                <w:rFonts w:eastAsia="Arial" w:cs="Arial"/>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 xml:space="preserve">Një nga objektivat e Strategjisë për Zhvillimin e Pyjeve 2022-2030 është rritja e pyjeve të Kosovës, veçanërisht përmes administrimit të tërë sipërfaqes pyjore publike me plane menaxhuese dhe zbatim të masave për silvikulturën. </w:t>
            </w:r>
          </w:p>
          <w:p w14:paraId="2BEF8162" w14:textId="77777777" w:rsidR="005C57AD" w:rsidRPr="008C14F9" w:rsidRDefault="005C57AD">
            <w:pPr>
              <w:spacing w:before="20" w:after="20"/>
              <w:rPr>
                <w:rFonts w:eastAsia="Arial" w:cs="Arial"/>
                <w:b w:val="0"/>
                <w:bCs w:val="0"/>
                <w:color w:val="FFFFFF" w:themeColor="background1"/>
                <w:sz w:val="18"/>
                <w:szCs w:val="18"/>
              </w:rPr>
            </w:pPr>
            <w:r>
              <w:rPr>
                <w:b w:val="0"/>
                <w:color w:val="FFFFFF" w:themeColor="background1"/>
                <w:sz w:val="18"/>
              </w:rPr>
              <w:t xml:space="preserve">Masa merr parasysh veprimet e mëposhtme: </w:t>
            </w:r>
          </w:p>
          <w:p w14:paraId="1E434FF7" w14:textId="77777777" w:rsidR="005C57AD" w:rsidRPr="008C14F9" w:rsidRDefault="005C57AD" w:rsidP="00AF7BBF">
            <w:pPr>
              <w:pStyle w:val="ListParagraph"/>
              <w:numPr>
                <w:ilvl w:val="0"/>
                <w:numId w:val="80"/>
              </w:numPr>
              <w:spacing w:before="20" w:after="20"/>
              <w:rPr>
                <w:rFonts w:eastAsia="Arial" w:cs="Arial"/>
                <w:b w:val="0"/>
                <w:bCs w:val="0"/>
                <w:color w:val="FFFFFF" w:themeColor="background1"/>
                <w:sz w:val="18"/>
                <w:szCs w:val="18"/>
              </w:rPr>
            </w:pPr>
            <w:r>
              <w:rPr>
                <w:b w:val="0"/>
                <w:color w:val="FFFFFF" w:themeColor="background1"/>
                <w:sz w:val="18"/>
              </w:rPr>
              <w:t xml:space="preserve">Përafrimi i legjislacionit të sektorit të pylltarisë me Acquis të BE-së; </w:t>
            </w:r>
          </w:p>
          <w:p w14:paraId="175F7586" w14:textId="77777777" w:rsidR="005C57AD" w:rsidRPr="008C14F9" w:rsidRDefault="005C57AD" w:rsidP="00AF7BBF">
            <w:pPr>
              <w:pStyle w:val="ListParagraph"/>
              <w:numPr>
                <w:ilvl w:val="0"/>
                <w:numId w:val="80"/>
              </w:numPr>
              <w:spacing w:before="20" w:after="20"/>
              <w:rPr>
                <w:rFonts w:eastAsia="Arial" w:cs="Arial"/>
                <w:b w:val="0"/>
                <w:bCs w:val="0"/>
                <w:color w:val="FFFFFF" w:themeColor="background1"/>
                <w:sz w:val="18"/>
                <w:szCs w:val="18"/>
              </w:rPr>
            </w:pPr>
            <w:r>
              <w:rPr>
                <w:b w:val="0"/>
                <w:color w:val="FFFFFF" w:themeColor="background1"/>
                <w:sz w:val="18"/>
              </w:rPr>
              <w:t>Të sigurohet që zonat pyjore të mbulohen nga planet afatgjata të menaxhimit,</w:t>
            </w:r>
          </w:p>
          <w:p w14:paraId="442C5166" w14:textId="77777777" w:rsidR="005C57AD" w:rsidRPr="008C14F9" w:rsidRDefault="005C57AD" w:rsidP="00AF7BBF">
            <w:pPr>
              <w:pStyle w:val="ListParagraph"/>
              <w:numPr>
                <w:ilvl w:val="0"/>
                <w:numId w:val="80"/>
              </w:numPr>
              <w:spacing w:before="20" w:after="20"/>
              <w:rPr>
                <w:rFonts w:eastAsia="Arial" w:cs="Arial"/>
                <w:b w:val="0"/>
                <w:bCs w:val="0"/>
                <w:color w:val="FFFFFF" w:themeColor="background1"/>
                <w:sz w:val="18"/>
                <w:szCs w:val="18"/>
              </w:rPr>
            </w:pPr>
            <w:r>
              <w:rPr>
                <w:b w:val="0"/>
                <w:color w:val="FFFFFF" w:themeColor="background1"/>
                <w:sz w:val="18"/>
              </w:rPr>
              <w:lastRenderedPageBreak/>
              <w:t>Pilotimi i krijimit të planeve të menaxhimit të pyjeve të integruara me qëllime të shumëfishta në pesë lokacione,</w:t>
            </w:r>
          </w:p>
          <w:p w14:paraId="733B86F9" w14:textId="77777777" w:rsidR="005C57AD" w:rsidRPr="008C14F9" w:rsidRDefault="005C57AD" w:rsidP="00AF7BBF">
            <w:pPr>
              <w:pStyle w:val="ListParagraph"/>
              <w:numPr>
                <w:ilvl w:val="0"/>
                <w:numId w:val="80"/>
              </w:numPr>
              <w:spacing w:before="20" w:after="20"/>
              <w:rPr>
                <w:rFonts w:eastAsia="Arial" w:cs="Arial"/>
                <w:b w:val="0"/>
                <w:bCs w:val="0"/>
                <w:color w:val="FFFFFF" w:themeColor="background1"/>
                <w:sz w:val="18"/>
                <w:szCs w:val="18"/>
              </w:rPr>
            </w:pPr>
            <w:r>
              <w:rPr>
                <w:b w:val="0"/>
                <w:color w:val="FFFFFF" w:themeColor="background1"/>
                <w:sz w:val="18"/>
              </w:rPr>
              <w:t>Përcaktimi i inventarizimit për zonat pyjore,</w:t>
            </w:r>
          </w:p>
          <w:p w14:paraId="4DB60541" w14:textId="77777777" w:rsidR="005C57AD" w:rsidRPr="008C14F9" w:rsidRDefault="005C57AD" w:rsidP="00AF7BBF">
            <w:pPr>
              <w:pStyle w:val="ListParagraph"/>
              <w:numPr>
                <w:ilvl w:val="0"/>
                <w:numId w:val="80"/>
              </w:numPr>
              <w:spacing w:before="20" w:after="20"/>
              <w:rPr>
                <w:rFonts w:eastAsia="Arial" w:cs="Arial"/>
                <w:b w:val="0"/>
                <w:bCs w:val="0"/>
                <w:color w:val="FFFFFF" w:themeColor="background1"/>
                <w:sz w:val="18"/>
                <w:szCs w:val="18"/>
              </w:rPr>
            </w:pPr>
            <w:r>
              <w:rPr>
                <w:b w:val="0"/>
                <w:color w:val="FFFFFF" w:themeColor="background1"/>
                <w:sz w:val="18"/>
              </w:rPr>
              <w:t>Rregullimi i titullarëve dhe pronarëve të pyjeve publike dhe regjistrimi i tyre në kadastër,</w:t>
            </w:r>
          </w:p>
          <w:p w14:paraId="5AF45FC2" w14:textId="77777777" w:rsidR="005C57AD" w:rsidRPr="008C14F9" w:rsidRDefault="005C57AD" w:rsidP="00AF7BBF">
            <w:pPr>
              <w:pStyle w:val="ListParagraph"/>
              <w:numPr>
                <w:ilvl w:val="0"/>
                <w:numId w:val="80"/>
              </w:numPr>
              <w:spacing w:before="20" w:after="20"/>
              <w:rPr>
                <w:rFonts w:eastAsia="Arial" w:cs="Arial"/>
                <w:b w:val="0"/>
                <w:bCs w:val="0"/>
                <w:color w:val="FFFFFF" w:themeColor="background1"/>
                <w:sz w:val="18"/>
                <w:szCs w:val="18"/>
              </w:rPr>
            </w:pPr>
            <w:r>
              <w:rPr>
                <w:b w:val="0"/>
                <w:color w:val="FFFFFF" w:themeColor="background1"/>
                <w:sz w:val="18"/>
              </w:rPr>
              <w:t>Identifikimi dhe regjistrimi i uzurpimeve të pyjeve dhe tokave pyjore, si dhe kontestet pronësore juridike,</w:t>
            </w:r>
          </w:p>
          <w:p w14:paraId="6C0A8AD0" w14:textId="77777777" w:rsidR="005C57AD" w:rsidRPr="008C14F9" w:rsidRDefault="005C57AD" w:rsidP="00AF7BBF">
            <w:pPr>
              <w:pStyle w:val="ListParagraph"/>
              <w:numPr>
                <w:ilvl w:val="0"/>
                <w:numId w:val="80"/>
              </w:numPr>
              <w:spacing w:before="20" w:after="20"/>
              <w:rPr>
                <w:rFonts w:eastAsia="Arial" w:cs="Arial"/>
                <w:b w:val="0"/>
                <w:bCs w:val="0"/>
                <w:color w:val="FFFFFF" w:themeColor="background1"/>
                <w:sz w:val="18"/>
                <w:szCs w:val="18"/>
              </w:rPr>
            </w:pPr>
            <w:r>
              <w:rPr>
                <w:b w:val="0"/>
                <w:color w:val="FFFFFF" w:themeColor="background1"/>
                <w:sz w:val="18"/>
              </w:rPr>
              <w:t>Regjistrimi i tokave pyjore sipas funksionit,</w:t>
            </w:r>
          </w:p>
          <w:p w14:paraId="6B7C38A2" w14:textId="77777777" w:rsidR="005C57AD" w:rsidRPr="008C14F9" w:rsidRDefault="005C57AD" w:rsidP="00AF7BBF">
            <w:pPr>
              <w:pStyle w:val="ListParagraph"/>
              <w:numPr>
                <w:ilvl w:val="0"/>
                <w:numId w:val="80"/>
              </w:numPr>
              <w:spacing w:before="20" w:after="20"/>
              <w:rPr>
                <w:rFonts w:eastAsia="Arial" w:cs="Arial"/>
                <w:b w:val="0"/>
                <w:bCs w:val="0"/>
                <w:color w:val="FFFFFF" w:themeColor="background1"/>
                <w:sz w:val="18"/>
                <w:szCs w:val="18"/>
              </w:rPr>
            </w:pPr>
            <w:r>
              <w:rPr>
                <w:b w:val="0"/>
                <w:color w:val="FFFFFF" w:themeColor="background1"/>
                <w:sz w:val="18"/>
              </w:rPr>
              <w:t xml:space="preserve">Rritja (zgjerimi) i sipërfaqeve pyjore. </w:t>
            </w:r>
          </w:p>
          <w:p w14:paraId="17958E6C" w14:textId="77777777" w:rsidR="005C57AD" w:rsidRPr="008C14F9" w:rsidRDefault="005C57AD">
            <w:pPr>
              <w:spacing w:before="20" w:after="20"/>
              <w:rPr>
                <w:rFonts w:eastAsia="Arial" w:cs="Arial"/>
                <w:b w:val="0"/>
                <w:bCs w:val="0"/>
                <w:color w:val="FFFFFF" w:themeColor="background1"/>
                <w:sz w:val="18"/>
                <w:szCs w:val="18"/>
              </w:rPr>
            </w:pPr>
          </w:p>
          <w:p w14:paraId="5F858A8B" w14:textId="77777777" w:rsidR="005C57AD" w:rsidRPr="008C14F9" w:rsidRDefault="005C57AD">
            <w:pPr>
              <w:spacing w:before="20" w:after="20"/>
              <w:rPr>
                <w:rFonts w:eastAsia="Arial" w:cs="Arial"/>
                <w:b w:val="0"/>
                <w:bCs w:val="0"/>
                <w:color w:val="FFFFFF" w:themeColor="background1"/>
                <w:sz w:val="18"/>
                <w:szCs w:val="18"/>
              </w:rPr>
            </w:pPr>
            <w:r>
              <w:rPr>
                <w:b w:val="0"/>
                <w:color w:val="FFFFFF" w:themeColor="background1"/>
                <w:sz w:val="18"/>
              </w:rPr>
              <w:t>Në veçanti, masa e fundit pritet të çojë në një rritje të sipërfaqes pyjore për 1% në vitin 2024 dhe 3% në vitin 2030, nga vlera bazë prej 481000 ha pyje.</w:t>
            </w:r>
            <w:r>
              <w:rPr>
                <w:color w:val="FFFFFF" w:themeColor="background1"/>
                <w:sz w:val="18"/>
              </w:rPr>
              <w:t xml:space="preserve"> </w:t>
            </w:r>
          </w:p>
          <w:p w14:paraId="2120D103" w14:textId="77777777" w:rsidR="005C57AD" w:rsidRPr="008C14F9" w:rsidRDefault="005C57AD">
            <w:pPr>
              <w:spacing w:before="20" w:after="20"/>
              <w:rPr>
                <w:rFonts w:eastAsia="Arial" w:cs="Arial"/>
                <w:b w:val="0"/>
                <w:bCs w:val="0"/>
                <w:color w:val="FFFFFF" w:themeColor="background1"/>
                <w:sz w:val="18"/>
                <w:szCs w:val="18"/>
              </w:rPr>
            </w:pPr>
          </w:p>
          <w:p w14:paraId="182440F8" w14:textId="77777777" w:rsidR="005C57AD" w:rsidRPr="008C14F9" w:rsidRDefault="005C57AD">
            <w:pPr>
              <w:spacing w:before="20" w:after="20"/>
              <w:rPr>
                <w:rFonts w:eastAsia="Arial" w:cs="Arial"/>
                <w:bCs w:val="0"/>
                <w:color w:val="FFFFFF" w:themeColor="background1"/>
                <w:sz w:val="18"/>
                <w:szCs w:val="18"/>
              </w:rPr>
            </w:pPr>
            <w:r>
              <w:rPr>
                <w:b w:val="0"/>
                <w:color w:val="FFFFFF" w:themeColor="background1"/>
                <w:sz w:val="18"/>
              </w:rPr>
              <w:t>Një kontribut shtesë për të përmirësuar burimet pyjore të Kosovës mund të arrihet përmes rritjes së biomasës dhe produktivitetit primar neto duke përmirësuar më tej menaxhimin e pyjeve, duke përfshirë përzgjedhjen e përshtatur (klimatike) të pemëve. Menaxhimi i përmirësuar i pyjeve do të përkthehet në rritje të kapacitetit të pyjeve për të izoluar dioksidin e karbonit.</w:t>
            </w:r>
          </w:p>
          <w:p w14:paraId="5AEC79E6" w14:textId="77777777" w:rsidR="00C713F9" w:rsidRPr="008C14F9" w:rsidRDefault="00C713F9">
            <w:pPr>
              <w:spacing w:before="20" w:after="20"/>
              <w:rPr>
                <w:rFonts w:eastAsia="Arial" w:cs="Arial"/>
                <w:bCs w:val="0"/>
                <w:color w:val="FFFFFF" w:themeColor="background1"/>
                <w:sz w:val="18"/>
                <w:szCs w:val="18"/>
              </w:rPr>
            </w:pPr>
          </w:p>
          <w:p w14:paraId="02FF23C1" w14:textId="3D0D58FA" w:rsidR="00C713F9" w:rsidRPr="008C14F9" w:rsidRDefault="00C713F9">
            <w:pPr>
              <w:spacing w:before="20" w:after="20"/>
              <w:rPr>
                <w:b w:val="0"/>
                <w:bCs w:val="0"/>
                <w:color w:val="FFFFFF" w:themeColor="background1"/>
              </w:rPr>
            </w:pPr>
            <w:r>
              <w:rPr>
                <w:b w:val="0"/>
                <w:color w:val="FFFFFF" w:themeColor="background1"/>
                <w:sz w:val="18"/>
              </w:rPr>
              <w:t>Për të realizuar plotësisht potencialin e menaxhimit të pyjeve për sekuestrimin e karbonit, do të jetë thelbësore të përfshihen gratë në procesin e vendimmarrjes për të përfituar nga përvoja dhe njohuritë e tyre. Zgjidhja e çështjeve pronësore dhe kadastrale, e cila është gjithashtu pjesë e këtyre PM-ve, është parakusht kyç për zbatimin e efektshëm të menaxhimit të përshtatshëm të burimeve pyjore. Për t’u siguruar që kjo të bëhet në një mënyrë të ndjeshme gjinore nga e cila përfitojnë edhe gratë pronare të pyjeve, ndërgjegjësimi për të drejtat pronësore dhe zbatimi i tyre përmes fushatave është një masë e rëndësishme shoqëruese.</w:t>
            </w:r>
          </w:p>
        </w:tc>
      </w:tr>
      <w:tr w:rsidR="005C57AD" w:rsidRPr="008C14F9" w14:paraId="213ACF27" w14:textId="77777777">
        <w:trPr>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7B254F1B" w14:textId="77777777" w:rsidR="005C57AD" w:rsidRPr="008C14F9" w:rsidRDefault="005C57AD">
            <w:pPr>
              <w:spacing w:before="20" w:after="20"/>
              <w:rPr>
                <w:color w:val="FFFFFF" w:themeColor="background1"/>
              </w:rPr>
            </w:pPr>
            <w:r>
              <w:rPr>
                <w:color w:val="FFFFFF" w:themeColor="background1"/>
                <w:sz w:val="18"/>
              </w:rPr>
              <w:lastRenderedPageBreak/>
              <w:t>Sektori/lloji</w:t>
            </w:r>
          </w:p>
        </w:tc>
        <w:tc>
          <w:tcPr>
            <w:tcW w:w="3730" w:type="pct"/>
            <w:tcBorders>
              <w:top w:val="nil"/>
              <w:left w:val="single" w:sz="8" w:space="0" w:color="FFFFFF" w:themeColor="background1"/>
              <w:bottom w:val="single" w:sz="8" w:space="0" w:color="FFFFFF" w:themeColor="background1"/>
              <w:right w:val="single" w:sz="8" w:space="0" w:color="FFFFFF" w:themeColor="background1"/>
            </w:tcBorders>
            <w:shd w:val="clear" w:color="auto" w:fill="B1E4FD"/>
            <w:tcMar>
              <w:left w:w="108" w:type="dxa"/>
              <w:right w:w="108" w:type="dxa"/>
            </w:tcMar>
          </w:tcPr>
          <w:p w14:paraId="6158A83B" w14:textId="77777777" w:rsidR="005C57AD" w:rsidRPr="008C14F9" w:rsidRDefault="005C57AD">
            <w:pPr>
              <w:spacing w:before="20" w:after="20"/>
              <w:jc w:val="left"/>
              <w:cnfStyle w:val="000000000000" w:firstRow="0" w:lastRow="0" w:firstColumn="0" w:lastColumn="0" w:oddVBand="0" w:evenVBand="0" w:oddHBand="0" w:evenHBand="0" w:firstRowFirstColumn="0" w:firstRowLastColumn="0" w:lastRowFirstColumn="0" w:lastRowLastColumn="0"/>
            </w:pPr>
            <w:r>
              <w:rPr>
                <w:color w:val="0F0D29"/>
                <w:sz w:val="18"/>
              </w:rPr>
              <w:t>Pyjor/rregullator; financiar</w:t>
            </w:r>
          </w:p>
        </w:tc>
      </w:tr>
      <w:tr w:rsidR="005C57AD" w:rsidRPr="008C14F9" w14:paraId="1CCF052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6829DE56" w14:textId="77777777" w:rsidR="005C57AD" w:rsidRPr="008C14F9" w:rsidRDefault="005C57AD">
            <w:pPr>
              <w:spacing w:before="20" w:after="20"/>
              <w:rPr>
                <w:color w:val="FFFFFF" w:themeColor="background1"/>
              </w:rPr>
            </w:pPr>
            <w:r>
              <w:rPr>
                <w:color w:val="FFFFFF" w:themeColor="background1"/>
                <w:sz w:val="18"/>
              </w:rPr>
              <w:t>Statusi i implementimit</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4C9FC"/>
            <w:tcMar>
              <w:left w:w="108" w:type="dxa"/>
              <w:right w:w="108" w:type="dxa"/>
            </w:tcMar>
            <w:vAlign w:val="center"/>
          </w:tcPr>
          <w:p w14:paraId="29437AE9" w14:textId="77777777" w:rsidR="005C57AD" w:rsidRPr="008C14F9" w:rsidRDefault="005C57AD">
            <w:pPr>
              <w:spacing w:before="20" w:after="20"/>
              <w:jc w:val="left"/>
              <w:cnfStyle w:val="000000100000" w:firstRow="0" w:lastRow="0" w:firstColumn="0" w:lastColumn="0" w:oddVBand="0" w:evenVBand="0" w:oddHBand="1" w:evenHBand="0" w:firstRowFirstColumn="0" w:firstRowLastColumn="0" w:lastRowFirstColumn="0" w:lastRowLastColumn="0"/>
            </w:pPr>
            <w:r>
              <w:rPr>
                <w:color w:val="0F0D29"/>
                <w:sz w:val="18"/>
              </w:rPr>
              <w:t>Në implementim/i planifikuar</w:t>
            </w:r>
          </w:p>
        </w:tc>
      </w:tr>
      <w:tr w:rsidR="005C57AD" w:rsidRPr="008C14F9" w14:paraId="0E212D30" w14:textId="77777777">
        <w:trPr>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4D066298" w14:textId="77777777" w:rsidR="005C57AD" w:rsidRPr="008C14F9" w:rsidRDefault="005C57AD">
            <w:pPr>
              <w:spacing w:before="20" w:after="20"/>
              <w:rPr>
                <w:color w:val="FFFFFF" w:themeColor="background1"/>
              </w:rPr>
            </w:pPr>
            <w:r>
              <w:rPr>
                <w:color w:val="FFFFFF" w:themeColor="background1"/>
                <w:sz w:val="18"/>
              </w:rPr>
              <w:t>Efektet kuantitative</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E4FD"/>
            <w:tcMar>
              <w:left w:w="108" w:type="dxa"/>
              <w:right w:w="108" w:type="dxa"/>
            </w:tcMar>
            <w:vAlign w:val="center"/>
          </w:tcPr>
          <w:p w14:paraId="0901337E" w14:textId="31DD40B2" w:rsidR="005C57AD" w:rsidRPr="008C14F9" w:rsidRDefault="005C57AD">
            <w:pPr>
              <w:spacing w:before="20" w:after="20"/>
              <w:jc w:val="left"/>
              <w:cnfStyle w:val="000000000000" w:firstRow="0" w:lastRow="0" w:firstColumn="0" w:lastColumn="0" w:oddVBand="0" w:evenVBand="0" w:oddHBand="0" w:evenHBand="0" w:firstRowFirstColumn="0" w:firstRowLastColumn="0" w:lastRowFirstColumn="0" w:lastRowLastColumn="0"/>
            </w:pPr>
            <w:r>
              <w:rPr>
                <w:color w:val="0F0D29"/>
                <w:sz w:val="18"/>
              </w:rPr>
              <w:t xml:space="preserve">Rritja e sipërfaqes pyjore për 3% në vitin 2030. (Burimi: </w:t>
            </w:r>
            <w:r>
              <w:rPr>
                <w:sz w:val="18"/>
              </w:rPr>
              <w:t>Politika dhe Strategjia për Zhvillimin e Pyjeve në Kosovë) Rritja e Biomasës deri në vitin 2030: 3.22 m3/ha (WEM) në 3.54 m3/ha (WAM) (Burimi: Llogaritjet e ekspertëve)</w:t>
            </w:r>
          </w:p>
        </w:tc>
      </w:tr>
      <w:tr w:rsidR="005C57AD" w:rsidRPr="008C14F9" w14:paraId="2D0396A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29CF37B2" w14:textId="77777777" w:rsidR="005C57AD" w:rsidRPr="008C14F9" w:rsidRDefault="005C57AD">
            <w:pPr>
              <w:spacing w:before="20" w:after="20"/>
              <w:rPr>
                <w:color w:val="FFFFFF" w:themeColor="background1"/>
              </w:rPr>
            </w:pPr>
            <w:r>
              <w:rPr>
                <w:color w:val="FFFFFF" w:themeColor="background1"/>
                <w:sz w:val="18"/>
              </w:rPr>
              <w:t>Investimet</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4C9FC"/>
            <w:tcMar>
              <w:left w:w="108" w:type="dxa"/>
              <w:right w:w="108" w:type="dxa"/>
            </w:tcMar>
            <w:vAlign w:val="center"/>
          </w:tcPr>
          <w:p w14:paraId="0D98766B" w14:textId="7CA182B0" w:rsidR="005C57AD" w:rsidRPr="008C14F9" w:rsidRDefault="001B00B0" w:rsidP="001B00B0">
            <w:pPr>
              <w:spacing w:before="20" w:after="20"/>
              <w:jc w:val="left"/>
              <w:cnfStyle w:val="000000100000" w:firstRow="0" w:lastRow="0" w:firstColumn="0" w:lastColumn="0" w:oddVBand="0" w:evenVBand="0" w:oddHBand="1" w:evenHBand="0" w:firstRowFirstColumn="0" w:firstRowLastColumn="0" w:lastRowFirstColumn="0" w:lastRowLastColumn="0"/>
              <w:rPr>
                <w:rFonts w:eastAsia="Arial" w:cs="Arial"/>
                <w:color w:val="0F0D29"/>
                <w:sz w:val="18"/>
                <w:szCs w:val="18"/>
              </w:rPr>
            </w:pPr>
            <w:r>
              <w:rPr>
                <w:color w:val="0F0D29"/>
                <w:sz w:val="18"/>
              </w:rPr>
              <w:t>Gjithsej 5.07 mil. euro deri në vitin 2030, nga të cilat 2.82 mil. euro vijnë nga Agjencia e Pyjeve dhe 2.25 mil. euro nga fondet e donatorëve (Burimi:  Agjencia e Pyjeve, llogaritjet e ekspertëve)</w:t>
            </w:r>
          </w:p>
        </w:tc>
      </w:tr>
      <w:tr w:rsidR="005C57AD" w:rsidRPr="008C14F9" w14:paraId="49946D67" w14:textId="77777777">
        <w:trPr>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7DB84056" w14:textId="77777777" w:rsidR="005C57AD" w:rsidRPr="008C14F9" w:rsidRDefault="005C57AD">
            <w:pPr>
              <w:spacing w:before="20" w:after="20"/>
              <w:rPr>
                <w:color w:val="FFFFFF" w:themeColor="background1"/>
              </w:rPr>
            </w:pPr>
            <w:r>
              <w:rPr>
                <w:color w:val="FFFFFF" w:themeColor="background1"/>
                <w:sz w:val="18"/>
              </w:rPr>
              <w:t>Institucioni përgjegjës</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E4FD"/>
            <w:tcMar>
              <w:left w:w="108" w:type="dxa"/>
              <w:right w:w="108" w:type="dxa"/>
            </w:tcMar>
            <w:vAlign w:val="center"/>
          </w:tcPr>
          <w:p w14:paraId="20892D1D" w14:textId="77777777" w:rsidR="005C57AD" w:rsidRPr="008C14F9" w:rsidRDefault="005C57AD">
            <w:pPr>
              <w:spacing w:before="20" w:after="20"/>
              <w:jc w:val="left"/>
              <w:cnfStyle w:val="000000000000" w:firstRow="0" w:lastRow="0" w:firstColumn="0" w:lastColumn="0" w:oddVBand="0" w:evenVBand="0" w:oddHBand="0" w:evenHBand="0" w:firstRowFirstColumn="0" w:firstRowLastColumn="0" w:lastRowFirstColumn="0" w:lastRowLastColumn="0"/>
            </w:pPr>
            <w:r>
              <w:rPr>
                <w:color w:val="0F0D29"/>
                <w:sz w:val="18"/>
              </w:rPr>
              <w:t>MBPZHR, APK, MMPH, PPP, donatorët dhe komuniteti</w:t>
            </w:r>
          </w:p>
        </w:tc>
      </w:tr>
      <w:tr w:rsidR="005C57AD" w:rsidRPr="008C14F9" w14:paraId="0BD9A35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5E35E747" w14:textId="77777777" w:rsidR="005C57AD" w:rsidRPr="008C14F9" w:rsidRDefault="005C57AD">
            <w:pPr>
              <w:spacing w:before="20" w:after="20"/>
              <w:rPr>
                <w:color w:val="FFFFFF" w:themeColor="background1"/>
              </w:rPr>
            </w:pPr>
            <w:r>
              <w:rPr>
                <w:color w:val="FFFFFF" w:themeColor="background1"/>
                <w:sz w:val="18"/>
              </w:rPr>
              <w:t>Treguesit e progresit</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4C9FC"/>
            <w:tcMar>
              <w:left w:w="108" w:type="dxa"/>
              <w:right w:w="108" w:type="dxa"/>
            </w:tcMar>
            <w:vAlign w:val="center"/>
          </w:tcPr>
          <w:p w14:paraId="54F666FC" w14:textId="77777777" w:rsidR="005C57AD" w:rsidRPr="008C14F9" w:rsidRDefault="005C57AD">
            <w:pPr>
              <w:spacing w:before="20" w:after="20"/>
              <w:cnfStyle w:val="000000100000" w:firstRow="0" w:lastRow="0" w:firstColumn="0" w:lastColumn="0" w:oddVBand="0" w:evenVBand="0" w:oddHBand="1" w:evenHBand="0" w:firstRowFirstColumn="0" w:firstRowLastColumn="0" w:lastRowFirstColumn="0" w:lastRowLastColumn="0"/>
            </w:pPr>
            <w:r>
              <w:rPr>
                <w:color w:val="0F0D29"/>
                <w:sz w:val="18"/>
              </w:rPr>
              <w:t>Sipërfaqja pyjore, shtimi i biomasës</w:t>
            </w:r>
          </w:p>
        </w:tc>
      </w:tr>
      <w:tr w:rsidR="005C57AD" w:rsidRPr="00976D33" w14:paraId="250666D7" w14:textId="77777777">
        <w:tc>
          <w:tcPr>
            <w:cnfStyle w:val="001000000000" w:firstRow="0" w:lastRow="0" w:firstColumn="1" w:lastColumn="0" w:oddVBand="0" w:evenVBand="0" w:oddHBand="0" w:evenHBand="0" w:firstRowFirstColumn="0" w:firstRowLastColumn="0" w:lastRowFirstColumn="0" w:lastRowLastColumn="0"/>
            <w:tcW w:w="2427" w:type="dxa"/>
          </w:tcPr>
          <w:p w14:paraId="375D347A" w14:textId="5DF5BBDF" w:rsidR="005C57AD" w:rsidRPr="008C14F9" w:rsidRDefault="005C57AD">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27" w:type="dxa"/>
          </w:tcPr>
          <w:p w14:paraId="0DB2F24F" w14:textId="77777777" w:rsidR="005C57AD" w:rsidRPr="00976D33" w:rsidRDefault="005C57AD">
            <w:pPr>
              <w:keepNext/>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 </w:t>
            </w:r>
          </w:p>
        </w:tc>
      </w:tr>
    </w:tbl>
    <w:p w14:paraId="01A40B0B" w14:textId="77777777" w:rsidR="005C57AD" w:rsidRPr="00976D33" w:rsidRDefault="005C57AD" w:rsidP="005C57AD">
      <w:pPr>
        <w:rPr>
          <w:b/>
          <w:bCs/>
        </w:rPr>
      </w:pPr>
    </w:p>
    <w:tbl>
      <w:tblPr>
        <w:tblStyle w:val="GridTable5Dark-Accent1"/>
        <w:tblW w:w="5000" w:type="pct"/>
        <w:tblLook w:val="04A0" w:firstRow="1" w:lastRow="0" w:firstColumn="1" w:lastColumn="0" w:noHBand="0" w:noVBand="1"/>
      </w:tblPr>
      <w:tblGrid>
        <w:gridCol w:w="2427"/>
        <w:gridCol w:w="7127"/>
      </w:tblGrid>
      <w:tr w:rsidR="005C57AD" w:rsidRPr="008C14F9" w14:paraId="2C17E464" w14:textId="77777777" w:rsidTr="6A72711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0D485CAC" w14:textId="082D1D8E" w:rsidR="005C57AD" w:rsidRPr="008C14F9" w:rsidRDefault="005C57AD">
            <w:pPr>
              <w:spacing w:before="20" w:after="20"/>
              <w:rPr>
                <w:color w:val="FFFFFF" w:themeColor="background1"/>
              </w:rPr>
            </w:pPr>
            <w:bookmarkStart w:id="167" w:name="_Toc138998447"/>
            <w:r>
              <w:rPr>
                <w:color w:val="FFFFFF" w:themeColor="background1"/>
                <w:sz w:val="18"/>
              </w:rPr>
              <w:t>PM 5</w:t>
            </w:r>
            <w:r>
              <w:rPr>
                <w:b w:val="0"/>
                <w:color w:val="FFFFFF" w:themeColor="background1"/>
                <w:sz w:val="18"/>
              </w:rPr>
              <w:t xml:space="preserve">: </w:t>
            </w:r>
            <w:r>
              <w:rPr>
                <w:color w:val="FFFFFF" w:themeColor="background1"/>
                <w:sz w:val="18"/>
              </w:rPr>
              <w:t>Mbrojtja e burimeve pyjore</w:t>
            </w:r>
            <w:bookmarkEnd w:id="167"/>
          </w:p>
        </w:tc>
      </w:tr>
      <w:tr w:rsidR="005C57AD" w:rsidRPr="008C14F9" w14:paraId="22777537" w14:textId="77777777" w:rsidTr="6A7271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2BA18E42" w14:textId="77777777" w:rsidR="005C57AD" w:rsidRPr="008C14F9" w:rsidRDefault="005C57AD">
            <w:pPr>
              <w:spacing w:before="20" w:after="20"/>
              <w:rPr>
                <w:rFonts w:eastAsia="Arial" w:cs="Arial"/>
                <w:bCs w:val="0"/>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 xml:space="preserve">Mbrojtja e pyjeve nga shfaqja në rritje e zjarreve në pyje mund të japë kontribut të çmuar në mbrojtjen e burimeve pyjore. Strategjia për Zhvillimin e Pyjeve 2022 – 2030 gjithashtu përshkruan shprehimisht masat e mbrojtjes nga zjarri në pyje si mjet për ruajtjen e burimeve pyjore. </w:t>
            </w:r>
          </w:p>
          <w:p w14:paraId="6FDB4577" w14:textId="77777777" w:rsidR="005C57AD" w:rsidRPr="008C14F9" w:rsidRDefault="005C57AD">
            <w:pPr>
              <w:spacing w:before="20" w:after="20"/>
              <w:rPr>
                <w:rFonts w:eastAsia="Arial" w:cs="Arial"/>
                <w:bCs w:val="0"/>
                <w:color w:val="FFFFFF" w:themeColor="background1"/>
                <w:sz w:val="18"/>
                <w:szCs w:val="18"/>
              </w:rPr>
            </w:pPr>
          </w:p>
          <w:p w14:paraId="4A04D35D" w14:textId="77777777" w:rsidR="005C57AD" w:rsidRPr="008C14F9" w:rsidRDefault="005C57AD">
            <w:pPr>
              <w:spacing w:before="20" w:after="20"/>
              <w:rPr>
                <w:rFonts w:eastAsia="Arial" w:cs="Arial"/>
                <w:b w:val="0"/>
                <w:bCs w:val="0"/>
                <w:color w:val="FFFFFF" w:themeColor="background1"/>
                <w:sz w:val="18"/>
                <w:szCs w:val="18"/>
              </w:rPr>
            </w:pPr>
            <w:r>
              <w:rPr>
                <w:b w:val="0"/>
                <w:color w:val="FFFFFF" w:themeColor="background1"/>
                <w:sz w:val="18"/>
              </w:rPr>
              <w:t>Për zvogëlimin e sipërfaqes së prekur nga zjarret në pyje janë planifikuar masat e mëposhtme shtesë:</w:t>
            </w:r>
          </w:p>
          <w:p w14:paraId="362D7306" w14:textId="2FEBE846" w:rsidR="005C57AD" w:rsidRPr="008C14F9" w:rsidRDefault="005C57AD" w:rsidP="00AF7BBF">
            <w:pPr>
              <w:pStyle w:val="ListParagraph"/>
              <w:numPr>
                <w:ilvl w:val="0"/>
                <w:numId w:val="81"/>
              </w:numPr>
              <w:spacing w:before="20" w:after="20"/>
              <w:rPr>
                <w:rFonts w:eastAsia="Arial" w:cs="Arial"/>
                <w:b w:val="0"/>
                <w:color w:val="FFFFFF" w:themeColor="background1"/>
                <w:sz w:val="18"/>
                <w:szCs w:val="18"/>
              </w:rPr>
            </w:pPr>
            <w:r>
              <w:rPr>
                <w:b w:val="0"/>
                <w:color w:val="FFFFFF" w:themeColor="background1"/>
                <w:sz w:val="18"/>
              </w:rPr>
              <w:t xml:space="preserve">Përmirësimi i edukimit për parandalimin e zjarreve në pyje në mënyrë gjithëpërfshirëse, </w:t>
            </w:r>
          </w:p>
          <w:p w14:paraId="08A277AA" w14:textId="77777777" w:rsidR="005C57AD" w:rsidRPr="008C14F9" w:rsidRDefault="005C57AD" w:rsidP="00AF7BBF">
            <w:pPr>
              <w:pStyle w:val="ListParagraph"/>
              <w:numPr>
                <w:ilvl w:val="0"/>
                <w:numId w:val="81"/>
              </w:numPr>
              <w:spacing w:before="20" w:after="20"/>
              <w:rPr>
                <w:rFonts w:eastAsia="Arial" w:cs="Arial"/>
                <w:b w:val="0"/>
                <w:color w:val="FFFFFF" w:themeColor="background1"/>
                <w:sz w:val="18"/>
                <w:szCs w:val="18"/>
              </w:rPr>
            </w:pPr>
            <w:r>
              <w:rPr>
                <w:b w:val="0"/>
                <w:color w:val="FFFFFF" w:themeColor="background1"/>
                <w:sz w:val="18"/>
              </w:rPr>
              <w:t xml:space="preserve">Investimet në infrastrukturën e mbrojtjes nga zjarri në pyje, </w:t>
            </w:r>
          </w:p>
          <w:p w14:paraId="7715B798" w14:textId="256C091A" w:rsidR="005C57AD" w:rsidRPr="008C14F9" w:rsidRDefault="005C57AD" w:rsidP="00AF7BBF">
            <w:pPr>
              <w:pStyle w:val="ListParagraph"/>
              <w:numPr>
                <w:ilvl w:val="0"/>
                <w:numId w:val="81"/>
              </w:numPr>
              <w:spacing w:before="20" w:after="20"/>
              <w:rPr>
                <w:rFonts w:eastAsia="Arial" w:cs="Arial"/>
                <w:color w:val="FFFFFF" w:themeColor="background1"/>
                <w:sz w:val="18"/>
                <w:szCs w:val="18"/>
              </w:rPr>
            </w:pPr>
            <w:r>
              <w:rPr>
                <w:b w:val="0"/>
                <w:color w:val="FFFFFF" w:themeColor="background1"/>
                <w:sz w:val="18"/>
              </w:rPr>
              <w:t>Menaxhimi i pyjeve i përshtatur ndaj zjarrit si dhe menaxhimi i përmirësuar i pyjeve</w:t>
            </w:r>
          </w:p>
          <w:p w14:paraId="5BD55700" w14:textId="7B4E53EE" w:rsidR="005C57AD" w:rsidRPr="008C14F9" w:rsidRDefault="005C57AD" w:rsidP="6A727116">
            <w:pPr>
              <w:spacing w:before="20" w:after="20"/>
              <w:rPr>
                <w:rFonts w:eastAsia="Arial" w:cs="Arial"/>
                <w:b w:val="0"/>
                <w:bCs w:val="0"/>
                <w:color w:val="FFFFFF" w:themeColor="background1"/>
                <w:sz w:val="18"/>
                <w:szCs w:val="18"/>
              </w:rPr>
            </w:pPr>
          </w:p>
        </w:tc>
      </w:tr>
      <w:tr w:rsidR="005C57AD" w:rsidRPr="008C14F9" w14:paraId="477D0CD0" w14:textId="77777777" w:rsidTr="6A727116">
        <w:trPr>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5BD88D21" w14:textId="77777777" w:rsidR="005C57AD" w:rsidRPr="008C14F9" w:rsidRDefault="005C57AD">
            <w:pPr>
              <w:spacing w:before="20" w:after="20"/>
              <w:rPr>
                <w:color w:val="FFFFFF" w:themeColor="background1"/>
              </w:rPr>
            </w:pPr>
            <w:r>
              <w:rPr>
                <w:color w:val="FFFFFF" w:themeColor="background1"/>
                <w:sz w:val="18"/>
              </w:rPr>
              <w:t>Sektori/lloji</w:t>
            </w:r>
          </w:p>
        </w:tc>
        <w:tc>
          <w:tcPr>
            <w:tcW w:w="3730" w:type="pct"/>
            <w:tcBorders>
              <w:top w:val="nil"/>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1DAB1623" w14:textId="77777777" w:rsidR="005C57AD" w:rsidRPr="008C14F9" w:rsidRDefault="005C57AD">
            <w:pPr>
              <w:spacing w:before="20" w:after="20"/>
              <w:cnfStyle w:val="000000000000" w:firstRow="0" w:lastRow="0" w:firstColumn="0" w:lastColumn="0" w:oddVBand="0" w:evenVBand="0" w:oddHBand="0" w:evenHBand="0" w:firstRowFirstColumn="0" w:firstRowLastColumn="0" w:lastRowFirstColumn="0" w:lastRowLastColumn="0"/>
            </w:pPr>
            <w:r>
              <w:rPr>
                <w:color w:val="0F0D29"/>
                <w:sz w:val="18"/>
              </w:rPr>
              <w:t>Pyjor/rregullator</w:t>
            </w:r>
          </w:p>
        </w:tc>
      </w:tr>
      <w:tr w:rsidR="005C57AD" w:rsidRPr="008C14F9" w14:paraId="0786E205" w14:textId="77777777" w:rsidTr="6A7271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23616812" w14:textId="77777777" w:rsidR="005C57AD" w:rsidRPr="008C14F9" w:rsidRDefault="005C57AD">
            <w:pPr>
              <w:spacing w:before="20" w:after="20"/>
              <w:rPr>
                <w:color w:val="FFFFFF" w:themeColor="background1"/>
              </w:rPr>
            </w:pPr>
            <w:r>
              <w:rPr>
                <w:color w:val="FFFFFF" w:themeColor="background1"/>
                <w:sz w:val="18"/>
              </w:rPr>
              <w:t>Statusi i implementimit</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6AE25294" w14:textId="77777777" w:rsidR="005C57AD" w:rsidRPr="008C14F9" w:rsidRDefault="005C57AD">
            <w:pPr>
              <w:spacing w:before="20" w:after="20"/>
              <w:cnfStyle w:val="000000100000" w:firstRow="0" w:lastRow="0" w:firstColumn="0" w:lastColumn="0" w:oddVBand="0" w:evenVBand="0" w:oddHBand="1" w:evenHBand="0" w:firstRowFirstColumn="0" w:firstRowLastColumn="0" w:lastRowFirstColumn="0" w:lastRowLastColumn="0"/>
              <w:rPr>
                <w:rFonts w:eastAsia="Arial" w:cs="Arial"/>
                <w:color w:val="0F0D29"/>
                <w:sz w:val="18"/>
                <w:szCs w:val="18"/>
              </w:rPr>
            </w:pPr>
            <w:r>
              <w:rPr>
                <w:color w:val="0F0D29"/>
                <w:sz w:val="18"/>
              </w:rPr>
              <w:t>Në implementim/i planifikuar</w:t>
            </w:r>
          </w:p>
        </w:tc>
      </w:tr>
      <w:tr w:rsidR="005C57AD" w:rsidRPr="008C14F9" w14:paraId="3ECBA975" w14:textId="77777777" w:rsidTr="6A727116">
        <w:trPr>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5C997CCE" w14:textId="77777777" w:rsidR="005C57AD" w:rsidRPr="008C14F9" w:rsidRDefault="005C57AD">
            <w:pPr>
              <w:spacing w:before="20" w:after="20"/>
              <w:rPr>
                <w:color w:val="FFFFFF" w:themeColor="background1"/>
              </w:rPr>
            </w:pPr>
            <w:r>
              <w:rPr>
                <w:color w:val="FFFFFF" w:themeColor="background1"/>
                <w:sz w:val="18"/>
              </w:rPr>
              <w:t>Efektet kuantitative</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0755E460" w14:textId="545CE5B8" w:rsidR="005C57AD" w:rsidRPr="008C14F9" w:rsidRDefault="005C57AD">
            <w:pPr>
              <w:spacing w:before="20" w:after="20"/>
              <w:cnfStyle w:val="000000000000" w:firstRow="0" w:lastRow="0" w:firstColumn="0" w:lastColumn="0" w:oddVBand="0" w:evenVBand="0" w:oddHBand="0" w:evenHBand="0" w:firstRowFirstColumn="0" w:firstRowLastColumn="0" w:lastRowFirstColumn="0" w:lastRowLastColumn="0"/>
              <w:rPr>
                <w:rFonts w:eastAsia="Arial" w:cs="Arial"/>
                <w:color w:val="0F0D29"/>
                <w:sz w:val="18"/>
                <w:szCs w:val="18"/>
              </w:rPr>
            </w:pPr>
            <w:r>
              <w:rPr>
                <w:color w:val="0F0D29"/>
                <w:sz w:val="18"/>
              </w:rPr>
              <w:t>Reduktimi i sipërfaqes së prekur nga zjarret në pyje nga 2653 ha (bazë) në 2000 ha (WEM) dhe 1000 ha (WAM) (Burimi: Llogaritjet e ekspertëve)</w:t>
            </w:r>
          </w:p>
          <w:p w14:paraId="0526DBD2" w14:textId="77777777" w:rsidR="005C57AD" w:rsidRPr="008C14F9" w:rsidRDefault="005C57AD">
            <w:pPr>
              <w:spacing w:before="20" w:after="20"/>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5C57AD" w:rsidRPr="008C14F9" w14:paraId="5FC0A296" w14:textId="77777777" w:rsidTr="6A7271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2630C0C0" w14:textId="77777777" w:rsidR="005C57AD" w:rsidRPr="008C14F9" w:rsidRDefault="005C57AD">
            <w:pPr>
              <w:spacing w:before="20" w:after="20"/>
              <w:rPr>
                <w:color w:val="FFFFFF" w:themeColor="background1"/>
              </w:rPr>
            </w:pPr>
            <w:r>
              <w:rPr>
                <w:color w:val="FFFFFF" w:themeColor="background1"/>
                <w:sz w:val="18"/>
              </w:rPr>
              <w:t>Investimet</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375F5806" w14:textId="33AC7659" w:rsidR="005C57AD" w:rsidRPr="008C14F9" w:rsidRDefault="006A69E9">
            <w:pPr>
              <w:spacing w:before="20" w:after="20"/>
              <w:cnfStyle w:val="000000100000" w:firstRow="0" w:lastRow="0" w:firstColumn="0" w:lastColumn="0" w:oddVBand="0" w:evenVBand="0" w:oddHBand="1" w:evenHBand="0" w:firstRowFirstColumn="0" w:firstRowLastColumn="0" w:lastRowFirstColumn="0" w:lastRowLastColumn="0"/>
            </w:pPr>
            <w:r>
              <w:rPr>
                <w:color w:val="0F0D29"/>
                <w:sz w:val="18"/>
              </w:rPr>
              <w:t>Nevojat totale të financimit prej 3.7 mil. euro WEM) dhe 9.3 mil. euro (WAM) deri në vitin 2030 për mbrojtjen e pyjeve nga zjarret (Burimi: Llogaritjet e ekspertëve)</w:t>
            </w:r>
          </w:p>
        </w:tc>
      </w:tr>
      <w:tr w:rsidR="005C57AD" w:rsidRPr="000A65E6" w14:paraId="7D9221C7" w14:textId="77777777" w:rsidTr="6A727116">
        <w:trPr>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7C2A4E79" w14:textId="77777777" w:rsidR="005C57AD" w:rsidRPr="008C14F9" w:rsidRDefault="005C57AD">
            <w:pPr>
              <w:spacing w:before="20" w:after="20"/>
              <w:rPr>
                <w:color w:val="FFFFFF" w:themeColor="background1"/>
              </w:rPr>
            </w:pPr>
            <w:r>
              <w:rPr>
                <w:color w:val="FFFFFF" w:themeColor="background1"/>
                <w:sz w:val="18"/>
              </w:rPr>
              <w:t>Institucioni përgjegjës</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7E116D11" w14:textId="77777777" w:rsidR="005C57AD" w:rsidRPr="008C14F9" w:rsidRDefault="005C57AD">
            <w:pPr>
              <w:spacing w:before="20" w:after="20"/>
              <w:cnfStyle w:val="000000000000" w:firstRow="0" w:lastRow="0" w:firstColumn="0" w:lastColumn="0" w:oddVBand="0" w:evenVBand="0" w:oddHBand="0" w:evenHBand="0" w:firstRowFirstColumn="0" w:firstRowLastColumn="0" w:lastRowFirstColumn="0" w:lastRowLastColumn="0"/>
            </w:pPr>
            <w:r>
              <w:rPr>
                <w:color w:val="0F0D29"/>
                <w:sz w:val="18"/>
              </w:rPr>
              <w:t>MBPZHR, APK, MMPHI, JICA, donatorët</w:t>
            </w:r>
          </w:p>
        </w:tc>
      </w:tr>
      <w:tr w:rsidR="005C57AD" w:rsidRPr="008C14F9" w14:paraId="2228FE86" w14:textId="77777777" w:rsidTr="6A7271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6A26D231" w14:textId="77777777" w:rsidR="005C57AD" w:rsidRPr="008C14F9" w:rsidRDefault="005C57AD">
            <w:pPr>
              <w:spacing w:before="20" w:after="20"/>
              <w:rPr>
                <w:color w:val="FFFFFF" w:themeColor="background1"/>
              </w:rPr>
            </w:pPr>
            <w:r>
              <w:rPr>
                <w:color w:val="FFFFFF" w:themeColor="background1"/>
                <w:sz w:val="18"/>
              </w:rPr>
              <w:t>Treguesit e progresit</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6E5A883A" w14:textId="77777777" w:rsidR="005C57AD" w:rsidRPr="008C14F9" w:rsidRDefault="005C57AD">
            <w:pPr>
              <w:spacing w:before="20" w:after="20"/>
              <w:cnfStyle w:val="000000100000" w:firstRow="0" w:lastRow="0" w:firstColumn="0" w:lastColumn="0" w:oddVBand="0" w:evenVBand="0" w:oddHBand="1" w:evenHBand="0" w:firstRowFirstColumn="0" w:firstRowLastColumn="0" w:lastRowFirstColumn="0" w:lastRowLastColumn="0"/>
            </w:pPr>
            <w:r>
              <w:rPr>
                <w:color w:val="0F0D29"/>
                <w:sz w:val="18"/>
              </w:rPr>
              <w:t>Zona e prekur nga zjarret në pyje</w:t>
            </w:r>
          </w:p>
        </w:tc>
      </w:tr>
      <w:tr w:rsidR="005C57AD" w:rsidRPr="00976D33" w14:paraId="7C8C655C" w14:textId="77777777">
        <w:tc>
          <w:tcPr>
            <w:cnfStyle w:val="001000000000" w:firstRow="0" w:lastRow="0" w:firstColumn="1" w:lastColumn="0" w:oddVBand="0" w:evenVBand="0" w:oddHBand="0" w:evenHBand="0" w:firstRowFirstColumn="0" w:firstRowLastColumn="0" w:lastRowFirstColumn="0" w:lastRowLastColumn="0"/>
            <w:tcW w:w="2427" w:type="dxa"/>
          </w:tcPr>
          <w:p w14:paraId="19B9326C" w14:textId="111E2C55" w:rsidR="005C57AD" w:rsidRPr="008C14F9" w:rsidRDefault="005C57AD">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27" w:type="dxa"/>
          </w:tcPr>
          <w:p w14:paraId="70D0279B" w14:textId="77777777" w:rsidR="005C57AD" w:rsidRPr="00976D33" w:rsidRDefault="005C57AD">
            <w:pPr>
              <w:keepNext/>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 </w:t>
            </w:r>
          </w:p>
        </w:tc>
      </w:tr>
    </w:tbl>
    <w:p w14:paraId="6DD1057E" w14:textId="77777777" w:rsidR="0061575E" w:rsidRDefault="0061575E" w:rsidP="005C57AD">
      <w:pPr>
        <w:rPr>
          <w:b/>
          <w:bCs/>
        </w:rPr>
      </w:pPr>
    </w:p>
    <w:tbl>
      <w:tblPr>
        <w:tblStyle w:val="GridTable5Dark-Accent1"/>
        <w:tblW w:w="5000" w:type="pct"/>
        <w:tblLook w:val="04A0" w:firstRow="1" w:lastRow="0" w:firstColumn="1" w:lastColumn="0" w:noHBand="0" w:noVBand="1"/>
      </w:tblPr>
      <w:tblGrid>
        <w:gridCol w:w="2427"/>
        <w:gridCol w:w="7127"/>
      </w:tblGrid>
      <w:tr w:rsidR="005C57AD" w:rsidRPr="008C14F9" w14:paraId="2AE33884"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363503E5" w14:textId="5C39859B" w:rsidR="005C57AD" w:rsidRPr="008C14F9" w:rsidRDefault="005C57AD">
            <w:pPr>
              <w:spacing w:before="20" w:after="20"/>
              <w:rPr>
                <w:color w:val="FFFFFF" w:themeColor="background1"/>
              </w:rPr>
            </w:pPr>
            <w:bookmarkStart w:id="168" w:name="_Toc138210147"/>
            <w:bookmarkStart w:id="169" w:name="_Toc138998448"/>
            <w:r>
              <w:rPr>
                <w:color w:val="FFFFFF" w:themeColor="background1"/>
                <w:sz w:val="18"/>
              </w:rPr>
              <w:lastRenderedPageBreak/>
              <w:t>PM 6</w:t>
            </w:r>
            <w:r>
              <w:rPr>
                <w:b w:val="0"/>
                <w:color w:val="FFFFFF" w:themeColor="background1"/>
                <w:sz w:val="18"/>
              </w:rPr>
              <w:t xml:space="preserve">: </w:t>
            </w:r>
            <w:r>
              <w:rPr>
                <w:color w:val="FFFFFF" w:themeColor="background1"/>
                <w:sz w:val="18"/>
              </w:rPr>
              <w:t>Përdorimi i qëndrueshëm dhe shumëfunksional i burimeve pyjore</w:t>
            </w:r>
            <w:bookmarkEnd w:id="168"/>
            <w:bookmarkEnd w:id="169"/>
          </w:p>
        </w:tc>
      </w:tr>
      <w:tr w:rsidR="005C57AD" w:rsidRPr="008C14F9" w14:paraId="223F73A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69FBEF00" w14:textId="12F5380E" w:rsidR="005C57AD" w:rsidRPr="008C14F9" w:rsidRDefault="005C57AD">
            <w:pPr>
              <w:spacing w:before="20" w:after="20"/>
              <w:rPr>
                <w:b w:val="0"/>
                <w:bCs w:val="0"/>
                <w:color w:val="FFFFFF" w:themeColor="background1"/>
              </w:rPr>
            </w:pPr>
            <w:r>
              <w:rPr>
                <w:color w:val="FFFFFF" w:themeColor="background1"/>
                <w:sz w:val="18"/>
              </w:rPr>
              <w:t xml:space="preserve">Përshkrimi i shkurtër dhe objektivi: </w:t>
            </w:r>
            <w:r>
              <w:rPr>
                <w:b w:val="0"/>
                <w:color w:val="FFFFFF" w:themeColor="background1"/>
                <w:sz w:val="18"/>
              </w:rPr>
              <w:t xml:space="preserve">Bazuar në objektivat e Strategjisë për Zhvillimin e Pyjeve 2022-2030, kjo masë merr në konsideratë veprimet e mëposhtme: Thjeshtimi i procedurave teknike dhe administrative për shfrytëzimin e pyjeve; rregullimi i dhënies së lejeve të prerjeve afatgjatë; përcaktimi i kritereve dhe treguesve kombëtarë të menaxhimit të qëndrueshëm të pyjeve; ngritja e kapaciteteve të grumbulluesve dhe operatorëve të produkteve pyjore jodrusore; përcaktimi i zonave të mundshme për ekoturizëm dhe digjitalizimi dhe shënjimi i shtigjeve të ekoturizmit. </w:t>
            </w:r>
          </w:p>
          <w:p w14:paraId="010CC50C" w14:textId="77777777" w:rsidR="005C57AD" w:rsidRPr="008C14F9" w:rsidRDefault="005C57AD">
            <w:pPr>
              <w:spacing w:before="20" w:after="20"/>
              <w:rPr>
                <w:rFonts w:cs="Arial"/>
                <w:b w:val="0"/>
                <w:bCs w:val="0"/>
                <w:color w:val="FFFFFF" w:themeColor="background1"/>
              </w:rPr>
            </w:pPr>
            <w:r>
              <w:rPr>
                <w:b w:val="0"/>
                <w:color w:val="FFFFFF" w:themeColor="background1"/>
                <w:sz w:val="18"/>
              </w:rPr>
              <w:t>Me këtë masë pritet të arrihen rezultatet e mëposhtme:</w:t>
            </w:r>
          </w:p>
          <w:p w14:paraId="61EFFC01" w14:textId="77777777" w:rsidR="005C57AD" w:rsidRPr="008C14F9" w:rsidRDefault="005C57AD" w:rsidP="00AF7BBF">
            <w:pPr>
              <w:pStyle w:val="ListParagraph"/>
              <w:numPr>
                <w:ilvl w:val="0"/>
                <w:numId w:val="82"/>
              </w:numPr>
              <w:spacing w:before="0" w:after="0"/>
              <w:jc w:val="left"/>
              <w:rPr>
                <w:rFonts w:cs="Arial"/>
                <w:b w:val="0"/>
                <w:bCs w:val="0"/>
                <w:color w:val="FFFFFF" w:themeColor="background1"/>
                <w:sz w:val="18"/>
                <w:szCs w:val="18"/>
              </w:rPr>
            </w:pPr>
            <w:r>
              <w:rPr>
                <w:b w:val="0"/>
                <w:color w:val="FFFFFF" w:themeColor="background1"/>
                <w:sz w:val="18"/>
              </w:rPr>
              <w:t>Implementimi i planeve afatgjata të menaxhimit</w:t>
            </w:r>
          </w:p>
          <w:p w14:paraId="4EA3975E" w14:textId="77777777" w:rsidR="005C57AD" w:rsidRPr="008C14F9" w:rsidRDefault="005C57AD" w:rsidP="00AF7BBF">
            <w:pPr>
              <w:pStyle w:val="ListParagraph"/>
              <w:numPr>
                <w:ilvl w:val="0"/>
                <w:numId w:val="82"/>
              </w:numPr>
              <w:spacing w:before="0" w:after="0"/>
              <w:jc w:val="left"/>
              <w:rPr>
                <w:rFonts w:cs="Arial"/>
                <w:b w:val="0"/>
                <w:bCs w:val="0"/>
                <w:color w:val="FFFFFF" w:themeColor="background1"/>
                <w:sz w:val="18"/>
                <w:szCs w:val="18"/>
              </w:rPr>
            </w:pPr>
            <w:r>
              <w:rPr>
                <w:b w:val="0"/>
                <w:color w:val="FFFFFF" w:themeColor="background1"/>
                <w:sz w:val="18"/>
              </w:rPr>
              <w:t xml:space="preserve">Menaxhimi i pyjeve sipas kritereve dhe treguesve evropianë të menaxhimit të qëndrueshëm </w:t>
            </w:r>
          </w:p>
          <w:p w14:paraId="53B8A963" w14:textId="77777777" w:rsidR="005C57AD" w:rsidRPr="008C14F9" w:rsidRDefault="005C57AD" w:rsidP="00AF7BBF">
            <w:pPr>
              <w:pStyle w:val="ListParagraph"/>
              <w:numPr>
                <w:ilvl w:val="0"/>
                <w:numId w:val="82"/>
              </w:numPr>
              <w:spacing w:before="0" w:after="0"/>
              <w:jc w:val="left"/>
              <w:rPr>
                <w:color w:val="FFFFFF" w:themeColor="background1"/>
                <w:sz w:val="18"/>
                <w:szCs w:val="18"/>
              </w:rPr>
            </w:pPr>
            <w:r>
              <w:rPr>
                <w:b w:val="0"/>
                <w:color w:val="FFFFFF" w:themeColor="background1"/>
                <w:sz w:val="18"/>
              </w:rPr>
              <w:t xml:space="preserve">Zhvillimi i qëndrueshëm i ekoturizmit </w:t>
            </w:r>
          </w:p>
          <w:p w14:paraId="74F2D0C1" w14:textId="28CCF461" w:rsidR="00512EA1" w:rsidRPr="008C14F9" w:rsidRDefault="00512EA1" w:rsidP="00512EA1">
            <w:pPr>
              <w:spacing w:before="0" w:after="0"/>
              <w:jc w:val="left"/>
              <w:rPr>
                <w:color w:val="FFFFFF" w:themeColor="background1"/>
                <w:sz w:val="18"/>
                <w:szCs w:val="18"/>
              </w:rPr>
            </w:pPr>
            <w:r>
              <w:rPr>
                <w:b w:val="0"/>
                <w:color w:val="FFFFFF" w:themeColor="background1"/>
                <w:sz w:val="18"/>
              </w:rPr>
              <w:t>Për këtë qëllim, strategjia parashikon gjithashtu një zgjerim të angazhimit të palëve të interesit, veçanërisht në zhvillimin e një kornize monitorues të pyjeve për të udhëhequr reformat e politikave të ardhshme. Zhvillimi i këtij angazhimi të palëve të interesit në mënyrë gjithëpërfshirëse, duke përfshirë gratë dhe grupet e tjera të përjashtuara nga shoqëria, do të mundësojë integrimin e një sërë këndvështrimesh mbi politikën pyjore, si hapi i parë drejt një shpërndarjeje gjithëpërfshirëse të burimeve dhe përfitimeve të politikave. Për të mundësuar një proces të tillë gjithëpërfshirës, digjitalizimi i shtuar i të dhënave dhe informacionit mbi pyjet për të rritur transparencën për palët e interesit, i parashikuar gjithashtu në Strategji, do të jetë një parakusht i rëndësishëm.</w:t>
            </w:r>
          </w:p>
        </w:tc>
      </w:tr>
      <w:tr w:rsidR="005C57AD" w:rsidRPr="008C14F9" w14:paraId="4CFF03B4" w14:textId="77777777">
        <w:trPr>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7743902C" w14:textId="77777777" w:rsidR="005C57AD" w:rsidRPr="008C14F9" w:rsidRDefault="005C57AD">
            <w:pPr>
              <w:spacing w:before="20" w:after="20"/>
              <w:rPr>
                <w:color w:val="FFFFFF" w:themeColor="background1"/>
              </w:rPr>
            </w:pPr>
            <w:r>
              <w:rPr>
                <w:color w:val="FFFFFF" w:themeColor="background1"/>
                <w:sz w:val="18"/>
              </w:rPr>
              <w:t>Sektori/lloji</w:t>
            </w:r>
          </w:p>
        </w:tc>
        <w:tc>
          <w:tcPr>
            <w:tcW w:w="3730" w:type="pct"/>
            <w:tcBorders>
              <w:top w:val="nil"/>
              <w:left w:val="single" w:sz="8" w:space="0" w:color="FFFFFF" w:themeColor="background1"/>
              <w:bottom w:val="single" w:sz="8" w:space="0" w:color="FFFFFF" w:themeColor="background1"/>
              <w:right w:val="single" w:sz="8" w:space="0" w:color="FFFFFF" w:themeColor="background1"/>
            </w:tcBorders>
            <w:shd w:val="clear" w:color="auto" w:fill="B1E4FD"/>
            <w:tcMar>
              <w:left w:w="108" w:type="dxa"/>
              <w:right w:w="108" w:type="dxa"/>
            </w:tcMar>
          </w:tcPr>
          <w:p w14:paraId="75FEDA06" w14:textId="77777777" w:rsidR="005C57AD" w:rsidRPr="008C14F9" w:rsidRDefault="005C57AD">
            <w:pPr>
              <w:spacing w:before="20" w:after="20"/>
              <w:cnfStyle w:val="000000000000" w:firstRow="0" w:lastRow="0" w:firstColumn="0" w:lastColumn="0" w:oddVBand="0" w:evenVBand="0" w:oddHBand="0" w:evenHBand="0" w:firstRowFirstColumn="0" w:firstRowLastColumn="0" w:lastRowFirstColumn="0" w:lastRowLastColumn="0"/>
            </w:pPr>
            <w:r>
              <w:rPr>
                <w:color w:val="0F0D29"/>
                <w:sz w:val="18"/>
              </w:rPr>
              <w:t>Pyjor/rregullator; financiar</w:t>
            </w:r>
          </w:p>
        </w:tc>
      </w:tr>
      <w:tr w:rsidR="005C57AD" w:rsidRPr="008C14F9" w14:paraId="32FB379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6E3DDD0A" w14:textId="77777777" w:rsidR="005C57AD" w:rsidRPr="008C14F9" w:rsidRDefault="005C57AD">
            <w:pPr>
              <w:spacing w:before="20" w:after="20"/>
              <w:rPr>
                <w:color w:val="FFFFFF" w:themeColor="background1"/>
              </w:rPr>
            </w:pPr>
            <w:r>
              <w:rPr>
                <w:color w:val="FFFFFF" w:themeColor="background1"/>
                <w:sz w:val="18"/>
              </w:rPr>
              <w:t>Statusi i implementimit</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4C9FC"/>
            <w:tcMar>
              <w:left w:w="108" w:type="dxa"/>
              <w:right w:w="108" w:type="dxa"/>
            </w:tcMar>
            <w:vAlign w:val="center"/>
          </w:tcPr>
          <w:p w14:paraId="5655C1DE" w14:textId="77777777" w:rsidR="005C57AD" w:rsidRPr="008C14F9" w:rsidRDefault="005C57AD">
            <w:pPr>
              <w:spacing w:before="20" w:after="20"/>
              <w:cnfStyle w:val="000000100000" w:firstRow="0" w:lastRow="0" w:firstColumn="0" w:lastColumn="0" w:oddVBand="0" w:evenVBand="0" w:oddHBand="1" w:evenHBand="0" w:firstRowFirstColumn="0" w:firstRowLastColumn="0" w:lastRowFirstColumn="0" w:lastRowLastColumn="0"/>
            </w:pPr>
            <w:r>
              <w:rPr>
                <w:color w:val="0F0D29"/>
                <w:sz w:val="18"/>
              </w:rPr>
              <w:t>Në zbatim</w:t>
            </w:r>
          </w:p>
        </w:tc>
      </w:tr>
      <w:tr w:rsidR="005C57AD" w:rsidRPr="008C14F9" w14:paraId="5415C27F" w14:textId="77777777">
        <w:trPr>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6A9082CE" w14:textId="77777777" w:rsidR="005C57AD" w:rsidRPr="008C14F9" w:rsidRDefault="005C57AD">
            <w:pPr>
              <w:spacing w:before="20" w:after="20"/>
              <w:rPr>
                <w:color w:val="FFFFFF" w:themeColor="background1"/>
              </w:rPr>
            </w:pPr>
            <w:r>
              <w:rPr>
                <w:color w:val="FFFFFF" w:themeColor="background1"/>
                <w:sz w:val="18"/>
              </w:rPr>
              <w:t>Efektet kuantitative</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E4FD"/>
            <w:tcMar>
              <w:left w:w="108" w:type="dxa"/>
              <w:right w:w="108" w:type="dxa"/>
            </w:tcMar>
            <w:vAlign w:val="center"/>
          </w:tcPr>
          <w:p w14:paraId="44F708B4" w14:textId="77777777" w:rsidR="005C57AD" w:rsidRPr="008C14F9" w:rsidRDefault="005C57AD">
            <w:pPr>
              <w:spacing w:before="20" w:after="20"/>
              <w:cnfStyle w:val="000000000000" w:firstRow="0" w:lastRow="0" w:firstColumn="0" w:lastColumn="0" w:oddVBand="0" w:evenVBand="0" w:oddHBand="0" w:evenHBand="0" w:firstRowFirstColumn="0" w:firstRowLastColumn="0" w:lastRowFirstColumn="0" w:lastRowLastColumn="0"/>
            </w:pPr>
            <w:r>
              <w:rPr>
                <w:color w:val="0F0D29"/>
                <w:sz w:val="18"/>
              </w:rPr>
              <w:t>n/a</w:t>
            </w:r>
          </w:p>
        </w:tc>
      </w:tr>
      <w:tr w:rsidR="005C57AD" w:rsidRPr="008C14F9" w14:paraId="4A6B5F6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61D36B8F" w14:textId="77777777" w:rsidR="005C57AD" w:rsidRPr="008C14F9" w:rsidRDefault="005C57AD">
            <w:pPr>
              <w:spacing w:before="20" w:after="20"/>
              <w:rPr>
                <w:color w:val="FFFFFF" w:themeColor="background1"/>
              </w:rPr>
            </w:pPr>
            <w:r>
              <w:rPr>
                <w:color w:val="FFFFFF" w:themeColor="background1"/>
                <w:sz w:val="18"/>
              </w:rPr>
              <w:t>Investimet</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4C9FC"/>
            <w:tcMar>
              <w:left w:w="108" w:type="dxa"/>
              <w:right w:w="108" w:type="dxa"/>
            </w:tcMar>
            <w:vAlign w:val="center"/>
          </w:tcPr>
          <w:p w14:paraId="06D23C99" w14:textId="6849A748" w:rsidR="005C57AD" w:rsidRPr="008C14F9" w:rsidRDefault="00DC6072">
            <w:pPr>
              <w:spacing w:before="20" w:after="20"/>
              <w:cnfStyle w:val="000000100000" w:firstRow="0" w:lastRow="0" w:firstColumn="0" w:lastColumn="0" w:oddVBand="0" w:evenVBand="0" w:oddHBand="1" w:evenHBand="0" w:firstRowFirstColumn="0" w:firstRowLastColumn="0" w:lastRowFirstColumn="0" w:lastRowLastColumn="0"/>
            </w:pPr>
            <w:r>
              <w:rPr>
                <w:color w:val="0F0D29"/>
                <w:sz w:val="18"/>
              </w:rPr>
              <w:t>Gjithsej 1.5 mil. euro deri në vitin 2030 (0.25 në vit) prej të cilave 0.6 mil. euro vijnë nga buxheti i Agjencisë së Pyjeve dhe 0.9 mil. euro nga donatorëve (Burimi: Agjencia e Pyjeve, llogaritjet e ekspertëve)</w:t>
            </w:r>
          </w:p>
        </w:tc>
      </w:tr>
      <w:tr w:rsidR="005C57AD" w:rsidRPr="008C14F9" w14:paraId="76960FFD" w14:textId="77777777">
        <w:trPr>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143881A9" w14:textId="77777777" w:rsidR="005C57AD" w:rsidRPr="008C14F9" w:rsidRDefault="005C57AD">
            <w:pPr>
              <w:spacing w:before="20" w:after="20"/>
              <w:rPr>
                <w:color w:val="FFFFFF" w:themeColor="background1"/>
              </w:rPr>
            </w:pPr>
            <w:r>
              <w:rPr>
                <w:color w:val="FFFFFF" w:themeColor="background1"/>
                <w:sz w:val="18"/>
              </w:rPr>
              <w:t>Institucioni përgjegjës</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E4FD"/>
            <w:tcMar>
              <w:left w:w="108" w:type="dxa"/>
              <w:right w:w="108" w:type="dxa"/>
            </w:tcMar>
            <w:vAlign w:val="center"/>
          </w:tcPr>
          <w:p w14:paraId="56D2F88D" w14:textId="77777777" w:rsidR="005C57AD" w:rsidRPr="008C14F9" w:rsidRDefault="005C57AD">
            <w:pPr>
              <w:spacing w:before="20" w:after="20"/>
              <w:cnfStyle w:val="000000000000" w:firstRow="0" w:lastRow="0" w:firstColumn="0" w:lastColumn="0" w:oddVBand="0" w:evenVBand="0" w:oddHBand="0" w:evenHBand="0" w:firstRowFirstColumn="0" w:firstRowLastColumn="0" w:lastRowFirstColumn="0" w:lastRowLastColumn="0"/>
            </w:pPr>
            <w:r>
              <w:rPr>
                <w:color w:val="0F0D29"/>
                <w:sz w:val="18"/>
              </w:rPr>
              <w:t>MBPZHR, APK, MMPHI, donatorët</w:t>
            </w:r>
          </w:p>
        </w:tc>
      </w:tr>
      <w:tr w:rsidR="005C57AD" w:rsidRPr="008C14F9" w14:paraId="54FA228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75F043C9" w14:textId="77777777" w:rsidR="005C57AD" w:rsidRPr="008C14F9" w:rsidRDefault="005C57AD">
            <w:pPr>
              <w:spacing w:before="20" w:after="20"/>
              <w:rPr>
                <w:color w:val="FFFFFF" w:themeColor="background1"/>
              </w:rPr>
            </w:pPr>
            <w:r>
              <w:rPr>
                <w:color w:val="FFFFFF" w:themeColor="background1"/>
                <w:sz w:val="18"/>
              </w:rPr>
              <w:t>Treguesit e progresit</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4C9FC"/>
            <w:tcMar>
              <w:left w:w="108" w:type="dxa"/>
              <w:right w:w="108" w:type="dxa"/>
            </w:tcMar>
            <w:vAlign w:val="center"/>
          </w:tcPr>
          <w:p w14:paraId="1D655EFF" w14:textId="77777777" w:rsidR="005C57AD" w:rsidRPr="008C14F9" w:rsidRDefault="005C57AD">
            <w:pPr>
              <w:spacing w:before="20" w:after="20"/>
              <w:cnfStyle w:val="000000100000" w:firstRow="0" w:lastRow="0" w:firstColumn="0" w:lastColumn="0" w:oddVBand="0" w:evenVBand="0" w:oddHBand="1" w:evenHBand="0" w:firstRowFirstColumn="0" w:firstRowLastColumn="0" w:lastRowFirstColumn="0" w:lastRowLastColumn="0"/>
            </w:pPr>
            <w:r>
              <w:rPr>
                <w:color w:val="0F0D29"/>
                <w:sz w:val="18"/>
              </w:rPr>
              <w:t>Sipërfaqja pyjore dhe vëllimi i pyjeve</w:t>
            </w:r>
          </w:p>
        </w:tc>
      </w:tr>
      <w:tr w:rsidR="005C57AD" w:rsidRPr="00976D33" w14:paraId="2AE2460C" w14:textId="77777777" w:rsidTr="00516514">
        <w:tc>
          <w:tcPr>
            <w:cnfStyle w:val="001000000000" w:firstRow="0" w:lastRow="0" w:firstColumn="1" w:lastColumn="0" w:oddVBand="0" w:evenVBand="0" w:oddHBand="0" w:evenHBand="0" w:firstRowFirstColumn="0" w:firstRowLastColumn="0" w:lastRowFirstColumn="0" w:lastRowLastColumn="0"/>
            <w:tcW w:w="1270" w:type="pct"/>
          </w:tcPr>
          <w:p w14:paraId="1B0C1A65" w14:textId="47A893C3" w:rsidR="005C57AD" w:rsidRPr="008C14F9" w:rsidRDefault="005C57AD">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3730" w:type="pct"/>
          </w:tcPr>
          <w:p w14:paraId="3A5D5DBF" w14:textId="77777777" w:rsidR="005C57AD" w:rsidRPr="00976D33" w:rsidRDefault="005C57AD">
            <w:pPr>
              <w:keepNext/>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 </w:t>
            </w:r>
          </w:p>
        </w:tc>
      </w:tr>
    </w:tbl>
    <w:p w14:paraId="5B27427E" w14:textId="77777777" w:rsidR="00AA7CDF" w:rsidRPr="00976D33" w:rsidRDefault="00AA7CDF" w:rsidP="005C57AD">
      <w:pPr>
        <w:rPr>
          <w:b/>
          <w:bCs/>
        </w:rPr>
      </w:pPr>
    </w:p>
    <w:tbl>
      <w:tblPr>
        <w:tblStyle w:val="GridTable5Dark-Accent1"/>
        <w:tblW w:w="5000" w:type="pct"/>
        <w:tblLook w:val="04A0" w:firstRow="1" w:lastRow="0" w:firstColumn="1" w:lastColumn="0" w:noHBand="0" w:noVBand="1"/>
      </w:tblPr>
      <w:tblGrid>
        <w:gridCol w:w="2427"/>
        <w:gridCol w:w="7127"/>
      </w:tblGrid>
      <w:tr w:rsidR="005C57AD" w:rsidRPr="00156C04" w14:paraId="6657D112"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0FAC76D7" w14:textId="717406F3" w:rsidR="005C57AD" w:rsidRPr="00156C04" w:rsidRDefault="005C57AD">
            <w:pPr>
              <w:spacing w:before="20" w:after="20"/>
              <w:rPr>
                <w:color w:val="FFFFFF" w:themeColor="background1"/>
              </w:rPr>
            </w:pPr>
            <w:bookmarkStart w:id="170" w:name="_Toc138210148"/>
            <w:bookmarkStart w:id="171" w:name="_Toc138998449"/>
            <w:r>
              <w:rPr>
                <w:color w:val="FFFFFF" w:themeColor="background1"/>
                <w:sz w:val="18"/>
              </w:rPr>
              <w:t>PM 7</w:t>
            </w:r>
            <w:r>
              <w:rPr>
                <w:b w:val="0"/>
                <w:color w:val="FFFFFF" w:themeColor="background1"/>
                <w:sz w:val="18"/>
              </w:rPr>
              <w:t xml:space="preserve">: </w:t>
            </w:r>
            <w:r>
              <w:rPr>
                <w:color w:val="FFFFFF" w:themeColor="background1"/>
                <w:sz w:val="18"/>
              </w:rPr>
              <w:t>Menaxhimi i qëndrueshëm i burimeve natyrore (tokës, pyjeve dhe ujit) në bujqësi</w:t>
            </w:r>
            <w:bookmarkEnd w:id="170"/>
            <w:bookmarkEnd w:id="171"/>
          </w:p>
        </w:tc>
      </w:tr>
      <w:tr w:rsidR="005C57AD" w:rsidRPr="00156C04" w14:paraId="4EAF19F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51FC9DDE" w14:textId="77777777" w:rsidR="005C57AD" w:rsidRPr="00156C04" w:rsidRDefault="005C57AD">
            <w:pPr>
              <w:spacing w:before="20" w:after="20"/>
              <w:rPr>
                <w:rFonts w:eastAsia="Arial" w:cs="Arial"/>
                <w:b w:val="0"/>
                <w:bCs w:val="0"/>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Për të reduktuar emetimet e GS-ve nga bujqësia, menaxhimi i qëndrueshëm i burimeve natyrore në këtë sektor duke vënë në përdorim praktika të mira bujqësore dhe mjedisore është thelbësor. Masat e mëposhtme kontribuojnë në këtë qëllim:</w:t>
            </w:r>
          </w:p>
          <w:p w14:paraId="56FEE7C9" w14:textId="77777777" w:rsidR="005C57AD" w:rsidRPr="00156C04" w:rsidRDefault="005C57AD" w:rsidP="00AF7BBF">
            <w:pPr>
              <w:pStyle w:val="ListParagraph"/>
              <w:numPr>
                <w:ilvl w:val="0"/>
                <w:numId w:val="83"/>
              </w:numPr>
              <w:spacing w:before="20" w:after="20"/>
              <w:rPr>
                <w:rFonts w:eastAsia="Arial" w:cs="Arial"/>
                <w:b w:val="0"/>
                <w:bCs w:val="0"/>
                <w:color w:val="FFFFFF" w:themeColor="background1"/>
                <w:sz w:val="18"/>
                <w:szCs w:val="18"/>
              </w:rPr>
            </w:pPr>
            <w:r>
              <w:rPr>
                <w:b w:val="0"/>
                <w:color w:val="FFFFFF" w:themeColor="background1"/>
                <w:sz w:val="18"/>
              </w:rPr>
              <w:t>Reduktimi i zjarreve që dëmtojnë klimën dhe zvogëlojnë rendimentin e kulturave bujqësore duke nxitur fermerët të kursejnë mbetjet bujqësore dhe potencialisht të përdorin  kallamishtë e kulturave si burim energjie ose ushqim për bagëtinë</w:t>
            </w:r>
          </w:p>
          <w:p w14:paraId="0C0EF53F" w14:textId="77777777" w:rsidR="005C57AD" w:rsidRPr="00156C04" w:rsidRDefault="005C57AD" w:rsidP="00AF7BBF">
            <w:pPr>
              <w:pStyle w:val="ListParagraph"/>
              <w:numPr>
                <w:ilvl w:val="0"/>
                <w:numId w:val="83"/>
              </w:numPr>
              <w:spacing w:before="20" w:after="20"/>
              <w:rPr>
                <w:rFonts w:eastAsia="Arial" w:cs="Arial"/>
                <w:b w:val="0"/>
                <w:bCs w:val="0"/>
                <w:color w:val="FFFFFF" w:themeColor="background1"/>
                <w:sz w:val="18"/>
                <w:szCs w:val="18"/>
              </w:rPr>
            </w:pPr>
            <w:r>
              <w:rPr>
                <w:b w:val="0"/>
                <w:color w:val="FFFFFF" w:themeColor="background1"/>
                <w:sz w:val="18"/>
              </w:rPr>
              <w:t>Nxitja e intensifikimit të qëndrueshëm nëpërmjet rritjes së rendimentit duke aplikuar nivele më të larta të azotit, deri në pikën në të cilën kjo zvogëlon emetimet e GS-ve për ton drithë të prodhuar, nëpërmjet subvencionimit të plehrave minerale dhe mbështetjes së përdorimit të plehut organik si pleh natyral</w:t>
            </w:r>
          </w:p>
          <w:p w14:paraId="34E32297" w14:textId="77777777" w:rsidR="005C57AD" w:rsidRPr="00156C04" w:rsidRDefault="005C57AD" w:rsidP="00AF7BBF">
            <w:pPr>
              <w:pStyle w:val="ListParagraph"/>
              <w:numPr>
                <w:ilvl w:val="0"/>
                <w:numId w:val="83"/>
              </w:numPr>
              <w:spacing w:before="20" w:after="20"/>
              <w:rPr>
                <w:rFonts w:eastAsia="Arial" w:cs="Arial"/>
                <w:b w:val="0"/>
                <w:bCs w:val="0"/>
                <w:color w:val="FFFFFF" w:themeColor="background1"/>
                <w:sz w:val="18"/>
                <w:szCs w:val="18"/>
              </w:rPr>
            </w:pPr>
            <w:r>
              <w:rPr>
                <w:b w:val="0"/>
                <w:color w:val="FFFFFF" w:themeColor="background1"/>
                <w:sz w:val="18"/>
              </w:rPr>
              <w:t>Përmirësimi i menaxhimit të mbetjeve bujqësore si ruajtje e rëndësishme e karbonit, duke iniciuar projekte hulumtuese dhe teknologji matëse për të mbajtur një ekuilibër specifik, duke qenë se mbetjet e të korrave gjenerojnë gjithashtu N2O</w:t>
            </w:r>
          </w:p>
          <w:p w14:paraId="08B2D73F" w14:textId="213D1E09" w:rsidR="005C57AD" w:rsidRPr="00156C04" w:rsidRDefault="005C57AD" w:rsidP="00AF7BBF">
            <w:pPr>
              <w:pStyle w:val="ListParagraph"/>
              <w:numPr>
                <w:ilvl w:val="0"/>
                <w:numId w:val="83"/>
              </w:numPr>
              <w:spacing w:before="20" w:after="20"/>
              <w:rPr>
                <w:rFonts w:eastAsia="Arial" w:cs="Arial"/>
                <w:b w:val="0"/>
                <w:bCs w:val="0"/>
                <w:color w:val="FFFFFF" w:themeColor="background1"/>
                <w:sz w:val="18"/>
                <w:szCs w:val="18"/>
              </w:rPr>
            </w:pPr>
            <w:r>
              <w:rPr>
                <w:b w:val="0"/>
                <w:color w:val="FFFFFF" w:themeColor="background1"/>
                <w:sz w:val="18"/>
              </w:rPr>
              <w:t>Zvogëlimi i numrit të ripërtypësve (gjedhëve, deleve, dhive) të cilët shkaktojnë emetime të larta të GS-ve përmes emetimeve të CH4 nga fermentimi enterik. Arritja e kësaj duke rritur produktivitetin e ripërtypësve, për shembull duke përmirësuar cilësinë e ushqimit ose praktikat e menaxhimit të mbarështimit, mund të jetë një fitore e dyfishtë duke përmirësuar gjithashtu sigurinë ushqimore dhe jetesën lokale</w:t>
            </w:r>
          </w:p>
          <w:p w14:paraId="016D06EB" w14:textId="137E4A99" w:rsidR="005C57AD" w:rsidRPr="00156C04" w:rsidRDefault="005C57AD" w:rsidP="00FF705C">
            <w:pPr>
              <w:pStyle w:val="ListParagraph"/>
              <w:numPr>
                <w:ilvl w:val="0"/>
                <w:numId w:val="83"/>
              </w:numPr>
              <w:spacing w:before="20" w:after="20"/>
              <w:rPr>
                <w:color w:val="FFFFFF" w:themeColor="background1"/>
              </w:rPr>
            </w:pPr>
            <w:r>
              <w:rPr>
                <w:b w:val="0"/>
                <w:color w:val="FFFFFF" w:themeColor="background1"/>
                <w:sz w:val="18"/>
              </w:rPr>
              <w:t>Intensifikimi i qëndrueshëm i prodhimit blegtoral për të ulur sasitë aktualisht të larta të GS-ve për kilogram prodhim shtazor, p.sh. nëpërmjet ushqimit të koncentruar, cikleve më të shkurtra të jetës dhe mbrojtjes së shëndetit të kafshëve, duke pasur parasysh ndryshimin me shëndetin e kafshëve.</w:t>
            </w:r>
          </w:p>
        </w:tc>
      </w:tr>
      <w:tr w:rsidR="005C57AD" w:rsidRPr="00156C04" w14:paraId="050DBF19" w14:textId="77777777">
        <w:trPr>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2E842C91" w14:textId="77777777" w:rsidR="005C57AD" w:rsidRPr="00156C04" w:rsidRDefault="005C57AD">
            <w:pPr>
              <w:spacing w:before="20" w:after="20"/>
              <w:rPr>
                <w:color w:val="FFFFFF" w:themeColor="background1"/>
              </w:rPr>
            </w:pPr>
            <w:r>
              <w:rPr>
                <w:color w:val="FFFFFF" w:themeColor="background1"/>
                <w:sz w:val="18"/>
              </w:rPr>
              <w:t>Sektori/lloji</w:t>
            </w:r>
          </w:p>
        </w:tc>
        <w:tc>
          <w:tcPr>
            <w:tcW w:w="3730" w:type="pct"/>
            <w:tcBorders>
              <w:top w:val="nil"/>
              <w:left w:val="single" w:sz="8" w:space="0" w:color="FFFFFF" w:themeColor="background1"/>
              <w:bottom w:val="single" w:sz="8" w:space="0" w:color="FFFFFF" w:themeColor="background1"/>
              <w:right w:val="single" w:sz="8" w:space="0" w:color="FFFFFF" w:themeColor="background1"/>
            </w:tcBorders>
            <w:shd w:val="clear" w:color="auto" w:fill="B1E4FD"/>
            <w:tcMar>
              <w:left w:w="108" w:type="dxa"/>
              <w:right w:w="108" w:type="dxa"/>
            </w:tcMar>
          </w:tcPr>
          <w:p w14:paraId="1FAE8414" w14:textId="77777777" w:rsidR="005C57AD" w:rsidRPr="00156C04" w:rsidRDefault="005C57AD">
            <w:pPr>
              <w:spacing w:before="20" w:after="20"/>
              <w:cnfStyle w:val="000000000000" w:firstRow="0" w:lastRow="0" w:firstColumn="0" w:lastColumn="0" w:oddVBand="0" w:evenVBand="0" w:oddHBand="0" w:evenHBand="0" w:firstRowFirstColumn="0" w:firstRowLastColumn="0" w:lastRowFirstColumn="0" w:lastRowLastColumn="0"/>
            </w:pPr>
            <w:r>
              <w:rPr>
                <w:color w:val="0F0D29"/>
                <w:sz w:val="18"/>
              </w:rPr>
              <w:t>Bujqësor/rregullator; financiar</w:t>
            </w:r>
          </w:p>
        </w:tc>
      </w:tr>
      <w:tr w:rsidR="005C57AD" w:rsidRPr="00156C04" w14:paraId="2031BF5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7B68CEA9" w14:textId="77777777" w:rsidR="005C57AD" w:rsidRPr="00156C04" w:rsidRDefault="005C57AD">
            <w:pPr>
              <w:spacing w:before="20" w:after="20"/>
              <w:rPr>
                <w:color w:val="FFFFFF" w:themeColor="background1"/>
              </w:rPr>
            </w:pPr>
            <w:r>
              <w:rPr>
                <w:color w:val="FFFFFF" w:themeColor="background1"/>
                <w:sz w:val="18"/>
              </w:rPr>
              <w:t>Statusi i implementimit</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4C9FC"/>
            <w:tcMar>
              <w:left w:w="108" w:type="dxa"/>
              <w:right w:w="108" w:type="dxa"/>
            </w:tcMar>
            <w:vAlign w:val="center"/>
          </w:tcPr>
          <w:p w14:paraId="7ECD2C84" w14:textId="77777777" w:rsidR="005C57AD" w:rsidRPr="00156C04" w:rsidRDefault="005C57AD">
            <w:pPr>
              <w:spacing w:before="20" w:after="20"/>
              <w:cnfStyle w:val="000000100000" w:firstRow="0" w:lastRow="0" w:firstColumn="0" w:lastColumn="0" w:oddVBand="0" w:evenVBand="0" w:oddHBand="1" w:evenHBand="0" w:firstRowFirstColumn="0" w:firstRowLastColumn="0" w:lastRowFirstColumn="0" w:lastRowLastColumn="0"/>
            </w:pPr>
            <w:r>
              <w:rPr>
                <w:color w:val="0F0D29"/>
                <w:sz w:val="18"/>
              </w:rPr>
              <w:t>Planifikuar</w:t>
            </w:r>
          </w:p>
        </w:tc>
      </w:tr>
      <w:tr w:rsidR="005C57AD" w:rsidRPr="00156C04" w14:paraId="11BCAE1E" w14:textId="77777777">
        <w:trPr>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2F870C8E" w14:textId="77777777" w:rsidR="005C57AD" w:rsidRPr="00156C04" w:rsidRDefault="005C57AD">
            <w:pPr>
              <w:spacing w:before="20" w:after="20"/>
              <w:rPr>
                <w:color w:val="FFFFFF" w:themeColor="background1"/>
              </w:rPr>
            </w:pPr>
            <w:r>
              <w:rPr>
                <w:color w:val="FFFFFF" w:themeColor="background1"/>
                <w:sz w:val="18"/>
              </w:rPr>
              <w:t>Efektet kuantitative</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E4FD"/>
            <w:tcMar>
              <w:left w:w="108" w:type="dxa"/>
              <w:right w:w="108" w:type="dxa"/>
            </w:tcMar>
            <w:vAlign w:val="center"/>
          </w:tcPr>
          <w:p w14:paraId="6AF97F25" w14:textId="77777777" w:rsidR="005C57AD" w:rsidRPr="00156C04" w:rsidRDefault="005C57AD">
            <w:pPr>
              <w:spacing w:before="20" w:after="20"/>
              <w:cnfStyle w:val="000000000000" w:firstRow="0" w:lastRow="0" w:firstColumn="0" w:lastColumn="0" w:oddVBand="0" w:evenVBand="0" w:oddHBand="0" w:evenHBand="0" w:firstRowFirstColumn="0" w:firstRowLastColumn="0" w:lastRowFirstColumn="0" w:lastRowLastColumn="0"/>
              <w:rPr>
                <w:rFonts w:eastAsia="Arial" w:cs="Arial"/>
                <w:color w:val="0F0D29"/>
                <w:sz w:val="18"/>
                <w:szCs w:val="18"/>
              </w:rPr>
            </w:pPr>
            <w:r>
              <w:rPr>
                <w:color w:val="0F0D29"/>
                <w:sz w:val="18"/>
              </w:rPr>
              <w:t>Reduktimi i zjarreve në kultura për 50% deri në vitin 2030</w:t>
            </w:r>
          </w:p>
          <w:p w14:paraId="008FAD4D" w14:textId="77777777" w:rsidR="005C57AD" w:rsidRPr="00156C04" w:rsidRDefault="005C57AD">
            <w:pPr>
              <w:spacing w:before="20" w:after="20"/>
              <w:cnfStyle w:val="000000000000" w:firstRow="0" w:lastRow="0" w:firstColumn="0" w:lastColumn="0" w:oddVBand="0" w:evenVBand="0" w:oddHBand="0" w:evenHBand="0" w:firstRowFirstColumn="0" w:firstRowLastColumn="0" w:lastRowFirstColumn="0" w:lastRowLastColumn="0"/>
              <w:rPr>
                <w:rFonts w:eastAsia="Arial" w:cs="Arial"/>
                <w:color w:val="0F0D29"/>
                <w:sz w:val="18"/>
                <w:szCs w:val="18"/>
              </w:rPr>
            </w:pPr>
            <w:r>
              <w:rPr>
                <w:color w:val="0F0D29"/>
                <w:sz w:val="18"/>
              </w:rPr>
              <w:t>Rritja e përdorimit të plehrave minerale nga 43,66 kg N/ha në 100 kg N/ha (WEM) dhe 150 kg N/ha (WAM) deri në vitin 2030</w:t>
            </w:r>
          </w:p>
          <w:p w14:paraId="22F80405" w14:textId="77777777" w:rsidR="005C57AD" w:rsidRPr="00156C04" w:rsidRDefault="005C57AD">
            <w:pPr>
              <w:spacing w:before="20" w:after="20"/>
              <w:cnfStyle w:val="000000000000" w:firstRow="0" w:lastRow="0" w:firstColumn="0" w:lastColumn="0" w:oddVBand="0" w:evenVBand="0" w:oddHBand="0" w:evenHBand="0" w:firstRowFirstColumn="0" w:firstRowLastColumn="0" w:lastRowFirstColumn="0" w:lastRowLastColumn="0"/>
              <w:rPr>
                <w:rFonts w:eastAsia="Arial" w:cs="Arial"/>
                <w:color w:val="0F0D29"/>
                <w:sz w:val="18"/>
                <w:szCs w:val="18"/>
              </w:rPr>
            </w:pPr>
            <w:r>
              <w:rPr>
                <w:color w:val="0F0D29"/>
                <w:sz w:val="18"/>
              </w:rPr>
              <w:t>20% më pak mbetje bujqësore deri në vitin 2030</w:t>
            </w:r>
          </w:p>
          <w:p w14:paraId="1FBEEB44" w14:textId="77777777" w:rsidR="005C57AD" w:rsidRPr="00156C04" w:rsidRDefault="005C57AD">
            <w:pPr>
              <w:spacing w:before="20" w:after="20"/>
              <w:cnfStyle w:val="000000000000" w:firstRow="0" w:lastRow="0" w:firstColumn="0" w:lastColumn="0" w:oddVBand="0" w:evenVBand="0" w:oddHBand="0" w:evenHBand="0" w:firstRowFirstColumn="0" w:firstRowLastColumn="0" w:lastRowFirstColumn="0" w:lastRowLastColumn="0"/>
              <w:rPr>
                <w:rFonts w:eastAsia="Arial" w:cs="Arial"/>
                <w:color w:val="0F0D29"/>
                <w:sz w:val="18"/>
                <w:szCs w:val="18"/>
              </w:rPr>
            </w:pPr>
            <w:r>
              <w:rPr>
                <w:color w:val="0F0D29"/>
                <w:sz w:val="18"/>
              </w:rPr>
              <w:t>10% më pak bagëti deri në vitin 2030</w:t>
            </w:r>
          </w:p>
          <w:p w14:paraId="275F61B6" w14:textId="77777777" w:rsidR="00453EDD" w:rsidRPr="00156C04" w:rsidRDefault="005C57AD">
            <w:pPr>
              <w:spacing w:before="20" w:after="20"/>
              <w:cnfStyle w:val="000000000000" w:firstRow="0" w:lastRow="0" w:firstColumn="0" w:lastColumn="0" w:oddVBand="0" w:evenVBand="0" w:oddHBand="0" w:evenHBand="0" w:firstRowFirstColumn="0" w:firstRowLastColumn="0" w:lastRowFirstColumn="0" w:lastRowLastColumn="0"/>
              <w:rPr>
                <w:rFonts w:eastAsia="Arial" w:cs="Arial"/>
                <w:color w:val="0F0D29"/>
                <w:sz w:val="18"/>
                <w:szCs w:val="18"/>
              </w:rPr>
            </w:pPr>
            <w:r>
              <w:rPr>
                <w:color w:val="0F0D29"/>
                <w:sz w:val="18"/>
              </w:rPr>
              <w:t>25% më pak CH</w:t>
            </w:r>
            <w:r>
              <w:rPr>
                <w:color w:val="0F0D29"/>
                <w:sz w:val="18"/>
                <w:vertAlign w:val="subscript"/>
              </w:rPr>
              <w:t>4</w:t>
            </w:r>
            <w:r>
              <w:rPr>
                <w:color w:val="0F0D29"/>
                <w:sz w:val="18"/>
              </w:rPr>
              <w:t xml:space="preserve"> deri në vitin 2030</w:t>
            </w:r>
          </w:p>
          <w:p w14:paraId="7A545E90" w14:textId="23605504" w:rsidR="00453EDD" w:rsidRPr="00156C04" w:rsidRDefault="00453EDD">
            <w:pPr>
              <w:spacing w:before="20" w:after="20"/>
              <w:cnfStyle w:val="000000000000" w:firstRow="0" w:lastRow="0" w:firstColumn="0" w:lastColumn="0" w:oddVBand="0" w:evenVBand="0" w:oddHBand="0" w:evenHBand="0" w:firstRowFirstColumn="0" w:firstRowLastColumn="0" w:lastRowFirstColumn="0" w:lastRowLastColumn="0"/>
              <w:rPr>
                <w:rFonts w:eastAsia="Arial" w:cs="Arial"/>
                <w:color w:val="0F0D29"/>
                <w:sz w:val="18"/>
                <w:szCs w:val="18"/>
              </w:rPr>
            </w:pPr>
            <w:r>
              <w:rPr>
                <w:sz w:val="18"/>
              </w:rPr>
              <w:t>Burimi: Llogaritjet e ekspertëve</w:t>
            </w:r>
          </w:p>
        </w:tc>
      </w:tr>
      <w:tr w:rsidR="005C57AD" w:rsidRPr="00156C04" w14:paraId="60AD5B9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0E707112" w14:textId="77777777" w:rsidR="005C57AD" w:rsidRPr="00156C04" w:rsidRDefault="005C57AD">
            <w:pPr>
              <w:spacing w:before="20" w:after="20"/>
              <w:rPr>
                <w:color w:val="FFFFFF" w:themeColor="background1"/>
              </w:rPr>
            </w:pPr>
            <w:r>
              <w:rPr>
                <w:color w:val="FFFFFF" w:themeColor="background1"/>
                <w:sz w:val="18"/>
              </w:rPr>
              <w:t>Investimet</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4C9FC"/>
            <w:tcMar>
              <w:left w:w="108" w:type="dxa"/>
              <w:right w:w="108" w:type="dxa"/>
            </w:tcMar>
            <w:vAlign w:val="center"/>
          </w:tcPr>
          <w:p w14:paraId="3D4299C5" w14:textId="7B4B1BB4" w:rsidR="00697A96" w:rsidRPr="00156C04" w:rsidRDefault="00697A96" w:rsidP="00697A96">
            <w:pPr>
              <w:spacing w:before="20" w:after="20"/>
              <w:cnfStyle w:val="000000100000" w:firstRow="0" w:lastRow="0" w:firstColumn="0" w:lastColumn="0" w:oddVBand="0" w:evenVBand="0" w:oddHBand="1" w:evenHBand="0" w:firstRowFirstColumn="0" w:firstRowLastColumn="0" w:lastRowFirstColumn="0" w:lastRowLastColumn="0"/>
              <w:rPr>
                <w:rFonts w:eastAsia="Arial" w:cs="Arial"/>
                <w:color w:val="0F0D29"/>
                <w:sz w:val="18"/>
                <w:szCs w:val="18"/>
              </w:rPr>
            </w:pPr>
            <w:r>
              <w:rPr>
                <w:color w:val="0F0D29"/>
                <w:sz w:val="18"/>
              </w:rPr>
              <w:t>Deri në vitin 2030:</w:t>
            </w:r>
          </w:p>
          <w:p w14:paraId="3F11F634" w14:textId="77777777" w:rsidR="00697A96" w:rsidRPr="00156C04" w:rsidRDefault="00697A96" w:rsidP="00697A96">
            <w:pPr>
              <w:spacing w:before="20" w:after="20"/>
              <w:cnfStyle w:val="000000100000" w:firstRow="0" w:lastRow="0" w:firstColumn="0" w:lastColumn="0" w:oddVBand="0" w:evenVBand="0" w:oddHBand="1" w:evenHBand="0" w:firstRowFirstColumn="0" w:firstRowLastColumn="0" w:lastRowFirstColumn="0" w:lastRowLastColumn="0"/>
              <w:rPr>
                <w:rFonts w:eastAsia="Arial" w:cs="Arial"/>
                <w:color w:val="0F0D29"/>
                <w:sz w:val="18"/>
                <w:szCs w:val="18"/>
              </w:rPr>
            </w:pPr>
            <w:r>
              <w:rPr>
                <w:color w:val="0F0D29"/>
                <w:sz w:val="18"/>
              </w:rPr>
              <w:t>1) 25 mil. euro për rritjen e përdorimit të plehrave minerale</w:t>
            </w:r>
          </w:p>
          <w:p w14:paraId="2F1F085A" w14:textId="77777777" w:rsidR="00697A96" w:rsidRPr="00156C04" w:rsidRDefault="00697A96" w:rsidP="00697A96">
            <w:pPr>
              <w:spacing w:before="20" w:after="20"/>
              <w:cnfStyle w:val="000000100000" w:firstRow="0" w:lastRow="0" w:firstColumn="0" w:lastColumn="0" w:oddVBand="0" w:evenVBand="0" w:oddHBand="1" w:evenHBand="0" w:firstRowFirstColumn="0" w:firstRowLastColumn="0" w:lastRowFirstColumn="0" w:lastRowLastColumn="0"/>
              <w:rPr>
                <w:rFonts w:eastAsia="Arial" w:cs="Arial"/>
                <w:color w:val="0F0D29"/>
                <w:sz w:val="18"/>
                <w:szCs w:val="18"/>
              </w:rPr>
            </w:pPr>
            <w:r>
              <w:rPr>
                <w:color w:val="0F0D29"/>
                <w:sz w:val="18"/>
              </w:rPr>
              <w:lastRenderedPageBreak/>
              <w:t>2)</w:t>
            </w:r>
            <w:r>
              <w:rPr>
                <w:color w:val="0F0D29"/>
                <w:sz w:val="18"/>
              </w:rPr>
              <w:tab/>
              <w:t>4.51 mil. euro për reduktimin e mbetjeve të kulturave/zjarreve të kulturave</w:t>
            </w:r>
          </w:p>
          <w:p w14:paraId="30AD1686" w14:textId="77777777" w:rsidR="005C57AD" w:rsidRPr="00156C04" w:rsidRDefault="00697A96" w:rsidP="00697A96">
            <w:pPr>
              <w:spacing w:before="20" w:after="20"/>
              <w:cnfStyle w:val="000000100000" w:firstRow="0" w:lastRow="0" w:firstColumn="0" w:lastColumn="0" w:oddVBand="0" w:evenVBand="0" w:oddHBand="1" w:evenHBand="0" w:firstRowFirstColumn="0" w:firstRowLastColumn="0" w:lastRowFirstColumn="0" w:lastRowLastColumn="0"/>
              <w:rPr>
                <w:rFonts w:eastAsia="Arial" w:cs="Arial"/>
                <w:color w:val="0F0D29"/>
                <w:sz w:val="18"/>
                <w:szCs w:val="18"/>
              </w:rPr>
            </w:pPr>
            <w:r>
              <w:rPr>
                <w:color w:val="0F0D29"/>
                <w:sz w:val="18"/>
              </w:rPr>
              <w:t>3)</w:t>
            </w:r>
            <w:r>
              <w:rPr>
                <w:color w:val="0F0D29"/>
                <w:sz w:val="18"/>
              </w:rPr>
              <w:tab/>
              <w:t>6.6 mil. euro për reduktimin e CH4</w:t>
            </w:r>
          </w:p>
          <w:p w14:paraId="0AAE6D8C" w14:textId="7B34B8CB" w:rsidR="00697A96" w:rsidRPr="00156C04" w:rsidRDefault="00697A96" w:rsidP="00697A96">
            <w:pPr>
              <w:spacing w:before="20" w:after="20"/>
              <w:cnfStyle w:val="000000100000" w:firstRow="0" w:lastRow="0" w:firstColumn="0" w:lastColumn="0" w:oddVBand="0" w:evenVBand="0" w:oddHBand="1" w:evenHBand="0" w:firstRowFirstColumn="0" w:firstRowLastColumn="0" w:lastRowFirstColumn="0" w:lastRowLastColumn="0"/>
            </w:pPr>
            <w:r>
              <w:rPr>
                <w:color w:val="0F0D29"/>
                <w:sz w:val="18"/>
              </w:rPr>
              <w:t>Burimi: Llogaritjet e ekspertëve</w:t>
            </w:r>
          </w:p>
        </w:tc>
      </w:tr>
      <w:tr w:rsidR="005C57AD" w:rsidRPr="00156C04" w14:paraId="67A96719" w14:textId="77777777">
        <w:trPr>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759E9CFE" w14:textId="77777777" w:rsidR="005C57AD" w:rsidRPr="00156C04" w:rsidRDefault="005C57AD">
            <w:pPr>
              <w:spacing w:before="20" w:after="20"/>
              <w:rPr>
                <w:color w:val="FFFFFF" w:themeColor="background1"/>
              </w:rPr>
            </w:pPr>
            <w:r>
              <w:rPr>
                <w:color w:val="FFFFFF" w:themeColor="background1"/>
                <w:sz w:val="18"/>
              </w:rPr>
              <w:lastRenderedPageBreak/>
              <w:t>Institucioni përgjegjës</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E4FD"/>
            <w:tcMar>
              <w:left w:w="108" w:type="dxa"/>
              <w:right w:w="108" w:type="dxa"/>
            </w:tcMar>
            <w:vAlign w:val="center"/>
          </w:tcPr>
          <w:p w14:paraId="60F9BBE0" w14:textId="77777777" w:rsidR="005C57AD" w:rsidRPr="00156C04" w:rsidRDefault="005C57AD">
            <w:pPr>
              <w:spacing w:before="20" w:after="20"/>
              <w:cnfStyle w:val="000000000000" w:firstRow="0" w:lastRow="0" w:firstColumn="0" w:lastColumn="0" w:oddVBand="0" w:evenVBand="0" w:oddHBand="0" w:evenHBand="0" w:firstRowFirstColumn="0" w:firstRowLastColumn="0" w:lastRowFirstColumn="0" w:lastRowLastColumn="0"/>
              <w:rPr>
                <w:rFonts w:eastAsia="Arial" w:cs="Arial"/>
                <w:color w:val="0F0D29"/>
                <w:sz w:val="18"/>
                <w:szCs w:val="18"/>
              </w:rPr>
            </w:pPr>
            <w:r>
              <w:rPr>
                <w:color w:val="0F0D29"/>
                <w:sz w:val="18"/>
              </w:rPr>
              <w:t xml:space="preserve">MBPZHR &amp; AZHB  </w:t>
            </w:r>
          </w:p>
        </w:tc>
      </w:tr>
      <w:tr w:rsidR="005C57AD" w:rsidRPr="00156C04" w14:paraId="5191D98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68E52B68" w14:textId="77777777" w:rsidR="005C57AD" w:rsidRPr="00156C04" w:rsidRDefault="005C57AD">
            <w:pPr>
              <w:spacing w:before="20" w:after="20"/>
              <w:rPr>
                <w:color w:val="FFFFFF" w:themeColor="background1"/>
              </w:rPr>
            </w:pPr>
            <w:r>
              <w:rPr>
                <w:color w:val="FFFFFF" w:themeColor="background1"/>
                <w:sz w:val="18"/>
              </w:rPr>
              <w:t>Treguesit e progresit</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4C9FC"/>
            <w:tcMar>
              <w:left w:w="108" w:type="dxa"/>
              <w:right w:w="108" w:type="dxa"/>
            </w:tcMar>
            <w:vAlign w:val="center"/>
          </w:tcPr>
          <w:p w14:paraId="3ABF2241" w14:textId="77777777" w:rsidR="005C57AD" w:rsidRPr="00156C04" w:rsidRDefault="005C57AD">
            <w:pPr>
              <w:spacing w:before="20" w:after="20"/>
              <w:cnfStyle w:val="000000100000" w:firstRow="0" w:lastRow="0" w:firstColumn="0" w:lastColumn="0" w:oddVBand="0" w:evenVBand="0" w:oddHBand="1" w:evenHBand="0" w:firstRowFirstColumn="0" w:firstRowLastColumn="0" w:lastRowFirstColumn="0" w:lastRowLastColumn="0"/>
            </w:pPr>
            <w:r>
              <w:rPr>
                <w:color w:val="0F0D29"/>
                <w:sz w:val="18"/>
              </w:rPr>
              <w:t xml:space="preserve">Sasia e zjarreve në kultura, përdorimi i plehrave minerale, mbetjet e kulturave, bagëtitë, emetimet nga fermentimi enterik </w:t>
            </w:r>
          </w:p>
        </w:tc>
      </w:tr>
      <w:tr w:rsidR="005C57AD" w:rsidRPr="00976D33" w14:paraId="492DA22F" w14:textId="77777777" w:rsidTr="00BE7174">
        <w:tc>
          <w:tcPr>
            <w:cnfStyle w:val="001000000000" w:firstRow="0" w:lastRow="0" w:firstColumn="1" w:lastColumn="0" w:oddVBand="0" w:evenVBand="0" w:oddHBand="0" w:evenHBand="0" w:firstRowFirstColumn="0" w:firstRowLastColumn="0" w:lastRowFirstColumn="0" w:lastRowLastColumn="0"/>
            <w:tcW w:w="1270" w:type="pct"/>
            <w:tcBorders>
              <w:bottom w:val="nil"/>
            </w:tcBorders>
          </w:tcPr>
          <w:p w14:paraId="6353CA11" w14:textId="1C909ECD" w:rsidR="005C57AD" w:rsidRPr="00156C04" w:rsidRDefault="005C57AD">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3730" w:type="pct"/>
            <w:tcBorders>
              <w:bottom w:val="nil"/>
            </w:tcBorders>
          </w:tcPr>
          <w:p w14:paraId="207BD1D5" w14:textId="77777777" w:rsidR="005C57AD" w:rsidRPr="00976D33" w:rsidRDefault="005C57AD">
            <w:pPr>
              <w:keepNext/>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 </w:t>
            </w:r>
          </w:p>
        </w:tc>
      </w:tr>
      <w:tr w:rsidR="00BE7174" w:rsidRPr="00976D33" w14:paraId="0B10E2B1" w14:textId="77777777" w:rsidTr="00BE7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pct"/>
            <w:tcBorders>
              <w:top w:val="nil"/>
              <w:left w:val="nil"/>
              <w:bottom w:val="nil"/>
              <w:right w:val="nil"/>
            </w:tcBorders>
            <w:shd w:val="clear" w:color="auto" w:fill="auto"/>
          </w:tcPr>
          <w:p w14:paraId="69E9BCE8" w14:textId="77777777" w:rsidR="00BE7174" w:rsidRDefault="00BE7174">
            <w:pPr>
              <w:spacing w:before="20" w:after="20"/>
              <w:jc w:val="left"/>
              <w:rPr>
                <w:color w:val="FFFFFF" w:themeColor="background1"/>
                <w:sz w:val="18"/>
              </w:rPr>
            </w:pPr>
          </w:p>
        </w:tc>
        <w:tc>
          <w:tcPr>
            <w:tcW w:w="3730" w:type="pct"/>
            <w:tcBorders>
              <w:top w:val="nil"/>
              <w:left w:val="nil"/>
              <w:bottom w:val="nil"/>
              <w:right w:val="nil"/>
            </w:tcBorders>
            <w:shd w:val="clear" w:color="auto" w:fill="auto"/>
          </w:tcPr>
          <w:p w14:paraId="66D71A24" w14:textId="77777777" w:rsidR="00BE7174" w:rsidRDefault="00BE7174">
            <w:pPr>
              <w:keepNext/>
              <w:spacing w:before="20" w:after="20"/>
              <w:cnfStyle w:val="000000100000" w:firstRow="0" w:lastRow="0" w:firstColumn="0" w:lastColumn="0" w:oddVBand="0" w:evenVBand="0" w:oddHBand="1" w:evenHBand="0" w:firstRowFirstColumn="0" w:firstRowLastColumn="0" w:lastRowFirstColumn="0" w:lastRowLastColumn="0"/>
              <w:rPr>
                <w:sz w:val="18"/>
              </w:rPr>
            </w:pPr>
          </w:p>
          <w:p w14:paraId="4700F702" w14:textId="77777777" w:rsidR="00BE7174" w:rsidRDefault="00BE7174">
            <w:pPr>
              <w:keepNext/>
              <w:spacing w:before="20" w:after="20"/>
              <w:cnfStyle w:val="000000100000" w:firstRow="0" w:lastRow="0" w:firstColumn="0" w:lastColumn="0" w:oddVBand="0" w:evenVBand="0" w:oddHBand="1" w:evenHBand="0" w:firstRowFirstColumn="0" w:firstRowLastColumn="0" w:lastRowFirstColumn="0" w:lastRowLastColumn="0"/>
              <w:rPr>
                <w:sz w:val="18"/>
              </w:rPr>
            </w:pPr>
          </w:p>
        </w:tc>
      </w:tr>
      <w:tr w:rsidR="005C57AD" w:rsidRPr="00156C04" w14:paraId="39AA6B61" w14:textId="77777777" w:rsidTr="00BE7174">
        <w:trPr>
          <w:trHeight w:val="135"/>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68344E3D" w14:textId="09582CCB" w:rsidR="005C57AD" w:rsidRPr="00156C04" w:rsidRDefault="005C57AD">
            <w:pPr>
              <w:spacing w:before="20" w:after="20"/>
              <w:rPr>
                <w:color w:val="FFFFFF" w:themeColor="background1"/>
              </w:rPr>
            </w:pPr>
            <w:bookmarkStart w:id="172" w:name="_Toc138210149"/>
            <w:bookmarkStart w:id="173" w:name="_Toc138998450"/>
            <w:r>
              <w:rPr>
                <w:color w:val="FFFFFF" w:themeColor="background1"/>
                <w:sz w:val="18"/>
              </w:rPr>
              <w:t>PM 8</w:t>
            </w:r>
            <w:r>
              <w:rPr>
                <w:b w:val="0"/>
                <w:color w:val="FFFFFF" w:themeColor="background1"/>
                <w:sz w:val="18"/>
              </w:rPr>
              <w:t xml:space="preserve">: </w:t>
            </w:r>
            <w:r>
              <w:rPr>
                <w:color w:val="FFFFFF" w:themeColor="background1"/>
                <w:sz w:val="18"/>
              </w:rPr>
              <w:t>Menaxhimi i përmirësuar i plehut organik (metodat për ruajtjen, përgatitjen dhe aplikimin)</w:t>
            </w:r>
            <w:bookmarkEnd w:id="172"/>
            <w:bookmarkEnd w:id="173"/>
          </w:p>
        </w:tc>
      </w:tr>
      <w:tr w:rsidR="005C57AD" w:rsidRPr="00156C04" w14:paraId="6E658EC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59E62D52" w14:textId="29CF5F22" w:rsidR="005C57AD" w:rsidRPr="00156C04" w:rsidRDefault="005C57AD">
            <w:pPr>
              <w:spacing w:before="20" w:after="20"/>
              <w:rPr>
                <w:rFonts w:cs="Arial"/>
                <w:b w:val="0"/>
                <w:bCs w:val="0"/>
                <w:color w:val="FFFFFF" w:themeColor="background1"/>
                <w:sz w:val="18"/>
                <w:szCs w:val="18"/>
              </w:rPr>
            </w:pPr>
            <w:r>
              <w:rPr>
                <w:color w:val="FFFFFF" w:themeColor="background1"/>
                <w:sz w:val="18"/>
              </w:rPr>
              <w:t>Përshkrimi i shkurtër dhe objektivi:</w:t>
            </w:r>
            <w:r>
              <w:rPr>
                <w:b w:val="0"/>
                <w:color w:val="FFFFFF" w:themeColor="background1"/>
                <w:sz w:val="18"/>
              </w:rPr>
              <w:t xml:space="preserve"> Për të ulur emetimet e GS-ve nga bujqësia, ruajtja e plehut organik në mënyrë të përshtatshme për klimën dhe aplikimi i plehut organik në tokën bujqësore në sasitë e duhura dhe në kohën e duhur është thelbësore.  Për të arritur këtë, masa propozon këshillimin e fermerëve dhe blerjen e teknologjisë së duhur. Subvencionet për teknologjinë e menaxhimit të plehut organik të përshtatshme për klimën do të përbënin një qasje efikase, duke u bazuar në përmirësimin e mbledhjes së të dhënave në lidhje me praktikat aktuale të ruajtjes, përgatitjes dhe aplikimit të plehut organik, si dhe qëndrimet ndaj përshtatjes së praktikave të menaxhimit të plehut organik.</w:t>
            </w:r>
          </w:p>
        </w:tc>
      </w:tr>
      <w:tr w:rsidR="005C57AD" w:rsidRPr="00156C04" w14:paraId="2A5D43D1" w14:textId="77777777">
        <w:trPr>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49229EDD" w14:textId="77777777" w:rsidR="005C57AD" w:rsidRPr="00156C04" w:rsidRDefault="005C57AD">
            <w:pPr>
              <w:spacing w:before="20" w:after="20"/>
              <w:rPr>
                <w:color w:val="FFFFFF" w:themeColor="background1"/>
              </w:rPr>
            </w:pPr>
            <w:r>
              <w:rPr>
                <w:color w:val="FFFFFF" w:themeColor="background1"/>
                <w:sz w:val="18"/>
              </w:rPr>
              <w:t>Sektori/lloji</w:t>
            </w:r>
          </w:p>
        </w:tc>
        <w:tc>
          <w:tcPr>
            <w:tcW w:w="3730" w:type="pct"/>
            <w:tcBorders>
              <w:top w:val="nil"/>
              <w:left w:val="single" w:sz="8" w:space="0" w:color="FFFFFF" w:themeColor="background1"/>
              <w:bottom w:val="single" w:sz="8" w:space="0" w:color="FFFFFF" w:themeColor="background1"/>
              <w:right w:val="single" w:sz="8" w:space="0" w:color="FFFFFF" w:themeColor="background1"/>
            </w:tcBorders>
            <w:shd w:val="clear" w:color="auto" w:fill="B1E4FD"/>
            <w:tcMar>
              <w:left w:w="108" w:type="dxa"/>
              <w:right w:w="108" w:type="dxa"/>
            </w:tcMar>
          </w:tcPr>
          <w:p w14:paraId="50355DD3" w14:textId="77777777" w:rsidR="005C57AD" w:rsidRPr="00156C04" w:rsidRDefault="005C57AD">
            <w:pPr>
              <w:spacing w:before="20" w:after="20"/>
              <w:cnfStyle w:val="000000000000" w:firstRow="0" w:lastRow="0" w:firstColumn="0" w:lastColumn="0" w:oddVBand="0" w:evenVBand="0" w:oddHBand="0" w:evenHBand="0" w:firstRowFirstColumn="0" w:firstRowLastColumn="0" w:lastRowFirstColumn="0" w:lastRowLastColumn="0"/>
            </w:pPr>
            <w:r>
              <w:rPr>
                <w:color w:val="0F0D29"/>
                <w:sz w:val="18"/>
              </w:rPr>
              <w:t>Bujqësor/rregullator; financiar</w:t>
            </w:r>
          </w:p>
        </w:tc>
      </w:tr>
      <w:tr w:rsidR="005C57AD" w:rsidRPr="00156C04" w14:paraId="4E41A95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56FF6C6F" w14:textId="77777777" w:rsidR="005C57AD" w:rsidRPr="00156C04" w:rsidRDefault="005C57AD">
            <w:pPr>
              <w:spacing w:before="20" w:after="20"/>
              <w:rPr>
                <w:color w:val="FFFFFF" w:themeColor="background1"/>
              </w:rPr>
            </w:pPr>
            <w:r>
              <w:rPr>
                <w:color w:val="FFFFFF" w:themeColor="background1"/>
                <w:sz w:val="18"/>
              </w:rPr>
              <w:t>Statusi i implementimit</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4C9FC"/>
            <w:tcMar>
              <w:left w:w="108" w:type="dxa"/>
              <w:right w:w="108" w:type="dxa"/>
            </w:tcMar>
            <w:vAlign w:val="center"/>
          </w:tcPr>
          <w:p w14:paraId="1FEFD16B" w14:textId="77777777" w:rsidR="005C57AD" w:rsidRPr="00156C04" w:rsidRDefault="005C57AD">
            <w:pPr>
              <w:spacing w:before="20" w:after="20"/>
              <w:cnfStyle w:val="000000100000" w:firstRow="0" w:lastRow="0" w:firstColumn="0" w:lastColumn="0" w:oddVBand="0" w:evenVBand="0" w:oddHBand="1" w:evenHBand="0" w:firstRowFirstColumn="0" w:firstRowLastColumn="0" w:lastRowFirstColumn="0" w:lastRowLastColumn="0"/>
            </w:pPr>
            <w:r>
              <w:rPr>
                <w:color w:val="0F0D29"/>
                <w:sz w:val="18"/>
              </w:rPr>
              <w:t>Planifikuar</w:t>
            </w:r>
          </w:p>
        </w:tc>
      </w:tr>
      <w:tr w:rsidR="005C57AD" w:rsidRPr="00156C04" w14:paraId="6A1E1256" w14:textId="77777777">
        <w:trPr>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480A8D01" w14:textId="77777777" w:rsidR="005C57AD" w:rsidRPr="00156C04" w:rsidRDefault="005C57AD">
            <w:pPr>
              <w:spacing w:before="20" w:after="20"/>
              <w:rPr>
                <w:color w:val="FFFFFF" w:themeColor="background1"/>
              </w:rPr>
            </w:pPr>
            <w:r>
              <w:rPr>
                <w:color w:val="FFFFFF" w:themeColor="background1"/>
                <w:sz w:val="18"/>
              </w:rPr>
              <w:t>Efektet kuantitative</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E4FD"/>
            <w:tcMar>
              <w:left w:w="108" w:type="dxa"/>
              <w:right w:w="108" w:type="dxa"/>
            </w:tcMar>
            <w:vAlign w:val="center"/>
          </w:tcPr>
          <w:p w14:paraId="57D038C0" w14:textId="77777777" w:rsidR="005C57AD" w:rsidRPr="00156C04" w:rsidRDefault="005C57AD">
            <w:pPr>
              <w:spacing w:before="20" w:after="20"/>
              <w:cnfStyle w:val="000000000000" w:firstRow="0" w:lastRow="0" w:firstColumn="0" w:lastColumn="0" w:oddVBand="0" w:evenVBand="0" w:oddHBand="0" w:evenHBand="0" w:firstRowFirstColumn="0" w:firstRowLastColumn="0" w:lastRowFirstColumn="0" w:lastRowLastColumn="0"/>
            </w:pPr>
            <w:r>
              <w:rPr>
                <w:color w:val="0F0D29"/>
                <w:sz w:val="18"/>
              </w:rPr>
              <w:t>20% përqindje më e lartë e shpërndarjes ditore të MMS-së dhe 20% përqindje më e lartë e lagunave anaerobe</w:t>
            </w:r>
          </w:p>
        </w:tc>
      </w:tr>
      <w:tr w:rsidR="005C57AD" w:rsidRPr="00587EDC" w14:paraId="1111E1F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1EB25F5C" w14:textId="77777777" w:rsidR="005C57AD" w:rsidRPr="00156C04" w:rsidRDefault="005C57AD">
            <w:pPr>
              <w:spacing w:before="20" w:after="20"/>
              <w:rPr>
                <w:color w:val="FFFFFF" w:themeColor="background1"/>
              </w:rPr>
            </w:pPr>
            <w:r>
              <w:rPr>
                <w:color w:val="FFFFFF" w:themeColor="background1"/>
                <w:sz w:val="18"/>
              </w:rPr>
              <w:t>Investimet</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4C9FC"/>
            <w:tcMar>
              <w:left w:w="108" w:type="dxa"/>
              <w:right w:w="108" w:type="dxa"/>
            </w:tcMar>
            <w:vAlign w:val="center"/>
          </w:tcPr>
          <w:p w14:paraId="3C011866" w14:textId="3EB40A9A" w:rsidR="005C57AD" w:rsidRPr="00156C04" w:rsidRDefault="00E03F9C">
            <w:pPr>
              <w:spacing w:before="20" w:after="20"/>
              <w:cnfStyle w:val="000000100000" w:firstRow="0" w:lastRow="0" w:firstColumn="0" w:lastColumn="0" w:oddVBand="0" w:evenVBand="0" w:oddHBand="1" w:evenHBand="0" w:firstRowFirstColumn="0" w:firstRowLastColumn="0" w:lastRowFirstColumn="0" w:lastRowLastColumn="0"/>
            </w:pPr>
            <w:r>
              <w:rPr>
                <w:color w:val="0F0D29"/>
                <w:sz w:val="18"/>
              </w:rPr>
              <w:t>15.6 mil. euro deri në vitin 2030 (2.6 mil. në vit, 2025-2030) (Burimi: llogaritjet e ekspertëve)</w:t>
            </w:r>
          </w:p>
        </w:tc>
      </w:tr>
      <w:tr w:rsidR="005C57AD" w:rsidRPr="00156C04" w14:paraId="7B4DDD34" w14:textId="77777777">
        <w:trPr>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761588B4" w14:textId="77777777" w:rsidR="005C57AD" w:rsidRPr="00156C04" w:rsidRDefault="005C57AD">
            <w:pPr>
              <w:spacing w:before="20" w:after="20"/>
              <w:rPr>
                <w:color w:val="FFFFFF" w:themeColor="background1"/>
              </w:rPr>
            </w:pPr>
            <w:r>
              <w:rPr>
                <w:color w:val="FFFFFF" w:themeColor="background1"/>
                <w:sz w:val="18"/>
              </w:rPr>
              <w:t>Institucioni përgjegjës</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E4FD"/>
            <w:tcMar>
              <w:left w:w="108" w:type="dxa"/>
              <w:right w:w="108" w:type="dxa"/>
            </w:tcMar>
            <w:vAlign w:val="center"/>
          </w:tcPr>
          <w:p w14:paraId="332A5D66" w14:textId="77777777" w:rsidR="005C57AD" w:rsidRPr="00156C04" w:rsidRDefault="005C57AD">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color w:val="0F0D29"/>
                <w:sz w:val="18"/>
              </w:rPr>
              <w:t xml:space="preserve">MBPZHR &amp; AZHB  </w:t>
            </w:r>
          </w:p>
        </w:tc>
      </w:tr>
      <w:tr w:rsidR="005C57AD" w:rsidRPr="00156C04" w14:paraId="4255172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752C1B35" w14:textId="77777777" w:rsidR="005C57AD" w:rsidRPr="00156C04" w:rsidRDefault="005C57AD">
            <w:pPr>
              <w:spacing w:before="20" w:after="20"/>
              <w:rPr>
                <w:color w:val="FFFFFF" w:themeColor="background1"/>
              </w:rPr>
            </w:pPr>
            <w:r>
              <w:rPr>
                <w:color w:val="FFFFFF" w:themeColor="background1"/>
                <w:sz w:val="18"/>
              </w:rPr>
              <w:t>Treguesit e progresit</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4C9FC"/>
            <w:tcMar>
              <w:left w:w="108" w:type="dxa"/>
              <w:right w:w="108" w:type="dxa"/>
            </w:tcMar>
            <w:vAlign w:val="center"/>
          </w:tcPr>
          <w:p w14:paraId="381CC241" w14:textId="77777777" w:rsidR="005C57AD" w:rsidRPr="00156C04" w:rsidRDefault="005C57AD">
            <w:pPr>
              <w:spacing w:before="20" w:after="20"/>
              <w:cnfStyle w:val="000000100000" w:firstRow="0" w:lastRow="0" w:firstColumn="0" w:lastColumn="0" w:oddVBand="0" w:evenVBand="0" w:oddHBand="1" w:evenHBand="0" w:firstRowFirstColumn="0" w:firstRowLastColumn="0" w:lastRowFirstColumn="0" w:lastRowLastColumn="0"/>
            </w:pPr>
            <w:r>
              <w:rPr>
                <w:color w:val="0F0D29"/>
                <w:sz w:val="18"/>
              </w:rPr>
              <w:t>Pjesëmarrja e shpërndarjes ditore të MMS-së dhe pjesëmarrja e lagunave anaerobe</w:t>
            </w:r>
          </w:p>
        </w:tc>
      </w:tr>
      <w:tr w:rsidR="005C57AD" w:rsidRPr="00976D33" w14:paraId="64BD0246" w14:textId="77777777" w:rsidTr="005969E0">
        <w:tc>
          <w:tcPr>
            <w:cnfStyle w:val="001000000000" w:firstRow="0" w:lastRow="0" w:firstColumn="1" w:lastColumn="0" w:oddVBand="0" w:evenVBand="0" w:oddHBand="0" w:evenHBand="0" w:firstRowFirstColumn="0" w:firstRowLastColumn="0" w:lastRowFirstColumn="0" w:lastRowLastColumn="0"/>
            <w:tcW w:w="1270" w:type="pct"/>
          </w:tcPr>
          <w:p w14:paraId="5565D6FC" w14:textId="0072A44C" w:rsidR="005C57AD" w:rsidRPr="00156C04" w:rsidRDefault="005C57AD">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3730" w:type="pct"/>
          </w:tcPr>
          <w:p w14:paraId="3EF554A5" w14:textId="77777777" w:rsidR="005C57AD" w:rsidRPr="00976D33" w:rsidRDefault="005C57AD">
            <w:pPr>
              <w:keepNext/>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 </w:t>
            </w:r>
          </w:p>
        </w:tc>
      </w:tr>
    </w:tbl>
    <w:p w14:paraId="420D2A72" w14:textId="77777777" w:rsidR="005C57AD" w:rsidRDefault="005C57AD" w:rsidP="00FF705C">
      <w:pPr>
        <w:spacing w:before="0"/>
        <w:rPr>
          <w:b/>
          <w:bCs/>
        </w:rPr>
      </w:pPr>
    </w:p>
    <w:p w14:paraId="4142F4C4" w14:textId="77777777" w:rsidR="00FE486A" w:rsidRPr="00976D33" w:rsidRDefault="00FE486A" w:rsidP="00FF705C">
      <w:pPr>
        <w:spacing w:before="0"/>
        <w:rPr>
          <w:b/>
          <w:bCs/>
        </w:rPr>
      </w:pPr>
    </w:p>
    <w:tbl>
      <w:tblPr>
        <w:tblStyle w:val="GridTable5Dark-Accent1"/>
        <w:tblW w:w="5000" w:type="pct"/>
        <w:tblLook w:val="04A0" w:firstRow="1" w:lastRow="0" w:firstColumn="1" w:lastColumn="0" w:noHBand="0" w:noVBand="1"/>
      </w:tblPr>
      <w:tblGrid>
        <w:gridCol w:w="2427"/>
        <w:gridCol w:w="7127"/>
      </w:tblGrid>
      <w:tr w:rsidR="005C57AD" w:rsidRPr="00156C04" w14:paraId="4FBD0850"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0E222A4A" w14:textId="730D4F86" w:rsidR="005C57AD" w:rsidRPr="00156C04" w:rsidRDefault="005C57AD">
            <w:pPr>
              <w:spacing w:before="20" w:after="20"/>
              <w:rPr>
                <w:color w:val="FFFFFF" w:themeColor="background1"/>
              </w:rPr>
            </w:pPr>
            <w:bookmarkStart w:id="174" w:name="_Toc138210150"/>
            <w:bookmarkStart w:id="175" w:name="_Toc138998451"/>
            <w:r>
              <w:rPr>
                <w:color w:val="FFFFFF" w:themeColor="background1"/>
                <w:sz w:val="18"/>
              </w:rPr>
              <w:t>PM 9</w:t>
            </w:r>
            <w:r>
              <w:rPr>
                <w:b w:val="0"/>
                <w:color w:val="FFFFFF" w:themeColor="background1"/>
                <w:sz w:val="18"/>
              </w:rPr>
              <w:t xml:space="preserve">: </w:t>
            </w:r>
            <w:r>
              <w:rPr>
                <w:color w:val="FFFFFF" w:themeColor="background1"/>
                <w:sz w:val="18"/>
              </w:rPr>
              <w:t>Skemat agro-mjedisore për mbrojtjen e biodiversitetit</w:t>
            </w:r>
            <w:bookmarkEnd w:id="174"/>
            <w:bookmarkEnd w:id="175"/>
          </w:p>
        </w:tc>
      </w:tr>
      <w:tr w:rsidR="005C57AD" w:rsidRPr="00156C04" w14:paraId="452CD70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21F4BE14" w14:textId="65211103" w:rsidR="005C57AD" w:rsidRPr="00156C04" w:rsidRDefault="005C57AD">
            <w:pPr>
              <w:spacing w:before="20" w:after="20"/>
              <w:rPr>
                <w:color w:val="FFFFFF" w:themeColor="background1"/>
              </w:rPr>
            </w:pPr>
            <w:r>
              <w:rPr>
                <w:color w:val="FFFFFF" w:themeColor="background1"/>
                <w:sz w:val="18"/>
              </w:rPr>
              <w:t xml:space="preserve">Përshkrimi i shkurtër dhe objektivi: </w:t>
            </w:r>
            <w:r>
              <w:rPr>
                <w:b w:val="0"/>
                <w:color w:val="FFFFFF" w:themeColor="background1"/>
                <w:sz w:val="18"/>
              </w:rPr>
              <w:t>Një nga objektivat e Strategjisë për Bujqësi dhe Zhvillim Rural 2022-2028 është mbrojtja e biodiversitetit, përmirësimi i shërbimeve të ekosistemit dhe ruajtja e habitateve dhe peizazheve/natyrës. Prandaj, kjo masë fokusohet në veprimet që përfshijnë menaxhimin e gjerë të kullotave për tokat me biodiversitet të lartë në zona me vlera të vërtetuara të biodiversitetit, siç janë zonat e mbrojtura, si dhe përgatitjen e udhëzimeve për fermerët dhe përdoruesit e kullotave për përdorimin dhe menaxhimin e kullotave me vlerë të shtuar.</w:t>
            </w:r>
            <w:r w:rsidRPr="00BE7174">
              <w:rPr>
                <w:b w:val="0"/>
                <w:color w:val="FFFFFF" w:themeColor="background1"/>
                <w:sz w:val="18"/>
              </w:rPr>
              <w:t xml:space="preserve"> Fuqizimi i grave dhe grupeve të tjera të margjinalizuara shoqërore për të marrë pjesë në këto aktivitete jo vetëm që do të kontribuojë në efektivitetin dhe popullarizimin e tyre, por gjithashtu do të sigurojë që përfitimet e ruajtjes së biodiversitetit të ndahen në mënyrë të barabartë.</w:t>
            </w:r>
          </w:p>
        </w:tc>
      </w:tr>
      <w:tr w:rsidR="005C57AD" w:rsidRPr="00156C04" w14:paraId="0169D93C" w14:textId="77777777">
        <w:trPr>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64416E72" w14:textId="77777777" w:rsidR="005C57AD" w:rsidRPr="00156C04" w:rsidRDefault="005C57AD">
            <w:pPr>
              <w:spacing w:before="20" w:after="20"/>
              <w:rPr>
                <w:color w:val="FFFFFF" w:themeColor="background1"/>
              </w:rPr>
            </w:pPr>
            <w:r>
              <w:rPr>
                <w:color w:val="FFFFFF" w:themeColor="background1"/>
                <w:sz w:val="18"/>
              </w:rPr>
              <w:t>Sektori/lloji</w:t>
            </w:r>
          </w:p>
        </w:tc>
        <w:tc>
          <w:tcPr>
            <w:tcW w:w="3730" w:type="pct"/>
            <w:tcBorders>
              <w:top w:val="nil"/>
              <w:left w:val="single" w:sz="8" w:space="0" w:color="FFFFFF" w:themeColor="background1"/>
              <w:bottom w:val="single" w:sz="8" w:space="0" w:color="FFFFFF" w:themeColor="background1"/>
              <w:right w:val="single" w:sz="8" w:space="0" w:color="FFFFFF" w:themeColor="background1"/>
            </w:tcBorders>
            <w:shd w:val="clear" w:color="auto" w:fill="B1E4FD"/>
            <w:tcMar>
              <w:left w:w="108" w:type="dxa"/>
              <w:right w:w="108" w:type="dxa"/>
            </w:tcMar>
          </w:tcPr>
          <w:p w14:paraId="3D36FBE2" w14:textId="77777777" w:rsidR="005C57AD" w:rsidRPr="00156C04" w:rsidRDefault="005C57AD">
            <w:pPr>
              <w:spacing w:before="20" w:after="20"/>
              <w:cnfStyle w:val="000000000000" w:firstRow="0" w:lastRow="0" w:firstColumn="0" w:lastColumn="0" w:oddVBand="0" w:evenVBand="0" w:oddHBand="0" w:evenHBand="0" w:firstRowFirstColumn="0" w:firstRowLastColumn="0" w:lastRowFirstColumn="0" w:lastRowLastColumn="0"/>
            </w:pPr>
            <w:r>
              <w:rPr>
                <w:color w:val="0F0D29"/>
                <w:sz w:val="18"/>
              </w:rPr>
              <w:t>Bujqësor/rregullator; financiar</w:t>
            </w:r>
          </w:p>
        </w:tc>
      </w:tr>
      <w:tr w:rsidR="005C57AD" w:rsidRPr="00156C04" w14:paraId="62C0BCA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54BF74E3" w14:textId="77777777" w:rsidR="005C57AD" w:rsidRPr="00156C04" w:rsidRDefault="005C57AD">
            <w:pPr>
              <w:spacing w:before="20" w:after="20"/>
              <w:rPr>
                <w:color w:val="FFFFFF" w:themeColor="background1"/>
              </w:rPr>
            </w:pPr>
            <w:r>
              <w:rPr>
                <w:color w:val="FFFFFF" w:themeColor="background1"/>
                <w:sz w:val="18"/>
              </w:rPr>
              <w:t>Statusi i implementimit</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4C9FC"/>
            <w:tcMar>
              <w:left w:w="108" w:type="dxa"/>
              <w:right w:w="108" w:type="dxa"/>
            </w:tcMar>
            <w:vAlign w:val="center"/>
          </w:tcPr>
          <w:p w14:paraId="4FF41B1B" w14:textId="77777777" w:rsidR="005C57AD" w:rsidRPr="00156C04" w:rsidRDefault="005C57AD">
            <w:pPr>
              <w:spacing w:before="20" w:after="20"/>
              <w:cnfStyle w:val="000000100000" w:firstRow="0" w:lastRow="0" w:firstColumn="0" w:lastColumn="0" w:oddVBand="0" w:evenVBand="0" w:oddHBand="1" w:evenHBand="0" w:firstRowFirstColumn="0" w:firstRowLastColumn="0" w:lastRowFirstColumn="0" w:lastRowLastColumn="0"/>
            </w:pPr>
            <w:r>
              <w:rPr>
                <w:color w:val="0F0D29"/>
                <w:sz w:val="18"/>
              </w:rPr>
              <w:t>Në zbatim</w:t>
            </w:r>
          </w:p>
        </w:tc>
      </w:tr>
      <w:tr w:rsidR="005C57AD" w:rsidRPr="00156C04" w14:paraId="5EC9F889" w14:textId="77777777">
        <w:trPr>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1712A824" w14:textId="77777777" w:rsidR="005C57AD" w:rsidRPr="00156C04" w:rsidRDefault="005C57AD">
            <w:pPr>
              <w:spacing w:before="20" w:after="20"/>
              <w:rPr>
                <w:color w:val="FFFFFF" w:themeColor="background1"/>
              </w:rPr>
            </w:pPr>
            <w:r>
              <w:rPr>
                <w:color w:val="FFFFFF" w:themeColor="background1"/>
                <w:sz w:val="18"/>
              </w:rPr>
              <w:t>Efektet kuantitative</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E4FD"/>
            <w:tcMar>
              <w:left w:w="108" w:type="dxa"/>
              <w:right w:w="108" w:type="dxa"/>
            </w:tcMar>
            <w:vAlign w:val="center"/>
          </w:tcPr>
          <w:p w14:paraId="41C93383" w14:textId="77777777" w:rsidR="005C57AD" w:rsidRPr="00156C04" w:rsidRDefault="005C57AD">
            <w:pPr>
              <w:spacing w:before="20" w:after="20"/>
              <w:cnfStyle w:val="000000000000" w:firstRow="0" w:lastRow="0" w:firstColumn="0" w:lastColumn="0" w:oddVBand="0" w:evenVBand="0" w:oddHBand="0" w:evenHBand="0" w:firstRowFirstColumn="0" w:firstRowLastColumn="0" w:lastRowFirstColumn="0" w:lastRowLastColumn="0"/>
            </w:pPr>
            <w:r>
              <w:rPr>
                <w:color w:val="0F0D29"/>
                <w:sz w:val="18"/>
              </w:rPr>
              <w:t>n/a</w:t>
            </w:r>
          </w:p>
        </w:tc>
      </w:tr>
      <w:tr w:rsidR="005C57AD" w:rsidRPr="00156C04" w14:paraId="7755DCF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055098B5" w14:textId="77777777" w:rsidR="005C57AD" w:rsidRPr="00156C04" w:rsidRDefault="005C57AD">
            <w:pPr>
              <w:spacing w:before="20" w:after="20"/>
              <w:rPr>
                <w:color w:val="FFFFFF" w:themeColor="background1"/>
              </w:rPr>
            </w:pPr>
            <w:r>
              <w:rPr>
                <w:color w:val="FFFFFF" w:themeColor="background1"/>
                <w:sz w:val="18"/>
              </w:rPr>
              <w:t>Investimet</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4C9FC"/>
            <w:tcMar>
              <w:left w:w="108" w:type="dxa"/>
              <w:right w:w="108" w:type="dxa"/>
            </w:tcMar>
            <w:vAlign w:val="center"/>
          </w:tcPr>
          <w:p w14:paraId="7FFF11AB" w14:textId="64426F3A" w:rsidR="005C57AD" w:rsidRPr="00156C04" w:rsidRDefault="002C0CB1">
            <w:pPr>
              <w:spacing w:before="20" w:after="20"/>
              <w:cnfStyle w:val="000000100000" w:firstRow="0" w:lastRow="0" w:firstColumn="0" w:lastColumn="0" w:oddVBand="0" w:evenVBand="0" w:oddHBand="1" w:evenHBand="0" w:firstRowFirstColumn="0" w:firstRowLastColumn="0" w:lastRowFirstColumn="0" w:lastRowLastColumn="0"/>
            </w:pPr>
            <w:r>
              <w:rPr>
                <w:sz w:val="18"/>
              </w:rPr>
              <w:t>Gjithsej 4.45 mil. euro deri në vitin 2030, financuar përmes buxhetit të Ministrisë së Bujqësisë (Burimi: Buxheti i Ministrisë së Bujqësisë, Pylltarisë dhe Zhvillimit Rural)</w:t>
            </w:r>
          </w:p>
        </w:tc>
      </w:tr>
      <w:tr w:rsidR="005C57AD" w:rsidRPr="00156C04" w14:paraId="03FC7079" w14:textId="77777777">
        <w:trPr>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340B7FCC" w14:textId="77777777" w:rsidR="005C57AD" w:rsidRPr="00156C04" w:rsidRDefault="005C57AD">
            <w:pPr>
              <w:spacing w:before="20" w:after="20"/>
              <w:rPr>
                <w:color w:val="FFFFFF" w:themeColor="background1"/>
              </w:rPr>
            </w:pPr>
            <w:r>
              <w:rPr>
                <w:color w:val="FFFFFF" w:themeColor="background1"/>
                <w:sz w:val="18"/>
              </w:rPr>
              <w:t>Institucioni përgjegjës</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E4FD"/>
            <w:tcMar>
              <w:left w:w="108" w:type="dxa"/>
              <w:right w:w="108" w:type="dxa"/>
            </w:tcMar>
          </w:tcPr>
          <w:p w14:paraId="38327D44" w14:textId="77777777" w:rsidR="005C57AD" w:rsidRPr="00156C04" w:rsidRDefault="005C57AD">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color w:val="0F0D29"/>
                <w:sz w:val="18"/>
              </w:rPr>
              <w:t xml:space="preserve">MBPZHR / Shërbimet këshillimore  </w:t>
            </w:r>
          </w:p>
        </w:tc>
      </w:tr>
      <w:tr w:rsidR="005C57AD" w:rsidRPr="00156C04" w14:paraId="5CB83D0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4F75"/>
            <w:tcMar>
              <w:left w:w="108" w:type="dxa"/>
              <w:right w:w="108" w:type="dxa"/>
            </w:tcMar>
          </w:tcPr>
          <w:p w14:paraId="06739279" w14:textId="77777777" w:rsidR="005C57AD" w:rsidRPr="00156C04" w:rsidRDefault="005C57AD">
            <w:pPr>
              <w:spacing w:before="20" w:after="20"/>
              <w:rPr>
                <w:color w:val="FFFFFF" w:themeColor="background1"/>
              </w:rPr>
            </w:pPr>
            <w:r>
              <w:rPr>
                <w:color w:val="FFFFFF" w:themeColor="background1"/>
                <w:sz w:val="18"/>
              </w:rPr>
              <w:t>Treguesit e progresit</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4C9FC"/>
            <w:tcMar>
              <w:left w:w="108" w:type="dxa"/>
              <w:right w:w="108" w:type="dxa"/>
            </w:tcMar>
            <w:vAlign w:val="center"/>
          </w:tcPr>
          <w:p w14:paraId="1AC6EE7F" w14:textId="77777777" w:rsidR="005C57AD" w:rsidRPr="00156C04" w:rsidRDefault="005C57AD">
            <w:pPr>
              <w:spacing w:before="20" w:after="20"/>
              <w:cnfStyle w:val="000000100000" w:firstRow="0" w:lastRow="0" w:firstColumn="0" w:lastColumn="0" w:oddVBand="0" w:evenVBand="0" w:oddHBand="1" w:evenHBand="0" w:firstRowFirstColumn="0" w:firstRowLastColumn="0" w:lastRowFirstColumn="0" w:lastRowLastColumn="0"/>
            </w:pPr>
            <w:r>
              <w:rPr>
                <w:color w:val="0F0D29"/>
                <w:sz w:val="18"/>
              </w:rPr>
              <w:t>n/a</w:t>
            </w:r>
          </w:p>
        </w:tc>
      </w:tr>
      <w:tr w:rsidR="005C57AD" w:rsidRPr="00976D33" w14:paraId="423F7A7D" w14:textId="77777777">
        <w:tc>
          <w:tcPr>
            <w:cnfStyle w:val="001000000000" w:firstRow="0" w:lastRow="0" w:firstColumn="1" w:lastColumn="0" w:oddVBand="0" w:evenVBand="0" w:oddHBand="0" w:evenHBand="0" w:firstRowFirstColumn="0" w:firstRowLastColumn="0" w:lastRowFirstColumn="0" w:lastRowLastColumn="0"/>
            <w:tcW w:w="2427" w:type="dxa"/>
          </w:tcPr>
          <w:p w14:paraId="2309120D" w14:textId="60093463" w:rsidR="005C57AD" w:rsidRPr="00156C04" w:rsidRDefault="005C57AD">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27" w:type="dxa"/>
          </w:tcPr>
          <w:p w14:paraId="2E064987" w14:textId="77777777" w:rsidR="005C57AD" w:rsidRPr="00976D33" w:rsidRDefault="005C57AD">
            <w:pPr>
              <w:keepNext/>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 </w:t>
            </w:r>
          </w:p>
        </w:tc>
      </w:tr>
    </w:tbl>
    <w:p w14:paraId="184ADAF7" w14:textId="77777777" w:rsidR="005C57AD" w:rsidRPr="00976D33" w:rsidRDefault="005C57AD" w:rsidP="00FF705C">
      <w:pPr>
        <w:spacing w:before="0" w:after="0"/>
        <w:rPr>
          <w:b/>
          <w:bCs/>
        </w:rPr>
      </w:pPr>
    </w:p>
    <w:tbl>
      <w:tblPr>
        <w:tblStyle w:val="GridTable5Dark-Accent1"/>
        <w:tblW w:w="5000" w:type="pct"/>
        <w:tblLook w:val="04A0" w:firstRow="1" w:lastRow="0" w:firstColumn="1" w:lastColumn="0" w:noHBand="0" w:noVBand="1"/>
      </w:tblPr>
      <w:tblGrid>
        <w:gridCol w:w="2427"/>
        <w:gridCol w:w="7127"/>
      </w:tblGrid>
      <w:tr w:rsidR="005C57AD" w:rsidRPr="00156C04" w14:paraId="5902880E" w14:textId="77777777" w:rsidTr="4AC5CE8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0ABEE923" w14:textId="78EF5265" w:rsidR="005C57AD" w:rsidRPr="00156C04" w:rsidRDefault="005C57AD">
            <w:pPr>
              <w:spacing w:before="20" w:after="20"/>
              <w:rPr>
                <w:color w:val="FFFFFF" w:themeColor="background1"/>
              </w:rPr>
            </w:pPr>
            <w:bookmarkStart w:id="176" w:name="_Toc138210151"/>
            <w:bookmarkStart w:id="177" w:name="_Toc138998452"/>
            <w:r>
              <w:rPr>
                <w:color w:val="FFFFFF" w:themeColor="background1"/>
                <w:sz w:val="18"/>
              </w:rPr>
              <w:t>PM 10: Promovimi i bujqësisë organike</w:t>
            </w:r>
            <w:bookmarkEnd w:id="176"/>
            <w:bookmarkEnd w:id="177"/>
            <w:r>
              <w:rPr>
                <w:b w:val="0"/>
                <w:color w:val="FFFFFF" w:themeColor="background1"/>
                <w:sz w:val="18"/>
              </w:rPr>
              <w:t xml:space="preserve"> </w:t>
            </w:r>
          </w:p>
        </w:tc>
      </w:tr>
      <w:tr w:rsidR="005C57AD" w:rsidRPr="00156C04" w14:paraId="617BE16E" w14:textId="77777777" w:rsidTr="4AC5CE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512A5E99" w14:textId="4A35C9B6" w:rsidR="005C57AD" w:rsidRPr="00156C04" w:rsidRDefault="005C57AD">
            <w:pPr>
              <w:spacing w:before="20" w:after="20"/>
              <w:rPr>
                <w:color w:val="FFFFFF" w:themeColor="background1"/>
              </w:rPr>
            </w:pPr>
            <w:r>
              <w:rPr>
                <w:color w:val="FFFFFF" w:themeColor="background1"/>
                <w:sz w:val="18"/>
              </w:rPr>
              <w:t xml:space="preserve">Përshkrimi i shkurtër dhe objektivi: </w:t>
            </w:r>
            <w:r>
              <w:rPr>
                <w:b w:val="0"/>
                <w:color w:val="FFFFFF" w:themeColor="background1"/>
                <w:sz w:val="18"/>
              </w:rPr>
              <w:t xml:space="preserve">Strategjia për Bujqësi dhe Zhvillim Rural 2022-2028 përcakton zhvillimin e bizneseve në zonat rurale dhe rritjen e punësimit dhe infrastrukturës sociale si një nga objektivat specifikë, duke synuar përmirësimin e kërkesave shoqërore për ushqim dhe shëndet, duke përfshirë ushqimin e sigurt, me vlera ushqyese dhe të qëndrueshëm, uljen e mbetjeve ushqimore dhe mirëqenien e kafshëve. Për të inkurajuar kalimin në bujqësi organike, kjo masë parashikon dhënien e subvencioneve/kompensimit për fermerët që respektojnë rregullat e bujqësisë organike, pasi prodhimi i tyre është zakonisht më i ulët kundrejt ndalimit të plehrave kimike dhe pesticideve. Për të siguruar që përfitimet nga bujqësia organike, siç është rritja e kërkesës në treg për produkte organike, të jenë </w:t>
            </w:r>
            <w:r>
              <w:rPr>
                <w:b w:val="0"/>
                <w:color w:val="FFFFFF" w:themeColor="background1"/>
                <w:sz w:val="18"/>
              </w:rPr>
              <w:lastRenderedPageBreak/>
              <w:t>në dispozicion të barabartë për fermerët gra, do të jetë e rëndësishme të adresohen barrierat gjinore për pjesëmarrjen në aktivitete të bujqësisë organike, për shembull duke rritur pjesëmarrjen e grave në aktivitete të ndërtimit të kapaciteteve dhe trajnimeve mbi bujqësinë organike dhe qasjen në subvencione.</w:t>
            </w:r>
          </w:p>
        </w:tc>
      </w:tr>
      <w:tr w:rsidR="005C57AD" w:rsidRPr="00156C04" w14:paraId="3F671E44" w14:textId="77777777" w:rsidTr="4AC5CE81">
        <w:trPr>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68842E99" w14:textId="77777777" w:rsidR="005C57AD" w:rsidRPr="00156C04" w:rsidRDefault="005C57AD">
            <w:pPr>
              <w:spacing w:before="20" w:after="20"/>
              <w:rPr>
                <w:color w:val="FFFFFF" w:themeColor="background1"/>
              </w:rPr>
            </w:pPr>
            <w:r>
              <w:rPr>
                <w:color w:val="FFFFFF" w:themeColor="background1"/>
                <w:sz w:val="18"/>
              </w:rPr>
              <w:lastRenderedPageBreak/>
              <w:t>Sektori/lloji</w:t>
            </w:r>
          </w:p>
        </w:tc>
        <w:tc>
          <w:tcPr>
            <w:tcW w:w="3730" w:type="pct"/>
            <w:tcBorders>
              <w:top w:val="nil"/>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31FC842A" w14:textId="77777777" w:rsidR="005C57AD" w:rsidRPr="00156C04" w:rsidRDefault="005C57AD">
            <w:pPr>
              <w:spacing w:before="20" w:after="20"/>
              <w:cnfStyle w:val="000000000000" w:firstRow="0" w:lastRow="0" w:firstColumn="0" w:lastColumn="0" w:oddVBand="0" w:evenVBand="0" w:oddHBand="0" w:evenHBand="0" w:firstRowFirstColumn="0" w:firstRowLastColumn="0" w:lastRowFirstColumn="0" w:lastRowLastColumn="0"/>
            </w:pPr>
            <w:r>
              <w:rPr>
                <w:color w:val="0F0D29"/>
                <w:sz w:val="18"/>
              </w:rPr>
              <w:t>Bujqësor/rregullator; financiar</w:t>
            </w:r>
          </w:p>
        </w:tc>
      </w:tr>
      <w:tr w:rsidR="005C57AD" w:rsidRPr="00156C04" w14:paraId="5DF8DF3A" w14:textId="77777777" w:rsidTr="4AC5CE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7200FCD4" w14:textId="77777777" w:rsidR="005C57AD" w:rsidRPr="00156C04" w:rsidRDefault="005C57AD">
            <w:pPr>
              <w:spacing w:before="20" w:after="20"/>
              <w:rPr>
                <w:color w:val="FFFFFF" w:themeColor="background1"/>
              </w:rPr>
            </w:pPr>
            <w:r>
              <w:rPr>
                <w:color w:val="FFFFFF" w:themeColor="background1"/>
                <w:sz w:val="18"/>
              </w:rPr>
              <w:t>Statusi i implementimit</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2AF040F6" w14:textId="77777777" w:rsidR="005C57AD" w:rsidRPr="00156C04" w:rsidRDefault="005C57AD">
            <w:pPr>
              <w:spacing w:before="20" w:after="20"/>
              <w:cnfStyle w:val="000000100000" w:firstRow="0" w:lastRow="0" w:firstColumn="0" w:lastColumn="0" w:oddVBand="0" w:evenVBand="0" w:oddHBand="1" w:evenHBand="0" w:firstRowFirstColumn="0" w:firstRowLastColumn="0" w:lastRowFirstColumn="0" w:lastRowLastColumn="0"/>
            </w:pPr>
            <w:r>
              <w:rPr>
                <w:color w:val="0F0D29"/>
                <w:sz w:val="18"/>
              </w:rPr>
              <w:t>Në zbatim</w:t>
            </w:r>
          </w:p>
        </w:tc>
      </w:tr>
      <w:tr w:rsidR="005C57AD" w:rsidRPr="00156C04" w14:paraId="4A7636C0" w14:textId="77777777" w:rsidTr="4AC5CE81">
        <w:trPr>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2F98A750" w14:textId="77777777" w:rsidR="005C57AD" w:rsidRPr="00156C04" w:rsidRDefault="005C57AD">
            <w:pPr>
              <w:spacing w:before="20" w:after="20"/>
              <w:rPr>
                <w:color w:val="FFFFFF" w:themeColor="background1"/>
              </w:rPr>
            </w:pPr>
            <w:r>
              <w:rPr>
                <w:color w:val="FFFFFF" w:themeColor="background1"/>
                <w:sz w:val="18"/>
              </w:rPr>
              <w:t>Efektet kuantitative</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0E57697A" w14:textId="77777777" w:rsidR="005C57AD" w:rsidRPr="00156C04" w:rsidRDefault="005C57AD">
            <w:pPr>
              <w:spacing w:before="20" w:after="20"/>
              <w:cnfStyle w:val="000000000000" w:firstRow="0" w:lastRow="0" w:firstColumn="0" w:lastColumn="0" w:oddVBand="0" w:evenVBand="0" w:oddHBand="0" w:evenHBand="0" w:firstRowFirstColumn="0" w:firstRowLastColumn="0" w:lastRowFirstColumn="0" w:lastRowLastColumn="0"/>
            </w:pPr>
            <w:r>
              <w:rPr>
                <w:color w:val="0F0D29"/>
                <w:sz w:val="18"/>
              </w:rPr>
              <w:t>n/a</w:t>
            </w:r>
          </w:p>
        </w:tc>
      </w:tr>
      <w:tr w:rsidR="005C57AD" w:rsidRPr="00156C04" w14:paraId="72970AFE" w14:textId="77777777" w:rsidTr="4AC5CE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341F3DE4" w14:textId="77777777" w:rsidR="005C57AD" w:rsidRPr="00156C04" w:rsidRDefault="005C57AD">
            <w:pPr>
              <w:spacing w:before="20" w:after="20"/>
              <w:rPr>
                <w:color w:val="FFFFFF" w:themeColor="background1"/>
              </w:rPr>
            </w:pPr>
            <w:r>
              <w:rPr>
                <w:color w:val="FFFFFF" w:themeColor="background1"/>
                <w:sz w:val="18"/>
              </w:rPr>
              <w:t>Investimet</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2D961B03" w14:textId="16927AD0" w:rsidR="005C57AD" w:rsidRPr="00156C04" w:rsidRDefault="00EC5CA7">
            <w:pPr>
              <w:spacing w:before="20" w:after="20"/>
              <w:cnfStyle w:val="000000100000" w:firstRow="0" w:lastRow="0" w:firstColumn="0" w:lastColumn="0" w:oddVBand="0" w:evenVBand="0" w:oddHBand="1" w:evenHBand="0" w:firstRowFirstColumn="0" w:firstRowLastColumn="0" w:lastRowFirstColumn="0" w:lastRowLastColumn="0"/>
            </w:pPr>
            <w:r>
              <w:rPr>
                <w:sz w:val="18"/>
              </w:rPr>
              <w:t>Gjithsej 1.5 mil. euro deri në vitin 2030 (0.25 në vit) financuar përmes buxhetit të Ministrisë së Bujqësisë (Burimi: Buxheti i Ministrisë së Bujqësisë, Pylltarisë dhe Zhvillimit Rural)</w:t>
            </w:r>
          </w:p>
        </w:tc>
      </w:tr>
      <w:tr w:rsidR="005C57AD" w:rsidRPr="00156C04" w14:paraId="64BDE96C" w14:textId="77777777" w:rsidTr="4AC5CE81">
        <w:trPr>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278DA85D" w14:textId="77777777" w:rsidR="005C57AD" w:rsidRPr="00156C04" w:rsidRDefault="005C57AD">
            <w:pPr>
              <w:spacing w:before="20" w:after="20"/>
              <w:rPr>
                <w:color w:val="FFFFFF" w:themeColor="background1"/>
              </w:rPr>
            </w:pPr>
            <w:r>
              <w:rPr>
                <w:color w:val="FFFFFF" w:themeColor="background1"/>
                <w:sz w:val="18"/>
              </w:rPr>
              <w:t>Institucioni përgjegjës</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0080B575" w14:textId="77777777" w:rsidR="005C57AD" w:rsidRPr="00156C04" w:rsidRDefault="005C57AD">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color w:val="0F0D29"/>
                <w:sz w:val="18"/>
              </w:rPr>
              <w:t>MBPZHR &amp; AZHB</w:t>
            </w:r>
          </w:p>
        </w:tc>
      </w:tr>
      <w:tr w:rsidR="005C57AD" w:rsidRPr="00156C04" w14:paraId="27524BCC" w14:textId="77777777" w:rsidTr="4AC5CE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tcPr>
          <w:p w14:paraId="64B0BC9C" w14:textId="77777777" w:rsidR="005C57AD" w:rsidRPr="00156C04" w:rsidRDefault="005C57AD">
            <w:pPr>
              <w:spacing w:before="20" w:after="20"/>
              <w:rPr>
                <w:color w:val="FFFFFF" w:themeColor="background1"/>
              </w:rPr>
            </w:pPr>
            <w:r>
              <w:rPr>
                <w:color w:val="FFFFFF" w:themeColor="background1"/>
                <w:sz w:val="18"/>
              </w:rPr>
              <w:t>Treguesit e progresit</w:t>
            </w:r>
          </w:p>
        </w:tc>
        <w:tc>
          <w:tcPr>
            <w:tcW w:w="3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left w:w="108" w:type="dxa"/>
              <w:right w:w="108" w:type="dxa"/>
            </w:tcMar>
            <w:vAlign w:val="center"/>
          </w:tcPr>
          <w:p w14:paraId="6B4092F2" w14:textId="77777777" w:rsidR="005C57AD" w:rsidRPr="00156C04" w:rsidRDefault="005C57AD">
            <w:pPr>
              <w:spacing w:before="20" w:after="20"/>
              <w:cnfStyle w:val="000000100000" w:firstRow="0" w:lastRow="0" w:firstColumn="0" w:lastColumn="0" w:oddVBand="0" w:evenVBand="0" w:oddHBand="1" w:evenHBand="0" w:firstRowFirstColumn="0" w:firstRowLastColumn="0" w:lastRowFirstColumn="0" w:lastRowLastColumn="0"/>
            </w:pPr>
            <w:r>
              <w:rPr>
                <w:color w:val="0F0D29"/>
                <w:sz w:val="18"/>
              </w:rPr>
              <w:t>n/a</w:t>
            </w:r>
          </w:p>
        </w:tc>
      </w:tr>
      <w:tr w:rsidR="005C57AD" w:rsidRPr="00976D33" w14:paraId="4C4C7BE6" w14:textId="77777777">
        <w:tc>
          <w:tcPr>
            <w:cnfStyle w:val="001000000000" w:firstRow="0" w:lastRow="0" w:firstColumn="1" w:lastColumn="0" w:oddVBand="0" w:evenVBand="0" w:oddHBand="0" w:evenHBand="0" w:firstRowFirstColumn="0" w:firstRowLastColumn="0" w:lastRowFirstColumn="0" w:lastRowLastColumn="0"/>
            <w:tcW w:w="2427" w:type="dxa"/>
          </w:tcPr>
          <w:p w14:paraId="1B328A95" w14:textId="11309C39" w:rsidR="005C57AD" w:rsidRPr="00156C04" w:rsidRDefault="005C57AD">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27" w:type="dxa"/>
          </w:tcPr>
          <w:p w14:paraId="7CFB35D1" w14:textId="77777777" w:rsidR="005C57AD" w:rsidRPr="00976D33" w:rsidRDefault="005C57AD">
            <w:pPr>
              <w:keepNext/>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 </w:t>
            </w:r>
          </w:p>
        </w:tc>
      </w:tr>
    </w:tbl>
    <w:p w14:paraId="27F1148D" w14:textId="77777777" w:rsidR="005C57AD" w:rsidRPr="00976D33" w:rsidRDefault="005C57AD" w:rsidP="005C57AD">
      <w:pPr>
        <w:pStyle w:val="Heading4"/>
      </w:pPr>
      <w:r>
        <w:t xml:space="preserve">Kur është e përshtatshme, bashkëpunimi rajonal në këtë fushë </w:t>
      </w:r>
    </w:p>
    <w:p w14:paraId="66AE2E47" w14:textId="77777777" w:rsidR="005C57AD" w:rsidRPr="00976D33" w:rsidRDefault="005C57AD" w:rsidP="005C57AD">
      <w:r>
        <w:t>Bashkëpunimi rajonal në kuadër të EnC-së është më i rëndësishmi për vendosjen e çmimit të CO</w:t>
      </w:r>
      <w:r>
        <w:rPr>
          <w:vertAlign w:val="subscript"/>
        </w:rPr>
        <w:t>2</w:t>
      </w:r>
      <w:r>
        <w:t xml:space="preserve"> dhe përcaktimin e një procesi të drejtë tranzicioni të koordinuar rajonal.</w:t>
      </w:r>
    </w:p>
    <w:p w14:paraId="43323774" w14:textId="77777777" w:rsidR="005C57AD" w:rsidRPr="00976D33" w:rsidRDefault="005C57AD" w:rsidP="005C57AD">
      <w:pPr>
        <w:pStyle w:val="Heading4"/>
      </w:pPr>
      <w:r>
        <w:t xml:space="preserve">Pa paragjykuar zbatueshmërinë e rregullave të ndihmës shtetërore, masat e financimit, duke përfshirë mbështetjen e Bashkimit dhe përdorimin e fondeve të Bashkimit, në këtë fushë në nivel kombëtar, kur është e aplikueshme </w:t>
      </w:r>
    </w:p>
    <w:p w14:paraId="788638ED" w14:textId="77777777" w:rsidR="005C57AD" w:rsidRDefault="005C57AD" w:rsidP="005C57AD">
      <w:r>
        <w:t>Nuk aplikohet.</w:t>
      </w:r>
    </w:p>
    <w:p w14:paraId="5042C97E" w14:textId="77777777" w:rsidR="005C57AD" w:rsidRPr="00976D33" w:rsidRDefault="005C57AD" w:rsidP="005C57AD">
      <w:pPr>
        <w:pStyle w:val="Heading3"/>
      </w:pPr>
      <w:bookmarkStart w:id="178" w:name="_Toc182302287"/>
      <w:r>
        <w:t>Energjia e ripërtëritshme</w:t>
      </w:r>
      <w:bookmarkEnd w:id="178"/>
    </w:p>
    <w:p w14:paraId="2D38C81B" w14:textId="77777777" w:rsidR="005C57AD" w:rsidRPr="00976D33" w:rsidRDefault="005C57AD" w:rsidP="00AF7BBF">
      <w:pPr>
        <w:pStyle w:val="Heading4"/>
        <w:numPr>
          <w:ilvl w:val="0"/>
          <w:numId w:val="77"/>
        </w:numPr>
      </w:pPr>
      <w:r>
        <w:t xml:space="preserve">Politikat dhe masat për të arritur kontributin kombëtar në cakun e Komunitetit të Energjisë 2030 për energjinë e ripërtëritshme dhe trajektoret e përmendura në pikën (a)(2) të nenit 4 dhe, kur është e zbatueshme ose e disponueshme, elementet e përmendura në pikën 2.1.2 të kësaj shtojce, duke përfshirë masat specifike për sektorin dhe teknologjinë (1) </w:t>
      </w:r>
    </w:p>
    <w:tbl>
      <w:tblPr>
        <w:tblStyle w:val="GridTable5Dark-Accent1"/>
        <w:tblW w:w="0" w:type="auto"/>
        <w:tblLook w:val="04A0" w:firstRow="1" w:lastRow="0" w:firstColumn="1" w:lastColumn="0" w:noHBand="0" w:noVBand="1"/>
      </w:tblPr>
      <w:tblGrid>
        <w:gridCol w:w="2425"/>
        <w:gridCol w:w="7139"/>
      </w:tblGrid>
      <w:tr w:rsidR="005C57AD" w:rsidRPr="00156C04" w14:paraId="173C0E3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76618BC5" w14:textId="7A446530" w:rsidR="005C57AD" w:rsidRPr="00156C04" w:rsidRDefault="0061575E">
            <w:pPr>
              <w:spacing w:before="20" w:after="20"/>
              <w:jc w:val="left"/>
              <w:rPr>
                <w:color w:val="FFFFFF" w:themeColor="background1"/>
                <w:sz w:val="18"/>
                <w:szCs w:val="18"/>
              </w:rPr>
            </w:pPr>
            <w:bookmarkStart w:id="179" w:name="_Toc138210153"/>
            <w:bookmarkStart w:id="180" w:name="_Toc138998454"/>
            <w:r>
              <w:rPr>
                <w:color w:val="FFFFFF" w:themeColor="background1"/>
                <w:sz w:val="18"/>
              </w:rPr>
              <w:t>PM 11: Promovimi i energjisë së ripërtëritshme në sektorin e energjisë elektrike</w:t>
            </w:r>
            <w:bookmarkEnd w:id="179"/>
            <w:bookmarkEnd w:id="180"/>
            <w:r>
              <w:rPr>
                <w:color w:val="FFFFFF" w:themeColor="background1"/>
                <w:sz w:val="18"/>
              </w:rPr>
              <w:t xml:space="preserve"> </w:t>
            </w:r>
          </w:p>
        </w:tc>
      </w:tr>
      <w:tr w:rsidR="005C57AD" w:rsidRPr="00156C04" w14:paraId="7A82B14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75F9FB04" w14:textId="77777777" w:rsidR="005C57AD" w:rsidRPr="00156C04" w:rsidRDefault="005C57AD">
            <w:pPr>
              <w:spacing w:before="20" w:after="20"/>
              <w:jc w:val="left"/>
              <w:rPr>
                <w:b w:val="0"/>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 xml:space="preserve">Kjo masë do të kontribuojë në rritjen e prodhimit nga burimet vendore të energjisë dhe pjesëmarrjen e BER-ve duke ulur emetimet e GS-ve, ndotjen lokale dhe konsumin primar të energjisë. Sipas Strategjisë së Energjisë 2022-2031, deri në vitin 2031 duhet të instalohen në sistem 1600 MW kapacitet të BER-ve. </w:t>
            </w:r>
          </w:p>
          <w:p w14:paraId="121FBAA6" w14:textId="77777777" w:rsidR="005C57AD" w:rsidRPr="00156C04" w:rsidRDefault="005C57AD">
            <w:pPr>
              <w:spacing w:before="20" w:after="20"/>
              <w:jc w:val="left"/>
              <w:rPr>
                <w:b w:val="0"/>
                <w:bCs w:val="0"/>
                <w:color w:val="FFFFFF" w:themeColor="background1"/>
                <w:sz w:val="18"/>
                <w:szCs w:val="18"/>
              </w:rPr>
            </w:pPr>
            <w:r>
              <w:rPr>
                <w:b w:val="0"/>
                <w:color w:val="FFFFFF" w:themeColor="background1"/>
                <w:sz w:val="18"/>
              </w:rPr>
              <w:t xml:space="preserve">Hapat themelorë drejt promovimit të BRE-ve përfshijnë: </w:t>
            </w:r>
          </w:p>
          <w:p w14:paraId="66481EE3" w14:textId="77777777" w:rsidR="005C57AD" w:rsidRPr="00156C04" w:rsidRDefault="005C57AD" w:rsidP="00AF7BBF">
            <w:pPr>
              <w:pStyle w:val="ListParagraph"/>
              <w:numPr>
                <w:ilvl w:val="0"/>
                <w:numId w:val="59"/>
              </w:numPr>
              <w:spacing w:before="20" w:after="20"/>
              <w:jc w:val="left"/>
              <w:rPr>
                <w:b w:val="0"/>
                <w:color w:val="FFFFFF" w:themeColor="background1"/>
                <w:sz w:val="18"/>
                <w:szCs w:val="18"/>
              </w:rPr>
            </w:pPr>
            <w:r>
              <w:rPr>
                <w:b w:val="0"/>
                <w:color w:val="FFFFFF" w:themeColor="background1"/>
                <w:sz w:val="18"/>
              </w:rPr>
              <w:t>Rishikimi i kornizës legjislative, duke përfshirë miratimin e ligjit për promovimin e përdorimit të BRE-ve dhe zhvillimin e akteve nënligjore në lidhje me këtë ligj.</w:t>
            </w:r>
          </w:p>
          <w:p w14:paraId="77D5C739" w14:textId="77777777" w:rsidR="005C57AD" w:rsidRPr="00156C04" w:rsidRDefault="005C57AD" w:rsidP="00AF7BBF">
            <w:pPr>
              <w:pStyle w:val="ListParagraph"/>
              <w:numPr>
                <w:ilvl w:val="0"/>
                <w:numId w:val="59"/>
              </w:numPr>
              <w:spacing w:before="20" w:after="20"/>
              <w:jc w:val="left"/>
              <w:rPr>
                <w:b w:val="0"/>
                <w:color w:val="FFFFFF" w:themeColor="background1"/>
                <w:sz w:val="18"/>
                <w:szCs w:val="18"/>
              </w:rPr>
            </w:pPr>
            <w:r>
              <w:rPr>
                <w:b w:val="0"/>
                <w:color w:val="FFFFFF" w:themeColor="background1"/>
                <w:sz w:val="18"/>
              </w:rPr>
              <w:t>Zhvillimi i udhëzimeve për instrumentet mbështetëse, siç janë ankandet për kapacitetet e ripërtëritshme të energjisë elektrike.</w:t>
            </w:r>
          </w:p>
          <w:p w14:paraId="5F48D0F6" w14:textId="4290FEBE" w:rsidR="005C57AD" w:rsidRPr="00156C04" w:rsidRDefault="005C57AD" w:rsidP="00AF7BBF">
            <w:pPr>
              <w:pStyle w:val="ListParagraph"/>
              <w:numPr>
                <w:ilvl w:val="0"/>
                <w:numId w:val="59"/>
              </w:numPr>
              <w:spacing w:before="20" w:after="20"/>
              <w:jc w:val="left"/>
              <w:rPr>
                <w:b w:val="0"/>
                <w:bCs w:val="0"/>
                <w:color w:val="FFFFFF" w:themeColor="background1"/>
                <w:sz w:val="18"/>
                <w:szCs w:val="18"/>
              </w:rPr>
            </w:pPr>
            <w:r>
              <w:rPr>
                <w:b w:val="0"/>
                <w:color w:val="FFFFFF" w:themeColor="background1"/>
                <w:sz w:val="18"/>
              </w:rPr>
              <w:t>Krijimi i një njësie për zhvillimin e kapaciteteve të energjisë së ripërtëritshme brenda përgjegjësive të Ministrisë së Ekonomisë.</w:t>
            </w:r>
          </w:p>
          <w:p w14:paraId="078565EE" w14:textId="4820DB72" w:rsidR="005C57AD" w:rsidRPr="00156C04" w:rsidRDefault="005C57AD">
            <w:pPr>
              <w:spacing w:before="20" w:after="20"/>
              <w:jc w:val="left"/>
              <w:rPr>
                <w:b w:val="0"/>
                <w:color w:val="FFFFFF" w:themeColor="background1"/>
                <w:sz w:val="18"/>
                <w:szCs w:val="18"/>
              </w:rPr>
            </w:pPr>
            <w:r>
              <w:rPr>
                <w:b w:val="0"/>
                <w:color w:val="FFFFFF" w:themeColor="background1"/>
                <w:sz w:val="18"/>
              </w:rPr>
              <w:t>Kapaciteti total i synuar prej 1600 MW parashikohet të arrihet me rreth 700 MW kapacitet të shtuar nga energjia solare (nga të cilat të paktën 100 MW do të jenë nga prodhuesit vetë-konsumues), rreth 600 MW kapacitet shtesë të energjisë së erës, që parashikohet të arrihet përmes partneriteteve publiko-private dhe/ose PPP-së.</w:t>
            </w:r>
          </w:p>
          <w:p w14:paraId="23A418E7" w14:textId="77777777" w:rsidR="005C57AD" w:rsidRPr="00156C04" w:rsidRDefault="005C57AD">
            <w:pPr>
              <w:spacing w:before="20" w:after="20"/>
              <w:jc w:val="left"/>
              <w:rPr>
                <w:b w:val="0"/>
                <w:color w:val="FFFFFF" w:themeColor="background1"/>
                <w:sz w:val="18"/>
                <w:szCs w:val="18"/>
              </w:rPr>
            </w:pPr>
            <w:r>
              <w:rPr>
                <w:b w:val="0"/>
                <w:color w:val="FFFFFF" w:themeColor="background1"/>
                <w:sz w:val="18"/>
              </w:rPr>
              <w:t>Përveç kapacitetit që është cak i Strategjisë së Energjisë, 100 MW shtesë të prodhuesve vetë-konsumues janë konsideruar nën këtë masë për skenarin me masa shtesë (WAM).</w:t>
            </w:r>
          </w:p>
          <w:p w14:paraId="34BF903B" w14:textId="4988C9D6" w:rsidR="005C57AD" w:rsidRPr="00156C04" w:rsidRDefault="005C57AD" w:rsidP="04CD950C">
            <w:pPr>
              <w:spacing w:before="20" w:after="20"/>
              <w:jc w:val="left"/>
              <w:rPr>
                <w:b w:val="0"/>
                <w:bCs w:val="0"/>
                <w:color w:val="FFFFFF" w:themeColor="background1"/>
                <w:sz w:val="18"/>
                <w:szCs w:val="18"/>
              </w:rPr>
            </w:pPr>
            <w:r>
              <w:rPr>
                <w:b w:val="0"/>
                <w:color w:val="FFFFFF" w:themeColor="background1"/>
                <w:sz w:val="18"/>
              </w:rPr>
              <w:t>Promovimi i BRE-ve parashikohet gjithashtu me zhvillimin e tregut për marrëveshjet e blerjes së energjisë së ripërtëritshme, i cili po rritet me shpejtësi në BE dhe ofron një rrugë plotësuese për tregun e gjenerimit të ripërtëritshëm krahas skemave mbështetëse ose shitjes në tregun me shumicë të energjisë elektrike.</w:t>
            </w:r>
          </w:p>
          <w:p w14:paraId="10507AC6" w14:textId="23CB1F9D" w:rsidR="005C57AD" w:rsidRPr="00156C04" w:rsidRDefault="00E342D9">
            <w:pPr>
              <w:spacing w:before="20" w:after="20"/>
              <w:jc w:val="left"/>
              <w:rPr>
                <w:b w:val="0"/>
                <w:color w:val="FFFFFF" w:themeColor="background1"/>
                <w:sz w:val="18"/>
                <w:szCs w:val="18"/>
              </w:rPr>
            </w:pPr>
            <w:r>
              <w:rPr>
                <w:b w:val="0"/>
                <w:color w:val="FFFFFF" w:themeColor="background1"/>
                <w:sz w:val="18"/>
              </w:rPr>
              <w:t xml:space="preserve">Ky masë e politikave pritet të ketë një ndikim pozitiv në ndotjen lokale dhe të përmirësojë cilësinë mjedisore dhe shëndetësore. Megjithatë, është thelbësore të studiohen efekte të tjera anësore, siç janë kostot e energjisë elektrike, rritja e vendeve të punës dhe përfitimet ekonomike si rezultat i rritjes së numrit të prodhuesve vetë-konsumues dhe projekteve të energjisë së ripërtëritshme. Vlerësime gjithëpërfshirëse të këtyre dinamikave janë të nevojshme për të bërë rregullime të dobishme për të gjithë akterët e tregut. Për më tepër, do të jetë e nevojshme të përfshihen aspekte gjithëpërfshirëse dhe sociale në ndikimin e kësaj mase. </w:t>
            </w:r>
          </w:p>
        </w:tc>
      </w:tr>
      <w:tr w:rsidR="005C57AD" w:rsidRPr="00156C04" w14:paraId="6773523A"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02D6F4B7" w14:textId="77777777" w:rsidR="005C57AD" w:rsidRPr="00156C04" w:rsidRDefault="005C57AD">
            <w:pPr>
              <w:spacing w:before="20" w:after="20"/>
              <w:jc w:val="left"/>
              <w:rPr>
                <w:color w:val="FFFFFF" w:themeColor="background1"/>
                <w:sz w:val="18"/>
                <w:szCs w:val="18"/>
              </w:rPr>
            </w:pPr>
            <w:r>
              <w:rPr>
                <w:color w:val="FFFFFF" w:themeColor="background1"/>
                <w:sz w:val="18"/>
              </w:rPr>
              <w:t>Sektori/lloji</w:t>
            </w:r>
          </w:p>
        </w:tc>
        <w:tc>
          <w:tcPr>
            <w:tcW w:w="7139" w:type="dxa"/>
            <w:vAlign w:val="center"/>
          </w:tcPr>
          <w:p w14:paraId="0B76CBC1" w14:textId="77777777" w:rsidR="005C57AD" w:rsidRPr="00156C04"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Energjetik/rregullator, teknik</w:t>
            </w:r>
          </w:p>
        </w:tc>
      </w:tr>
      <w:tr w:rsidR="005C57AD" w:rsidRPr="00156C04" w14:paraId="7C08B59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4E2664DC" w14:textId="77777777" w:rsidR="005C57AD" w:rsidRPr="00156C04" w:rsidRDefault="005C57AD">
            <w:pPr>
              <w:spacing w:before="20" w:after="20"/>
              <w:jc w:val="left"/>
              <w:rPr>
                <w:color w:val="FFFFFF" w:themeColor="background1"/>
                <w:sz w:val="18"/>
                <w:szCs w:val="18"/>
              </w:rPr>
            </w:pPr>
            <w:r>
              <w:rPr>
                <w:color w:val="FFFFFF" w:themeColor="background1"/>
                <w:sz w:val="18"/>
              </w:rPr>
              <w:t>Statusi i implementimit</w:t>
            </w:r>
          </w:p>
        </w:tc>
        <w:tc>
          <w:tcPr>
            <w:tcW w:w="7139" w:type="dxa"/>
            <w:vAlign w:val="center"/>
          </w:tcPr>
          <w:p w14:paraId="1EBC9691" w14:textId="77777777" w:rsidR="009E0E0E" w:rsidRPr="00156C04"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Në implementim/i planifikuar </w:t>
            </w:r>
          </w:p>
          <w:p w14:paraId="31F828C2" w14:textId="5AFFC878" w:rsidR="005C57AD" w:rsidRPr="00156C04" w:rsidRDefault="009E0E0E" w:rsidP="00AF7BBF">
            <w:pPr>
              <w:pStyle w:val="ListParagraph"/>
              <w:numPr>
                <w:ilvl w:val="0"/>
                <w:numId w:val="108"/>
              </w:num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PM 12-19 kontribuojnë në realizimin e kësaj mase.</w:t>
            </w:r>
          </w:p>
          <w:p w14:paraId="18407657" w14:textId="77777777" w:rsidR="005C57AD" w:rsidRPr="00156C04"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5C57AD" w:rsidRPr="00156C04" w14:paraId="595692DD"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752BD884" w14:textId="77777777" w:rsidR="005C57AD" w:rsidRPr="00156C04" w:rsidRDefault="005C57AD">
            <w:pPr>
              <w:spacing w:before="20" w:after="20"/>
              <w:jc w:val="left"/>
              <w:rPr>
                <w:color w:val="FFFFFF" w:themeColor="background1"/>
                <w:sz w:val="18"/>
                <w:szCs w:val="18"/>
              </w:rPr>
            </w:pPr>
            <w:r>
              <w:rPr>
                <w:color w:val="FFFFFF" w:themeColor="background1"/>
                <w:sz w:val="18"/>
              </w:rPr>
              <w:lastRenderedPageBreak/>
              <w:t>Efektet kuantitative</w:t>
            </w:r>
          </w:p>
        </w:tc>
        <w:tc>
          <w:tcPr>
            <w:tcW w:w="7139" w:type="dxa"/>
            <w:vAlign w:val="center"/>
          </w:tcPr>
          <w:p w14:paraId="2E1E3EA9" w14:textId="1BD59579" w:rsidR="005C57AD" w:rsidRPr="00156C04"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b/>
                <w:sz w:val="18"/>
              </w:rPr>
              <w:t xml:space="preserve">WEM: </w:t>
            </w:r>
            <w:r>
              <w:rPr>
                <w:sz w:val="18"/>
              </w:rPr>
              <w:t>Kapaciteti total i instaluar i BRE-ve prej 1600 MW në vitin 2031(Burimi: Strategjia e Energjisë)</w:t>
            </w:r>
            <w:r>
              <w:rPr>
                <w:b/>
                <w:sz w:val="18"/>
              </w:rPr>
              <w:br/>
              <w:t>WAM:</w:t>
            </w:r>
            <w:r>
              <w:rPr>
                <w:sz w:val="18"/>
              </w:rPr>
              <w:t xml:space="preserve"> Kapaciteti total i instaluar i BRE-ve prej 1700 MW në vitin 2031 (+100 MW kapacitet shtesë në prodhuesit vetë-konsumues)</w:t>
            </w:r>
          </w:p>
        </w:tc>
      </w:tr>
      <w:tr w:rsidR="005C57AD" w:rsidRPr="00156C04" w14:paraId="684E574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94D0E56" w14:textId="77777777" w:rsidR="005C57AD" w:rsidRPr="00156C04" w:rsidRDefault="005C57AD">
            <w:pPr>
              <w:spacing w:before="20" w:after="20"/>
              <w:jc w:val="left"/>
              <w:rPr>
                <w:color w:val="FFFFFF" w:themeColor="background1"/>
                <w:sz w:val="18"/>
                <w:szCs w:val="18"/>
              </w:rPr>
            </w:pPr>
            <w:r>
              <w:rPr>
                <w:color w:val="FFFFFF" w:themeColor="background1"/>
                <w:sz w:val="18"/>
              </w:rPr>
              <w:t>Investimet</w:t>
            </w:r>
          </w:p>
        </w:tc>
        <w:tc>
          <w:tcPr>
            <w:tcW w:w="7139" w:type="dxa"/>
            <w:vAlign w:val="center"/>
          </w:tcPr>
          <w:p w14:paraId="4C2BE237" w14:textId="41E340FB" w:rsidR="005C57AD" w:rsidRPr="00156C04"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1.007 mil. euro </w:t>
            </w:r>
            <w:r>
              <w:rPr>
                <w:sz w:val="18"/>
                <w:u w:val="single"/>
              </w:rPr>
              <w:t>duke përjashtuar</w:t>
            </w:r>
            <w:r>
              <w:rPr>
                <w:sz w:val="18"/>
              </w:rPr>
              <w:t xml:space="preserve"> investimet e prodhuesve vetë-konsumues (përmbl. deri në vitin 2030)</w:t>
            </w:r>
            <w:r>
              <w:br/>
            </w:r>
            <w:r>
              <w:rPr>
                <w:b/>
                <w:sz w:val="18"/>
              </w:rPr>
              <w:t>WEM:</w:t>
            </w:r>
            <w:r>
              <w:rPr>
                <w:sz w:val="18"/>
              </w:rPr>
              <w:t xml:space="preserve"> 1.094 mil. euro </w:t>
            </w:r>
            <w:r>
              <w:rPr>
                <w:sz w:val="18"/>
                <w:u w:val="single"/>
              </w:rPr>
              <w:t>duke përfshirë</w:t>
            </w:r>
            <w:r>
              <w:rPr>
                <w:sz w:val="18"/>
              </w:rPr>
              <w:t xml:space="preserve"> investimet e prodhuesve vetë-konsumues (përmbl. deri në vitin 2030)</w:t>
            </w:r>
          </w:p>
          <w:p w14:paraId="57FC861A" w14:textId="33584C84" w:rsidR="005C57AD" w:rsidRPr="00156C04"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b/>
                <w:sz w:val="18"/>
              </w:rPr>
              <w:t>WAM:</w:t>
            </w:r>
            <w:r>
              <w:rPr>
                <w:sz w:val="18"/>
              </w:rPr>
              <w:t xml:space="preserve"> 1.181 mil. euro </w:t>
            </w:r>
            <w:r>
              <w:rPr>
                <w:sz w:val="18"/>
                <w:u w:val="single"/>
              </w:rPr>
              <w:t>duke përfshirë</w:t>
            </w:r>
            <w:r>
              <w:rPr>
                <w:sz w:val="18"/>
              </w:rPr>
              <w:t xml:space="preserve"> investimet e prodhuesve vetë-konsumues (përmbl. deri në vitin 2030)</w:t>
            </w:r>
          </w:p>
          <w:p w14:paraId="3C6634CF" w14:textId="1C4E2B74" w:rsidR="0042684E" w:rsidRPr="00156C04" w:rsidRDefault="0042684E">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rFonts w:asciiTheme="majorHAnsi" w:hAnsiTheme="majorHAnsi"/>
                <w:sz w:val="18"/>
              </w:rPr>
              <w:t>(përfshin investimet publike dhe private)</w:t>
            </w:r>
          </w:p>
          <w:p w14:paraId="4A92442D" w14:textId="6E63D4D4" w:rsidR="005C57AD" w:rsidRPr="00156C04" w:rsidRDefault="00DD6B88">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Burimi: Llogaritjet e ekspertëve dhe modelimi.</w:t>
            </w:r>
          </w:p>
        </w:tc>
      </w:tr>
      <w:tr w:rsidR="005C57AD" w:rsidRPr="00156C04" w14:paraId="7EE8968B"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20770BF9" w14:textId="77777777" w:rsidR="005C57AD" w:rsidRPr="00156C04" w:rsidRDefault="005C57AD">
            <w:pPr>
              <w:spacing w:before="20" w:after="20"/>
              <w:jc w:val="left"/>
              <w:rPr>
                <w:color w:val="FFFFFF" w:themeColor="background1"/>
                <w:sz w:val="18"/>
                <w:szCs w:val="18"/>
              </w:rPr>
            </w:pPr>
            <w:r>
              <w:rPr>
                <w:color w:val="FFFFFF" w:themeColor="background1"/>
                <w:sz w:val="18"/>
              </w:rPr>
              <w:t>Institucioni përgjegjës</w:t>
            </w:r>
          </w:p>
        </w:tc>
        <w:tc>
          <w:tcPr>
            <w:tcW w:w="7139" w:type="dxa"/>
            <w:vAlign w:val="center"/>
          </w:tcPr>
          <w:p w14:paraId="12130662" w14:textId="77777777" w:rsidR="005C57AD" w:rsidRPr="00156C04"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ME, donatorët</w:t>
            </w:r>
          </w:p>
        </w:tc>
      </w:tr>
      <w:tr w:rsidR="005C57AD" w:rsidRPr="00156C04" w14:paraId="76516FA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3BE4547F" w14:textId="77777777" w:rsidR="005C57AD" w:rsidRPr="00156C04" w:rsidRDefault="005C57AD">
            <w:pPr>
              <w:spacing w:before="20" w:after="20"/>
              <w:jc w:val="left"/>
              <w:rPr>
                <w:color w:val="FFFFFF" w:themeColor="background1"/>
                <w:sz w:val="18"/>
                <w:szCs w:val="18"/>
              </w:rPr>
            </w:pPr>
            <w:r>
              <w:rPr>
                <w:color w:val="FFFFFF" w:themeColor="background1"/>
                <w:sz w:val="18"/>
              </w:rPr>
              <w:t>Treguesit e progresit</w:t>
            </w:r>
          </w:p>
        </w:tc>
        <w:tc>
          <w:tcPr>
            <w:tcW w:w="7139" w:type="dxa"/>
            <w:vAlign w:val="center"/>
          </w:tcPr>
          <w:p w14:paraId="418A6BAC" w14:textId="77777777" w:rsidR="005C57AD" w:rsidRPr="00156C04"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Kapaciteti i instaluar (MW); kursimet primare të energjisë (ktoe)</w:t>
            </w:r>
          </w:p>
        </w:tc>
      </w:tr>
      <w:tr w:rsidR="005C57AD" w:rsidRPr="00976D33" w14:paraId="755BF5B6" w14:textId="77777777">
        <w:tc>
          <w:tcPr>
            <w:cnfStyle w:val="001000000000" w:firstRow="0" w:lastRow="0" w:firstColumn="1" w:lastColumn="0" w:oddVBand="0" w:evenVBand="0" w:oddHBand="0" w:evenHBand="0" w:firstRowFirstColumn="0" w:firstRowLastColumn="0" w:lastRowFirstColumn="0" w:lastRowLastColumn="0"/>
            <w:tcW w:w="2425" w:type="dxa"/>
          </w:tcPr>
          <w:p w14:paraId="2D359FDB" w14:textId="61302968" w:rsidR="005C57AD" w:rsidRPr="00156C04" w:rsidRDefault="005C57AD">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39" w:type="dxa"/>
          </w:tcPr>
          <w:p w14:paraId="7D4258F7" w14:textId="77777777" w:rsidR="005C57AD" w:rsidRPr="00976D33" w:rsidRDefault="005C57AD">
            <w:pPr>
              <w:keepNext/>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rPr>
              <w:t>Efiçienca e energjisë, siguria energjetike, tregu i brendshëm energjetik</w:t>
            </w:r>
          </w:p>
        </w:tc>
      </w:tr>
    </w:tbl>
    <w:p w14:paraId="544CE2EC" w14:textId="77777777" w:rsidR="00FF705C" w:rsidRPr="00976D33" w:rsidRDefault="00FF705C" w:rsidP="005C57AD"/>
    <w:tbl>
      <w:tblPr>
        <w:tblStyle w:val="GridTable5Dark-Accent1"/>
        <w:tblW w:w="0" w:type="auto"/>
        <w:tblLook w:val="04A0" w:firstRow="1" w:lastRow="0" w:firstColumn="1" w:lastColumn="0" w:noHBand="0" w:noVBand="1"/>
      </w:tblPr>
      <w:tblGrid>
        <w:gridCol w:w="2425"/>
        <w:gridCol w:w="7139"/>
      </w:tblGrid>
      <w:tr w:rsidR="00160787" w:rsidRPr="00156C04" w14:paraId="682C3C09" w14:textId="77777777" w:rsidTr="7A23F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42E1B6BD" w14:textId="5D67D13F" w:rsidR="00160787" w:rsidRPr="00156C04" w:rsidRDefault="0061575E">
            <w:pPr>
              <w:spacing w:before="20" w:after="20"/>
              <w:jc w:val="left"/>
              <w:rPr>
                <w:color w:val="FFFFFF" w:themeColor="background1"/>
                <w:sz w:val="18"/>
                <w:szCs w:val="18"/>
              </w:rPr>
            </w:pPr>
            <w:r>
              <w:rPr>
                <w:color w:val="FFFFFF" w:themeColor="background1"/>
                <w:sz w:val="18"/>
              </w:rPr>
              <w:t>PM 12: Vendosja e projektit PV 100 MW në objektet e KEK-ut</w:t>
            </w:r>
          </w:p>
        </w:tc>
      </w:tr>
      <w:tr w:rsidR="00160787" w:rsidRPr="00156C04" w14:paraId="4FCF3F27" w14:textId="77777777" w:rsidTr="7A23F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23C0CFDB" w14:textId="2BADA116" w:rsidR="00160787" w:rsidRPr="00156C04" w:rsidRDefault="00160787" w:rsidP="00160787">
            <w:pPr>
              <w:spacing w:before="20" w:after="20"/>
              <w:jc w:val="left"/>
              <w:rPr>
                <w:b w:val="0"/>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Projekti përfshin ndërtimin e një termocentrali solar  fotovoltaik me kapacitet të instaluar deri në 100 MW në një zonë të shfrytëzuar më parë si deponi e hirit për termocentralin Kosova A. Sipërfaqja e disponueshme për projektin PV korrespondon me 153 hektarë. Projekti përfshin një studim të fizibilitetit për vazhdimin e mundshëm të projektit aktual përtej 100 MW.</w:t>
            </w:r>
          </w:p>
          <w:p w14:paraId="36F2C705" w14:textId="77777777" w:rsidR="00160787" w:rsidRPr="00156C04" w:rsidRDefault="00160787" w:rsidP="00160787">
            <w:pPr>
              <w:spacing w:before="20" w:after="20"/>
              <w:jc w:val="left"/>
              <w:rPr>
                <w:b w:val="0"/>
                <w:color w:val="FFFFFF" w:themeColor="background1"/>
                <w:sz w:val="18"/>
                <w:szCs w:val="18"/>
              </w:rPr>
            </w:pPr>
          </w:p>
          <w:p w14:paraId="1AC9E914" w14:textId="77777777" w:rsidR="00160787" w:rsidRPr="00156C04" w:rsidRDefault="00160787" w:rsidP="00160787">
            <w:pPr>
              <w:spacing w:before="20" w:after="20"/>
              <w:jc w:val="left"/>
              <w:rPr>
                <w:b w:val="0"/>
                <w:color w:val="FFFFFF" w:themeColor="background1"/>
                <w:sz w:val="18"/>
                <w:szCs w:val="18"/>
              </w:rPr>
            </w:pPr>
            <w:r>
              <w:rPr>
                <w:b w:val="0"/>
                <w:color w:val="FFFFFF" w:themeColor="background1"/>
                <w:sz w:val="18"/>
              </w:rPr>
              <w:t>Objektivi i përgjithshëm i projektit është të mbështesë tranzicionin e energjisë së pastër të Kosovës drejt dekarbonizimit duke zbatuar Marrëveshjen e Gjelbër për Ballkanin Perëndimor, duke përmbushur kërkesat e Traktatit të Komunitetit të Energjisë dhe duke iu përmbajtur strategjisë kombëtare të energjisë.</w:t>
            </w:r>
          </w:p>
          <w:p w14:paraId="4EFF6B13" w14:textId="77777777" w:rsidR="00160787" w:rsidRPr="00156C04" w:rsidRDefault="00160787" w:rsidP="00160787">
            <w:pPr>
              <w:spacing w:before="20" w:after="20"/>
              <w:jc w:val="left"/>
              <w:rPr>
                <w:b w:val="0"/>
                <w:color w:val="FFFFFF" w:themeColor="background1"/>
                <w:sz w:val="18"/>
                <w:szCs w:val="18"/>
              </w:rPr>
            </w:pPr>
          </w:p>
          <w:p w14:paraId="62C58D6B" w14:textId="5D7C3300" w:rsidR="00160787" w:rsidRPr="00156C04" w:rsidRDefault="00160787" w:rsidP="00160787">
            <w:pPr>
              <w:spacing w:before="20" w:after="20"/>
              <w:jc w:val="left"/>
              <w:rPr>
                <w:b w:val="0"/>
                <w:bCs w:val="0"/>
                <w:color w:val="FFFFFF" w:themeColor="background1"/>
                <w:sz w:val="18"/>
                <w:szCs w:val="18"/>
              </w:rPr>
            </w:pPr>
            <w:r>
              <w:rPr>
                <w:b w:val="0"/>
                <w:color w:val="FFFFFF" w:themeColor="background1"/>
                <w:sz w:val="18"/>
              </w:rPr>
              <w:t xml:space="preserve">Ky projekt është duke u realizuar në bashkëpunim të ngushtë me KfW-në si financues kryesor dhe KEK-un. Projekti do të financohet nga Qeveria e Republikës Federale të Gjermanisë përmes një kredie nga KfW, një kredie nga BEI, fondet e grantit nga BE/WBIF dhe fondet vetanake të KEK-ut. </w:t>
            </w:r>
          </w:p>
        </w:tc>
      </w:tr>
      <w:tr w:rsidR="00160787" w:rsidRPr="00156C04" w14:paraId="29E12611" w14:textId="77777777" w:rsidTr="7A23FCD7">
        <w:tc>
          <w:tcPr>
            <w:cnfStyle w:val="001000000000" w:firstRow="0" w:lastRow="0" w:firstColumn="1" w:lastColumn="0" w:oddVBand="0" w:evenVBand="0" w:oddHBand="0" w:evenHBand="0" w:firstRowFirstColumn="0" w:firstRowLastColumn="0" w:lastRowFirstColumn="0" w:lastRowLastColumn="0"/>
            <w:tcW w:w="2425" w:type="dxa"/>
            <w:vAlign w:val="center"/>
          </w:tcPr>
          <w:p w14:paraId="5CB6899E" w14:textId="77777777" w:rsidR="00160787" w:rsidRPr="00156C04" w:rsidRDefault="00160787">
            <w:pPr>
              <w:spacing w:before="20" w:after="20"/>
              <w:jc w:val="left"/>
              <w:rPr>
                <w:color w:val="FFFFFF" w:themeColor="background1"/>
                <w:sz w:val="18"/>
                <w:szCs w:val="18"/>
              </w:rPr>
            </w:pPr>
            <w:r>
              <w:rPr>
                <w:color w:val="FFFFFF" w:themeColor="background1"/>
                <w:sz w:val="18"/>
              </w:rPr>
              <w:t>Sektori/lloji</w:t>
            </w:r>
          </w:p>
        </w:tc>
        <w:tc>
          <w:tcPr>
            <w:tcW w:w="7139" w:type="dxa"/>
            <w:vAlign w:val="center"/>
          </w:tcPr>
          <w:p w14:paraId="61CA530E" w14:textId="77777777" w:rsidR="00160787" w:rsidRPr="00156C04" w:rsidRDefault="00160787">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Energjetik/rregullator, teknik</w:t>
            </w:r>
          </w:p>
        </w:tc>
      </w:tr>
      <w:tr w:rsidR="00160787" w:rsidRPr="00156C04" w14:paraId="00711DF8" w14:textId="77777777" w:rsidTr="7A23F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3D7E15D2" w14:textId="77777777" w:rsidR="00160787" w:rsidRPr="00156C04" w:rsidRDefault="00160787">
            <w:pPr>
              <w:spacing w:before="20" w:after="20"/>
              <w:jc w:val="left"/>
              <w:rPr>
                <w:color w:val="FFFFFF" w:themeColor="background1"/>
                <w:sz w:val="18"/>
                <w:szCs w:val="18"/>
              </w:rPr>
            </w:pPr>
            <w:r>
              <w:rPr>
                <w:color w:val="FFFFFF" w:themeColor="background1"/>
                <w:sz w:val="18"/>
              </w:rPr>
              <w:t>Statusi i implementimit</w:t>
            </w:r>
          </w:p>
        </w:tc>
        <w:tc>
          <w:tcPr>
            <w:tcW w:w="7139" w:type="dxa"/>
            <w:vAlign w:val="center"/>
          </w:tcPr>
          <w:p w14:paraId="1475A615" w14:textId="00BD790C" w:rsidR="00160787" w:rsidRPr="00156C04" w:rsidRDefault="00160787">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KEK-u është në fazën përfundimtare të vlerësimit të tenderit për Konsulentin Implementues (KI). KI do të përgatisë dosjen e tenderit për kompaninë EPC dhe do të ndihmojë KEK-un në mbikëqyrjen e punimeve ndërtimore të projektit. Afati kohor i projektit është përshkruar më poshtë.</w:t>
            </w:r>
          </w:p>
        </w:tc>
      </w:tr>
      <w:tr w:rsidR="00160787" w:rsidRPr="00156C04" w14:paraId="2BD2E9E5" w14:textId="77777777" w:rsidTr="7A23FCD7">
        <w:tc>
          <w:tcPr>
            <w:cnfStyle w:val="001000000000" w:firstRow="0" w:lastRow="0" w:firstColumn="1" w:lastColumn="0" w:oddVBand="0" w:evenVBand="0" w:oddHBand="0" w:evenHBand="0" w:firstRowFirstColumn="0" w:firstRowLastColumn="0" w:lastRowFirstColumn="0" w:lastRowLastColumn="0"/>
            <w:tcW w:w="2425" w:type="dxa"/>
            <w:vAlign w:val="center"/>
          </w:tcPr>
          <w:p w14:paraId="0E975843" w14:textId="77777777" w:rsidR="00160787" w:rsidRPr="00156C04" w:rsidRDefault="00160787">
            <w:pPr>
              <w:spacing w:before="20" w:after="20"/>
              <w:jc w:val="left"/>
              <w:rPr>
                <w:color w:val="FFFFFF" w:themeColor="background1"/>
                <w:sz w:val="18"/>
                <w:szCs w:val="18"/>
              </w:rPr>
            </w:pPr>
            <w:r>
              <w:rPr>
                <w:color w:val="FFFFFF" w:themeColor="background1"/>
                <w:sz w:val="18"/>
              </w:rPr>
              <w:t>Efektet kuantitative</w:t>
            </w:r>
          </w:p>
        </w:tc>
        <w:tc>
          <w:tcPr>
            <w:tcW w:w="7139" w:type="dxa"/>
            <w:vAlign w:val="center"/>
          </w:tcPr>
          <w:p w14:paraId="5F21B969" w14:textId="3860842F" w:rsidR="00160787" w:rsidRPr="00156C04" w:rsidRDefault="00160787">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Projekti me kapacitetet prej 100 MW pritet të gjenerojë afërsisht 152 GWh në vit sipas studimit të fizibilitetit. Ai do të kontribuojë në reduktim vjetor të emetimeve të CO</w:t>
            </w:r>
            <w:r>
              <w:rPr>
                <w:sz w:val="18"/>
                <w:vertAlign w:val="subscript"/>
              </w:rPr>
              <w:t>2</w:t>
            </w:r>
            <w:r>
              <w:rPr>
                <w:sz w:val="18"/>
              </w:rPr>
              <w:t xml:space="preserve"> prej 138,544 tonësh, duke zbutur kështu efektet negative globale të ndryshimeve klimatike.</w:t>
            </w:r>
          </w:p>
        </w:tc>
      </w:tr>
      <w:tr w:rsidR="00160787" w:rsidRPr="00156C04" w14:paraId="211C4A32" w14:textId="77777777" w:rsidTr="7A23F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563B1D5" w14:textId="77777777" w:rsidR="00160787" w:rsidRPr="00156C04" w:rsidRDefault="00160787">
            <w:pPr>
              <w:spacing w:before="20" w:after="20"/>
              <w:jc w:val="left"/>
              <w:rPr>
                <w:color w:val="FFFFFF" w:themeColor="background1"/>
                <w:sz w:val="18"/>
                <w:szCs w:val="18"/>
              </w:rPr>
            </w:pPr>
            <w:r>
              <w:rPr>
                <w:color w:val="FFFFFF" w:themeColor="background1"/>
                <w:sz w:val="18"/>
              </w:rPr>
              <w:t>Investimet</w:t>
            </w:r>
          </w:p>
        </w:tc>
        <w:tc>
          <w:tcPr>
            <w:tcW w:w="7139" w:type="dxa"/>
            <w:vAlign w:val="center"/>
          </w:tcPr>
          <w:p w14:paraId="357F092D" w14:textId="5D32CAFB" w:rsidR="00160787" w:rsidRPr="00156C04" w:rsidRDefault="00160787" w:rsidP="00F53F7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Kostoja totale e parashikuar e projektit është përafërsisht 104 mil. euro </w:t>
            </w:r>
          </w:p>
          <w:p w14:paraId="658FCFFF" w14:textId="02132B6A" w:rsidR="00F53F7D" w:rsidRPr="00156C04" w:rsidRDefault="00F53F7D" w:rsidP="00F53F7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- 10 mil. - euro financuar nga KEK-u si kontribut vetanak</w:t>
            </w:r>
          </w:p>
          <w:p w14:paraId="592B62DF" w14:textId="65F4FD2B" w:rsidR="00F53F7D" w:rsidRPr="00156C04" w:rsidRDefault="00F53F7D" w:rsidP="00F53F7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- 29 mil. euro si shumë e kredisë nga KfW</w:t>
            </w:r>
          </w:p>
          <w:p w14:paraId="707CDACD" w14:textId="7B93EE8C" w:rsidR="00F53F7D" w:rsidRPr="00156C04" w:rsidRDefault="00F53F7D" w:rsidP="00F53F7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- 32 mil. euro si shumë e grantit nga WBIF GA</w:t>
            </w:r>
          </w:p>
          <w:p w14:paraId="590BC127" w14:textId="675694D5" w:rsidR="00F53F7D" w:rsidRPr="00156C04" w:rsidRDefault="00F53F7D" w:rsidP="00F53F7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- 33 mil. euro si shumë e kredisë nga BEI.</w:t>
            </w:r>
          </w:p>
          <w:p w14:paraId="50CFB0CF" w14:textId="77777777" w:rsidR="00862FC4" w:rsidRPr="00156C04" w:rsidRDefault="00862FC4" w:rsidP="00F53F7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p>
          <w:p w14:paraId="4D38BBBB" w14:textId="77777777" w:rsidR="00862FC4" w:rsidRPr="00156C04" w:rsidRDefault="00862FC4" w:rsidP="00F53F7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Skema e financimit: 45 mil. euro in vitin 2025 dhe 2026, 14 mil. euro 2027.</w:t>
            </w:r>
          </w:p>
          <w:p w14:paraId="123039AF" w14:textId="77777777" w:rsidR="00862FC4" w:rsidRPr="00156C04" w:rsidRDefault="00862FC4" w:rsidP="00F53F7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p>
          <w:p w14:paraId="56E81937" w14:textId="71E6E246" w:rsidR="00862FC4" w:rsidRPr="00156C04" w:rsidRDefault="00E0766F" w:rsidP="00F53F7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Burimi: Konsultimet me donatorët. </w:t>
            </w:r>
          </w:p>
        </w:tc>
      </w:tr>
      <w:tr w:rsidR="00160787" w:rsidRPr="00156C04" w14:paraId="54AEFB2F" w14:textId="77777777" w:rsidTr="7A23FCD7">
        <w:tc>
          <w:tcPr>
            <w:cnfStyle w:val="001000000000" w:firstRow="0" w:lastRow="0" w:firstColumn="1" w:lastColumn="0" w:oddVBand="0" w:evenVBand="0" w:oddHBand="0" w:evenHBand="0" w:firstRowFirstColumn="0" w:firstRowLastColumn="0" w:lastRowFirstColumn="0" w:lastRowLastColumn="0"/>
            <w:tcW w:w="2425" w:type="dxa"/>
            <w:vAlign w:val="center"/>
          </w:tcPr>
          <w:p w14:paraId="55571344" w14:textId="77777777" w:rsidR="00160787" w:rsidRPr="00156C04" w:rsidRDefault="00160787">
            <w:pPr>
              <w:spacing w:before="20" w:after="20"/>
              <w:jc w:val="left"/>
              <w:rPr>
                <w:color w:val="FFFFFF" w:themeColor="background1"/>
                <w:sz w:val="18"/>
                <w:szCs w:val="18"/>
              </w:rPr>
            </w:pPr>
            <w:r>
              <w:rPr>
                <w:color w:val="FFFFFF" w:themeColor="background1"/>
                <w:sz w:val="18"/>
              </w:rPr>
              <w:t>Institucioni përgjegjës</w:t>
            </w:r>
          </w:p>
        </w:tc>
        <w:tc>
          <w:tcPr>
            <w:tcW w:w="7139" w:type="dxa"/>
            <w:vAlign w:val="center"/>
          </w:tcPr>
          <w:p w14:paraId="088AECE6" w14:textId="7921CA99" w:rsidR="00160787" w:rsidRPr="00156C04" w:rsidRDefault="00F53F7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KEK, donatorët</w:t>
            </w:r>
          </w:p>
        </w:tc>
      </w:tr>
      <w:tr w:rsidR="00160787" w:rsidRPr="00156C04" w14:paraId="64DE454C" w14:textId="77777777" w:rsidTr="7A23F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7E72CCA" w14:textId="77777777" w:rsidR="00160787" w:rsidRPr="00156C04" w:rsidRDefault="00160787">
            <w:pPr>
              <w:spacing w:before="20" w:after="20"/>
              <w:jc w:val="left"/>
              <w:rPr>
                <w:color w:val="FFFFFF" w:themeColor="background1"/>
                <w:sz w:val="18"/>
                <w:szCs w:val="18"/>
              </w:rPr>
            </w:pPr>
            <w:r>
              <w:rPr>
                <w:color w:val="FFFFFF" w:themeColor="background1"/>
                <w:sz w:val="18"/>
              </w:rPr>
              <w:t>Treguesit e progresit</w:t>
            </w:r>
          </w:p>
        </w:tc>
        <w:tc>
          <w:tcPr>
            <w:tcW w:w="7139" w:type="dxa"/>
            <w:vAlign w:val="center"/>
          </w:tcPr>
          <w:p w14:paraId="7DEBA491" w14:textId="77777777" w:rsidR="00160787" w:rsidRPr="00156C04" w:rsidRDefault="00160787" w:rsidP="00160787">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Prokurim në vitin 2025</w:t>
            </w:r>
          </w:p>
          <w:p w14:paraId="54154CC7" w14:textId="77777777" w:rsidR="00160787" w:rsidRPr="00156C04" w:rsidRDefault="00160787" w:rsidP="00160787">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Implementimi i projektit (TM1-TM3) në vitin 2026</w:t>
            </w:r>
          </w:p>
          <w:p w14:paraId="5AAE1EBE" w14:textId="502F631B" w:rsidR="00160787" w:rsidRPr="00156C04" w:rsidRDefault="00160787" w:rsidP="00160787">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Fillimi i funksionimit në TM4 të vitit 2026</w:t>
            </w:r>
          </w:p>
        </w:tc>
      </w:tr>
      <w:tr w:rsidR="00160787" w:rsidRPr="00976D33" w14:paraId="48940193" w14:textId="77777777" w:rsidTr="7A23FCD7">
        <w:tc>
          <w:tcPr>
            <w:cnfStyle w:val="001000000000" w:firstRow="0" w:lastRow="0" w:firstColumn="1" w:lastColumn="0" w:oddVBand="0" w:evenVBand="0" w:oddHBand="0" w:evenHBand="0" w:firstRowFirstColumn="0" w:firstRowLastColumn="0" w:lastRowFirstColumn="0" w:lastRowLastColumn="0"/>
            <w:tcW w:w="2425" w:type="dxa"/>
          </w:tcPr>
          <w:p w14:paraId="3E15727D" w14:textId="228C37FA" w:rsidR="00160787" w:rsidRPr="00156C04" w:rsidRDefault="00160787">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39" w:type="dxa"/>
          </w:tcPr>
          <w:p w14:paraId="57D6053E" w14:textId="77777777" w:rsidR="00160787" w:rsidRPr="00976D33" w:rsidRDefault="00160787">
            <w:pPr>
              <w:keepNext/>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rPr>
              <w:t>Efiçienca e energjisë, siguria energjetike, tregu i brendshëm energjetik</w:t>
            </w:r>
          </w:p>
        </w:tc>
      </w:tr>
    </w:tbl>
    <w:p w14:paraId="0FCCE7B5" w14:textId="77777777" w:rsidR="00160787" w:rsidRDefault="00160787" w:rsidP="005C57AD"/>
    <w:p w14:paraId="6FDE83D9" w14:textId="77777777" w:rsidR="0016272B" w:rsidRDefault="0016272B" w:rsidP="005C57AD"/>
    <w:p w14:paraId="14A1E3F4" w14:textId="77777777" w:rsidR="0016272B" w:rsidRDefault="0016272B" w:rsidP="005C57AD"/>
    <w:p w14:paraId="603FE563" w14:textId="77777777" w:rsidR="0016272B" w:rsidRPr="00976D33" w:rsidRDefault="0016272B" w:rsidP="005C57AD"/>
    <w:tbl>
      <w:tblPr>
        <w:tblStyle w:val="GridTable5Dark-Accent1"/>
        <w:tblW w:w="0" w:type="auto"/>
        <w:tblLook w:val="04A0" w:firstRow="1" w:lastRow="0" w:firstColumn="1" w:lastColumn="0" w:noHBand="0" w:noVBand="1"/>
      </w:tblPr>
      <w:tblGrid>
        <w:gridCol w:w="2425"/>
        <w:gridCol w:w="7139"/>
      </w:tblGrid>
      <w:tr w:rsidR="00160787" w:rsidRPr="00156C04" w14:paraId="67F435D0" w14:textId="77777777" w:rsidTr="7A23F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54C0150B" w14:textId="7FD96000" w:rsidR="00160787" w:rsidRPr="00156C04" w:rsidRDefault="0061575E">
            <w:pPr>
              <w:spacing w:before="20" w:after="20"/>
              <w:jc w:val="left"/>
              <w:rPr>
                <w:color w:val="FFFFFF" w:themeColor="background1"/>
                <w:sz w:val="18"/>
                <w:szCs w:val="18"/>
              </w:rPr>
            </w:pPr>
            <w:r>
              <w:rPr>
                <w:color w:val="FFFFFF" w:themeColor="background1"/>
                <w:sz w:val="18"/>
              </w:rPr>
              <w:lastRenderedPageBreak/>
              <w:t xml:space="preserve">PM 13: Studimi për Impiantin Fotovoltaik Solar 200 MW </w:t>
            </w:r>
          </w:p>
        </w:tc>
      </w:tr>
      <w:tr w:rsidR="00160787" w:rsidRPr="00156C04" w14:paraId="63384864" w14:textId="77777777" w:rsidTr="7A23F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48CB54B2" w14:textId="5144EB5E" w:rsidR="00160787" w:rsidRPr="00156C04" w:rsidRDefault="00160787" w:rsidP="00160787">
            <w:pPr>
              <w:spacing w:before="20" w:after="20"/>
              <w:jc w:val="left"/>
              <w:rPr>
                <w:bCs w:val="0"/>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 xml:space="preserve">Kosova mbështetet në linjit për prodhimin e energjisë. Strategjia e re e energjisë synon heqjen graduale nga përdorimi të thëngjillit dhe kalimin në burime të ripërtëritshme. </w:t>
            </w:r>
          </w:p>
          <w:p w14:paraId="1C56DF39" w14:textId="77777777" w:rsidR="00445F48" w:rsidRPr="00156C04" w:rsidRDefault="00445F48" w:rsidP="00160787">
            <w:pPr>
              <w:spacing w:before="20" w:after="20"/>
              <w:jc w:val="left"/>
              <w:rPr>
                <w:bCs w:val="0"/>
                <w:color w:val="FFFFFF" w:themeColor="background1"/>
                <w:sz w:val="18"/>
                <w:szCs w:val="18"/>
              </w:rPr>
            </w:pPr>
          </w:p>
          <w:p w14:paraId="4B1AA33F" w14:textId="2B870C66" w:rsidR="0048373B" w:rsidRPr="00813E68" w:rsidRDefault="00445F48" w:rsidP="00160787">
            <w:pPr>
              <w:spacing w:before="20" w:after="20"/>
              <w:jc w:val="left"/>
              <w:rPr>
                <w:color w:val="FFFFFF" w:themeColor="background1"/>
                <w:sz w:val="18"/>
                <w:szCs w:val="18"/>
              </w:rPr>
            </w:pPr>
            <w:r>
              <w:rPr>
                <w:b w:val="0"/>
                <w:color w:val="FFFFFF" w:themeColor="background1"/>
                <w:sz w:val="18"/>
              </w:rPr>
              <w:t>Qëllimi i kësaj mase është të kryejë një studim që vlerëson fizibilitetin e integrimit të një kapaciteti shtesë prej 200 MW të prodhimit të energjisë solare në objektet e KEK-ut. Gjetjet e studimit do të ndihmojnë në drejtimin e procesit të vendimmarrjes për hapat e ardhshëm në planin e zhvillimit dhe zbatimit të projektit.</w:t>
            </w:r>
          </w:p>
          <w:p w14:paraId="39C8B0ED" w14:textId="7924511F" w:rsidR="00160787" w:rsidRPr="00156C04" w:rsidRDefault="00160787" w:rsidP="00445F48">
            <w:pPr>
              <w:spacing w:before="20" w:after="20"/>
              <w:jc w:val="left"/>
              <w:rPr>
                <w:b w:val="0"/>
                <w:bCs w:val="0"/>
                <w:color w:val="FFFFFF" w:themeColor="background1"/>
                <w:sz w:val="18"/>
                <w:szCs w:val="18"/>
              </w:rPr>
            </w:pPr>
          </w:p>
        </w:tc>
      </w:tr>
      <w:tr w:rsidR="00160787" w:rsidRPr="00156C04" w14:paraId="4BEB1249" w14:textId="77777777" w:rsidTr="7A23FCD7">
        <w:tc>
          <w:tcPr>
            <w:cnfStyle w:val="001000000000" w:firstRow="0" w:lastRow="0" w:firstColumn="1" w:lastColumn="0" w:oddVBand="0" w:evenVBand="0" w:oddHBand="0" w:evenHBand="0" w:firstRowFirstColumn="0" w:firstRowLastColumn="0" w:lastRowFirstColumn="0" w:lastRowLastColumn="0"/>
            <w:tcW w:w="2425" w:type="dxa"/>
            <w:vAlign w:val="center"/>
          </w:tcPr>
          <w:p w14:paraId="013E0B6F" w14:textId="77777777" w:rsidR="00160787" w:rsidRPr="00156C04" w:rsidRDefault="00160787">
            <w:pPr>
              <w:spacing w:before="20" w:after="20"/>
              <w:jc w:val="left"/>
              <w:rPr>
                <w:color w:val="FFFFFF" w:themeColor="background1"/>
                <w:sz w:val="18"/>
                <w:szCs w:val="18"/>
              </w:rPr>
            </w:pPr>
            <w:r>
              <w:rPr>
                <w:color w:val="FFFFFF" w:themeColor="background1"/>
                <w:sz w:val="18"/>
              </w:rPr>
              <w:t>Sektori/lloji</w:t>
            </w:r>
          </w:p>
        </w:tc>
        <w:tc>
          <w:tcPr>
            <w:tcW w:w="7139" w:type="dxa"/>
            <w:vAlign w:val="center"/>
          </w:tcPr>
          <w:p w14:paraId="44495267" w14:textId="77777777" w:rsidR="00160787" w:rsidRPr="00156C04" w:rsidRDefault="00160787">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Energjetik/rregullator, teknik</w:t>
            </w:r>
          </w:p>
        </w:tc>
      </w:tr>
      <w:tr w:rsidR="00160787" w:rsidRPr="00156C04" w14:paraId="2D6B6287" w14:textId="77777777" w:rsidTr="7A23F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142949CC" w14:textId="77777777" w:rsidR="00160787" w:rsidRPr="00156C04" w:rsidRDefault="00160787">
            <w:pPr>
              <w:spacing w:before="20" w:after="20"/>
              <w:jc w:val="left"/>
              <w:rPr>
                <w:color w:val="FFFFFF" w:themeColor="background1"/>
                <w:sz w:val="18"/>
                <w:szCs w:val="18"/>
              </w:rPr>
            </w:pPr>
            <w:r>
              <w:rPr>
                <w:color w:val="FFFFFF" w:themeColor="background1"/>
                <w:sz w:val="18"/>
              </w:rPr>
              <w:t>Statusi i implementimit</w:t>
            </w:r>
          </w:p>
        </w:tc>
        <w:tc>
          <w:tcPr>
            <w:tcW w:w="7139" w:type="dxa"/>
            <w:vAlign w:val="center"/>
          </w:tcPr>
          <w:p w14:paraId="0F00D155" w14:textId="3BC80B52" w:rsidR="00160787" w:rsidRPr="00156C04" w:rsidRDefault="00FF12C7">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Planifikuar</w:t>
            </w:r>
          </w:p>
        </w:tc>
      </w:tr>
      <w:tr w:rsidR="00160787" w:rsidRPr="00156C04" w14:paraId="33C7C45F" w14:textId="77777777" w:rsidTr="7A23FCD7">
        <w:tc>
          <w:tcPr>
            <w:cnfStyle w:val="001000000000" w:firstRow="0" w:lastRow="0" w:firstColumn="1" w:lastColumn="0" w:oddVBand="0" w:evenVBand="0" w:oddHBand="0" w:evenHBand="0" w:firstRowFirstColumn="0" w:firstRowLastColumn="0" w:lastRowFirstColumn="0" w:lastRowLastColumn="0"/>
            <w:tcW w:w="2425" w:type="dxa"/>
            <w:vAlign w:val="center"/>
          </w:tcPr>
          <w:p w14:paraId="0BAF94CF" w14:textId="77777777" w:rsidR="00160787" w:rsidRPr="00156C04" w:rsidRDefault="00160787">
            <w:pPr>
              <w:spacing w:before="20" w:after="20"/>
              <w:jc w:val="left"/>
              <w:rPr>
                <w:color w:val="FFFFFF" w:themeColor="background1"/>
                <w:sz w:val="18"/>
                <w:szCs w:val="18"/>
              </w:rPr>
            </w:pPr>
            <w:r>
              <w:rPr>
                <w:color w:val="FFFFFF" w:themeColor="background1"/>
                <w:sz w:val="18"/>
              </w:rPr>
              <w:t>Efektet kuantitative</w:t>
            </w:r>
          </w:p>
        </w:tc>
        <w:tc>
          <w:tcPr>
            <w:tcW w:w="7139" w:type="dxa"/>
            <w:vAlign w:val="center"/>
          </w:tcPr>
          <w:p w14:paraId="69EC92C7" w14:textId="0443A67C" w:rsidR="00160787" w:rsidRPr="00156C04" w:rsidRDefault="00F53F7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Studimi i fizibilitetit i zhvilluar </w:t>
            </w:r>
          </w:p>
        </w:tc>
      </w:tr>
      <w:tr w:rsidR="00160787" w:rsidRPr="00156C04" w14:paraId="31478691" w14:textId="77777777" w:rsidTr="7A23F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11C52F74" w14:textId="77777777" w:rsidR="00160787" w:rsidRPr="00156C04" w:rsidRDefault="00160787">
            <w:pPr>
              <w:spacing w:before="20" w:after="20"/>
              <w:jc w:val="left"/>
              <w:rPr>
                <w:color w:val="FFFFFF" w:themeColor="background1"/>
                <w:sz w:val="18"/>
                <w:szCs w:val="18"/>
              </w:rPr>
            </w:pPr>
            <w:r>
              <w:rPr>
                <w:color w:val="FFFFFF" w:themeColor="background1"/>
                <w:sz w:val="18"/>
              </w:rPr>
              <w:t>Investimet</w:t>
            </w:r>
          </w:p>
        </w:tc>
        <w:tc>
          <w:tcPr>
            <w:tcW w:w="7139" w:type="dxa"/>
            <w:vAlign w:val="center"/>
          </w:tcPr>
          <w:p w14:paraId="6AFC9C00" w14:textId="77777777" w:rsidR="00156C04" w:rsidRDefault="00752F37" w:rsidP="00340FD0">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Rreth 0.5 milion euro (financuar nga donatorët)</w:t>
            </w:r>
          </w:p>
          <w:p w14:paraId="0807E0CB" w14:textId="4F898D3F" w:rsidR="00340FD0" w:rsidRPr="00156C04" w:rsidRDefault="001C718A" w:rsidP="00340FD0">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Burimi: Konsultimet me KEK-un dhe donatorët.</w:t>
            </w:r>
          </w:p>
        </w:tc>
      </w:tr>
      <w:tr w:rsidR="00160787" w:rsidRPr="00156C04" w14:paraId="35BE33D2" w14:textId="77777777" w:rsidTr="7A23FCD7">
        <w:tc>
          <w:tcPr>
            <w:cnfStyle w:val="001000000000" w:firstRow="0" w:lastRow="0" w:firstColumn="1" w:lastColumn="0" w:oddVBand="0" w:evenVBand="0" w:oddHBand="0" w:evenHBand="0" w:firstRowFirstColumn="0" w:firstRowLastColumn="0" w:lastRowFirstColumn="0" w:lastRowLastColumn="0"/>
            <w:tcW w:w="2425" w:type="dxa"/>
            <w:vAlign w:val="center"/>
          </w:tcPr>
          <w:p w14:paraId="200232B5" w14:textId="77777777" w:rsidR="00160787" w:rsidRPr="00156C04" w:rsidRDefault="00160787">
            <w:pPr>
              <w:spacing w:before="20" w:after="20"/>
              <w:jc w:val="left"/>
              <w:rPr>
                <w:color w:val="FFFFFF" w:themeColor="background1"/>
                <w:sz w:val="18"/>
                <w:szCs w:val="18"/>
              </w:rPr>
            </w:pPr>
            <w:r>
              <w:rPr>
                <w:color w:val="FFFFFF" w:themeColor="background1"/>
                <w:sz w:val="18"/>
              </w:rPr>
              <w:t>Institucioni përgjegjës</w:t>
            </w:r>
          </w:p>
        </w:tc>
        <w:tc>
          <w:tcPr>
            <w:tcW w:w="7139" w:type="dxa"/>
            <w:vAlign w:val="center"/>
          </w:tcPr>
          <w:p w14:paraId="26DE35AF" w14:textId="399069E3" w:rsidR="00160787" w:rsidRPr="00156C04" w:rsidRDefault="00F53F7D" w:rsidP="00F53F7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KEK</w:t>
            </w:r>
          </w:p>
        </w:tc>
      </w:tr>
      <w:tr w:rsidR="00160787" w:rsidRPr="00156C04" w14:paraId="28D642D6" w14:textId="77777777" w:rsidTr="7A23F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CD6D06F" w14:textId="752862C0" w:rsidR="00160787" w:rsidRPr="00156C04" w:rsidRDefault="00D07777">
            <w:pPr>
              <w:spacing w:before="20" w:after="20"/>
              <w:jc w:val="left"/>
              <w:rPr>
                <w:color w:val="FFFFFF" w:themeColor="background1"/>
                <w:sz w:val="18"/>
                <w:szCs w:val="18"/>
              </w:rPr>
            </w:pPr>
            <w:r>
              <w:rPr>
                <w:color w:val="FFFFFF" w:themeColor="background1"/>
                <w:sz w:val="18"/>
              </w:rPr>
              <w:t>Treguesit e progresit</w:t>
            </w:r>
          </w:p>
        </w:tc>
        <w:tc>
          <w:tcPr>
            <w:tcW w:w="7139" w:type="dxa"/>
            <w:vAlign w:val="center"/>
          </w:tcPr>
          <w:p w14:paraId="039FE9BA" w14:textId="304ECAAD" w:rsidR="00160787" w:rsidRPr="00156C04" w:rsidRDefault="00B75446">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Studimi i fizibilitetit i përfunduar</w:t>
            </w:r>
          </w:p>
        </w:tc>
      </w:tr>
      <w:tr w:rsidR="00160787" w:rsidRPr="00976D33" w14:paraId="1AF6D109" w14:textId="77777777" w:rsidTr="7A23FCD7">
        <w:tc>
          <w:tcPr>
            <w:cnfStyle w:val="001000000000" w:firstRow="0" w:lastRow="0" w:firstColumn="1" w:lastColumn="0" w:oddVBand="0" w:evenVBand="0" w:oddHBand="0" w:evenHBand="0" w:firstRowFirstColumn="0" w:firstRowLastColumn="0" w:lastRowFirstColumn="0" w:lastRowLastColumn="0"/>
            <w:tcW w:w="2425" w:type="dxa"/>
          </w:tcPr>
          <w:p w14:paraId="3ECEE369" w14:textId="1F0B6615" w:rsidR="00160787" w:rsidRPr="00156C04" w:rsidRDefault="00160787">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39" w:type="dxa"/>
          </w:tcPr>
          <w:p w14:paraId="21F6FA8E" w14:textId="77777777" w:rsidR="00160787" w:rsidRPr="00976D33" w:rsidRDefault="00160787">
            <w:pPr>
              <w:keepNext/>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rPr>
              <w:t>Efiçienca e energjisë, siguria energjetike, tregu i brendshëm energjetik</w:t>
            </w:r>
          </w:p>
        </w:tc>
      </w:tr>
    </w:tbl>
    <w:p w14:paraId="0CD0E4C3" w14:textId="77777777" w:rsidR="00FE486A" w:rsidRDefault="00FE486A" w:rsidP="00F53F7D"/>
    <w:p w14:paraId="460DBE4F" w14:textId="360C316D" w:rsidR="005C57AD" w:rsidRPr="00976D33" w:rsidRDefault="005C57AD" w:rsidP="00F53F7D">
      <w:r>
        <w:t>Kosova do t’i japë prioritet promovimit të burimeve të ripërtëritshme të energjisë (BRE) në sektorët siç janë industria dhe bujqësia. Konkretisht, do të bëhen përpjekje për shfrytëzimin e ndërtesave të shërbimit dhe lokacioneve tjera të përshtatshme për instalimin e teknologjive të energjisë së ripërtëritshme, me synimin për të kontribuar drejtpërdrejt në furnizimin e tyre me energji.</w:t>
      </w:r>
    </w:p>
    <w:p w14:paraId="184ABC16" w14:textId="51682C0C" w:rsidR="005C57AD" w:rsidRDefault="005C57AD" w:rsidP="00F53F7D">
      <w:r>
        <w:t xml:space="preserve">Si pjesë e projektit të USAID-it në Kosovë, u shpalos një iniciativë gjithëpërfshirëse, e cila rezultoi në zhvillimin e një harte që përcakton lokacionet optimale për ndërtimin e termocentraleve të erës dhe atyre solare. Procesi i përzgjedhjes siguroi që lokacionet e identifikuara të qëndrojnë jashtë zonave të caktuara të mbrojtura mjedisore, duke e përafruar projektin me objektivat e qëndrueshme. Kjo hartë strategjike kontribuon në shfrytëzimin e energjisë së ripërtëritshme dhe zbut ndikimet e mundshme ekologjike. Përfshirja e një paraqitjeje vizuale, e paraqitur në </w:t>
      </w:r>
      <w:r w:rsidR="00F53F7D" w:rsidRPr="00976D33">
        <w:fldChar w:fldCharType="begin"/>
      </w:r>
      <w:r w:rsidR="00F53F7D" w:rsidRPr="00976D33">
        <w:instrText xml:space="preserve"> REF _Ref164840628 \h </w:instrText>
      </w:r>
      <w:r w:rsidR="009A7A8D" w:rsidRPr="00976D33">
        <w:instrText xml:space="preserve"> \* MERGEFORMAT </w:instrText>
      </w:r>
      <w:r w:rsidR="00F53F7D" w:rsidRPr="00976D33">
        <w:fldChar w:fldCharType="separate"/>
      </w:r>
      <w:r w:rsidR="003B7FFA">
        <w:t>Figura 23</w:t>
      </w:r>
      <w:r w:rsidR="00F53F7D" w:rsidRPr="00976D33">
        <w:fldChar w:fldCharType="end"/>
      </w:r>
      <w:r>
        <w:t>, rrit qasje dhe u ofron palëve të interesit një pasqyrë të qartë të fushave të përzgjedhura, duke nxitur transparencën dhe vendimmarrjen e informuar në fushën e zhvillimit të qëndrueshëm të energjisë në Kosovë.</w:t>
      </w:r>
    </w:p>
    <w:p w14:paraId="18EEBB5D" w14:textId="77777777" w:rsidR="00FE486A" w:rsidRDefault="00FE486A" w:rsidP="00F53F7D"/>
    <w:p w14:paraId="65A1FEE4" w14:textId="77777777" w:rsidR="00FE486A" w:rsidRDefault="00FE486A" w:rsidP="00F53F7D"/>
    <w:p w14:paraId="5F8BB122" w14:textId="77777777" w:rsidR="00FE486A" w:rsidRDefault="00FE486A" w:rsidP="00F53F7D"/>
    <w:p w14:paraId="51053F48" w14:textId="77777777" w:rsidR="00FE486A" w:rsidRDefault="00FE486A" w:rsidP="00F53F7D"/>
    <w:p w14:paraId="72CAB43D" w14:textId="77777777" w:rsidR="00FE486A" w:rsidRDefault="00FE486A" w:rsidP="00F53F7D"/>
    <w:p w14:paraId="4B5619E6" w14:textId="77777777" w:rsidR="00FE486A" w:rsidRDefault="00FE486A" w:rsidP="00F53F7D"/>
    <w:p w14:paraId="615DCB79" w14:textId="77777777" w:rsidR="00FE486A" w:rsidRDefault="00FE486A" w:rsidP="00F53F7D"/>
    <w:p w14:paraId="350C9777" w14:textId="77777777" w:rsidR="00FE486A" w:rsidRDefault="00FE486A" w:rsidP="00F53F7D"/>
    <w:p w14:paraId="1B032EF3" w14:textId="77777777" w:rsidR="00FE486A" w:rsidRDefault="00FE486A" w:rsidP="00F53F7D"/>
    <w:p w14:paraId="2B844E15" w14:textId="77777777" w:rsidR="00FE486A" w:rsidRDefault="00FE486A" w:rsidP="00F53F7D"/>
    <w:p w14:paraId="57A7AC24" w14:textId="77777777" w:rsidR="00FE486A" w:rsidRDefault="00FE486A" w:rsidP="00F53F7D"/>
    <w:p w14:paraId="1584481C" w14:textId="77777777" w:rsidR="00FE486A" w:rsidRDefault="00FE486A" w:rsidP="00F53F7D"/>
    <w:p w14:paraId="375CD5B6" w14:textId="77777777" w:rsidR="00FE486A" w:rsidRDefault="00FE486A" w:rsidP="00F53F7D"/>
    <w:p w14:paraId="58F62F03" w14:textId="77777777" w:rsidR="00FE486A" w:rsidRDefault="00FE486A" w:rsidP="00F53F7D"/>
    <w:p w14:paraId="14C0AE53" w14:textId="77777777" w:rsidR="00FE486A" w:rsidRDefault="00FE486A" w:rsidP="00F53F7D"/>
    <w:p w14:paraId="0C59C59D" w14:textId="77777777" w:rsidR="00FE486A" w:rsidRDefault="00FE486A" w:rsidP="00F53F7D"/>
    <w:p w14:paraId="4A17862D" w14:textId="77777777" w:rsidR="00FE486A" w:rsidRPr="00976D33" w:rsidRDefault="00FE486A" w:rsidP="00F53F7D"/>
    <w:p w14:paraId="3C71DE51" w14:textId="112544C5" w:rsidR="00AA7CDF" w:rsidRPr="00976D33" w:rsidRDefault="005C57AD" w:rsidP="00F53F7D">
      <w:r>
        <w:lastRenderedPageBreak/>
        <w:t>Përveç kësaj, baza ligjore për vendndodhjen e BRE-ve është përfshirë në Ligjin e ri për planifikimin hapësinor (projektligji).</w:t>
      </w:r>
    </w:p>
    <w:p w14:paraId="54925D22" w14:textId="1B52CD86" w:rsidR="005C57AD" w:rsidRPr="00976D33" w:rsidRDefault="00160787" w:rsidP="006E6E51">
      <w:pPr>
        <w:pStyle w:val="Caption"/>
      </w:pPr>
      <w:bookmarkStart w:id="181" w:name="_Ref164840628"/>
      <w:bookmarkStart w:id="182" w:name="_Toc181867226"/>
      <w:r>
        <w:t xml:space="preserve">Figura </w:t>
      </w:r>
      <w:r w:rsidR="00062E07">
        <w:fldChar w:fldCharType="begin"/>
      </w:r>
      <w:r w:rsidR="00062E07">
        <w:instrText xml:space="preserve"> SEQ Figure \* ARABIC </w:instrText>
      </w:r>
      <w:r w:rsidR="00062E07">
        <w:fldChar w:fldCharType="separate"/>
      </w:r>
      <w:r w:rsidR="003B7FFA">
        <w:rPr>
          <w:noProof/>
        </w:rPr>
        <w:t>23</w:t>
      </w:r>
      <w:r w:rsidR="00062E07">
        <w:rPr>
          <w:noProof/>
        </w:rPr>
        <w:fldChar w:fldCharType="end"/>
      </w:r>
      <w:bookmarkEnd w:id="181"/>
      <w:r>
        <w:t>. Harta e potencialit të energjisë së ripërtëritshme të Kosovës: grupet e të dhënave të erës dhe diellit</w:t>
      </w:r>
      <w:bookmarkEnd w:id="182"/>
    </w:p>
    <w:p w14:paraId="0E0BCB4E" w14:textId="77777777" w:rsidR="005C57AD" w:rsidRPr="00976D33" w:rsidRDefault="005C57AD" w:rsidP="00B23FF7">
      <w:pPr>
        <w:jc w:val="center"/>
      </w:pPr>
      <w:r>
        <w:rPr>
          <w:noProof/>
          <w:lang w:val="en-US"/>
        </w:rPr>
        <w:drawing>
          <wp:inline distT="0" distB="0" distL="0" distR="0" wp14:anchorId="26B627CD" wp14:editId="3521B093">
            <wp:extent cx="3676650" cy="4572000"/>
            <wp:effectExtent l="0" t="0" r="0" b="0"/>
            <wp:docPr id="1768233572" name="Grafik 1768233572" descr="A map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33572" name="Grafik 1768233572" descr="A map of a mountain&#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3676650" cy="4572000"/>
                    </a:xfrm>
                    <a:prstGeom prst="rect">
                      <a:avLst/>
                    </a:prstGeom>
                  </pic:spPr>
                </pic:pic>
              </a:graphicData>
            </a:graphic>
          </wp:inline>
        </w:drawing>
      </w:r>
    </w:p>
    <w:p w14:paraId="75831CAA" w14:textId="77777777" w:rsidR="005C57AD" w:rsidRPr="00976D33" w:rsidRDefault="005C57AD" w:rsidP="005C57AD">
      <w:pPr>
        <w:rPr>
          <w:sz w:val="16"/>
          <w:szCs w:val="16"/>
        </w:rPr>
      </w:pPr>
      <w:r>
        <w:rPr>
          <w:sz w:val="16"/>
        </w:rPr>
        <w:t>Burimi: Linja e investimeve në energji të ripërtëritshme në Kosovë 2023-2025</w:t>
      </w:r>
    </w:p>
    <w:p w14:paraId="41EFA1D7" w14:textId="77777777" w:rsidR="005C57AD" w:rsidRPr="00976D33" w:rsidRDefault="005C57AD" w:rsidP="005C57AD">
      <w:pPr>
        <w:pStyle w:val="Heading4"/>
      </w:pPr>
      <w:r>
        <w:t xml:space="preserve">Kur është e nevojshme, masat specifike për bashkëpunim rajonal, si dhe, si opsion, prodhimi i vlerësuar shtesë i energjisë nga burimet e ripërtëritshme që mund të transferohet te palët kontraktuese dhe/ose shtetet anëtare të Bashkimit Evropian për të arritur kontributin dhe trajektoret kombëtare të përmendura në pikën 2.1.2 </w:t>
      </w:r>
    </w:p>
    <w:p w14:paraId="4CAA242A" w14:textId="22E1AF23" w:rsidR="006202E9" w:rsidRDefault="006202E9" w:rsidP="006E6E51">
      <w:r>
        <w:t>Pavarësisht përdorimit ambicioze të BRE-ve të parashikuara në këtë PKEK, duke pasur parasysh mbështetjen aktuale në burimet e energjisë fosile për furnizim me energji, vlerësohet se Kosova nuk do të jetë në gjendje të eksportojë sasi të konsiderueshme të energjisë së ripërtëritshme në vendet fqinje. Megjithatë, parashikohet që Kosova të bëhet një eksportues neto i energjisë elektrike në rajon (kryesisht të ripërtëritshme) në vitin 2033 (2029) në skenarin WEM (WAM).</w:t>
      </w:r>
    </w:p>
    <w:p w14:paraId="113851B1" w14:textId="77777777" w:rsidR="00FE486A" w:rsidRDefault="00FE486A" w:rsidP="006E6E51"/>
    <w:p w14:paraId="003691A0" w14:textId="77777777" w:rsidR="00FE486A" w:rsidRDefault="00FE486A" w:rsidP="006E6E51"/>
    <w:p w14:paraId="0C293633" w14:textId="77777777" w:rsidR="00FE486A" w:rsidRDefault="00FE486A" w:rsidP="006E6E51"/>
    <w:p w14:paraId="3AC5AA02" w14:textId="77777777" w:rsidR="00FE486A" w:rsidRDefault="00FE486A" w:rsidP="006E6E51"/>
    <w:p w14:paraId="4C3EF47A" w14:textId="77777777" w:rsidR="00FE486A" w:rsidRDefault="00FE486A" w:rsidP="006E6E51"/>
    <w:p w14:paraId="788CBE3A" w14:textId="77777777" w:rsidR="00FE486A" w:rsidRPr="00976D33" w:rsidRDefault="00FE486A" w:rsidP="006E6E51"/>
    <w:p w14:paraId="77EDB908" w14:textId="3D10F10B" w:rsidR="00AA7CDF" w:rsidRDefault="005C57AD">
      <w:pPr>
        <w:pStyle w:val="Heading4"/>
      </w:pPr>
      <w:r>
        <w:lastRenderedPageBreak/>
        <w:t xml:space="preserve">Masat specifike për mbështetjen financiare, kur është e aplikueshme, duke përfshirë mbështetjen e Bashkimit dhe përdorimin e fondeve të Bashkimit, për promovimin e prodhimit dhe përdorimit të energjisë nga burimet e ripërtëritshme në energji elektrike, ngrohje dhe ftohje dhe transport </w:t>
      </w:r>
    </w:p>
    <w:tbl>
      <w:tblPr>
        <w:tblStyle w:val="GridTable5Dark-Accent1"/>
        <w:tblW w:w="0" w:type="auto"/>
        <w:tblLook w:val="04A0" w:firstRow="1" w:lastRow="0" w:firstColumn="1" w:lastColumn="0" w:noHBand="0" w:noVBand="1"/>
      </w:tblPr>
      <w:tblGrid>
        <w:gridCol w:w="2425"/>
        <w:gridCol w:w="7139"/>
      </w:tblGrid>
      <w:tr w:rsidR="005C57AD" w:rsidRPr="00156C04" w14:paraId="3DF2815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75E06E40" w14:textId="266AD54B" w:rsidR="005C57AD" w:rsidRPr="00156C04" w:rsidRDefault="0061575E">
            <w:pPr>
              <w:spacing w:before="20" w:after="20"/>
              <w:jc w:val="left"/>
              <w:rPr>
                <w:color w:val="FFFFFF" w:themeColor="background1"/>
                <w:sz w:val="18"/>
                <w:szCs w:val="18"/>
              </w:rPr>
            </w:pPr>
            <w:bookmarkStart w:id="183" w:name="_Toc71247177"/>
            <w:bookmarkStart w:id="184" w:name="_Toc138210154"/>
            <w:bookmarkStart w:id="185" w:name="_Toc138998455"/>
            <w:r>
              <w:rPr>
                <w:color w:val="FFFFFF" w:themeColor="background1"/>
                <w:sz w:val="18"/>
              </w:rPr>
              <w:t xml:space="preserve">PM 14: </w:t>
            </w:r>
            <w:bookmarkEnd w:id="183"/>
            <w:r>
              <w:rPr>
                <w:color w:val="FFFFFF" w:themeColor="background1"/>
                <w:sz w:val="18"/>
              </w:rPr>
              <w:t>Marrëveshja për blerje të energjisë elektrike</w:t>
            </w:r>
            <w:bookmarkEnd w:id="184"/>
            <w:bookmarkEnd w:id="185"/>
          </w:p>
        </w:tc>
      </w:tr>
      <w:tr w:rsidR="005C57AD" w:rsidRPr="00156C04" w14:paraId="3FA1E4E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1B57C1D7" w14:textId="297C6F75" w:rsidR="005C57AD" w:rsidRPr="00156C04" w:rsidRDefault="005C57AD">
            <w:pPr>
              <w:spacing w:before="20" w:after="20"/>
              <w:jc w:val="left"/>
              <w:rPr>
                <w:b w:val="0"/>
                <w:bCs w:val="0"/>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Skema e tarifave nxitëse tashmë është krijuar në Kosovë, dhe kjo mbështetje ekonomike pritet të vazhdojë të ofrohet për ato kapacitete që kanë filluar procedurën para vitit 2021. Rregullatori do të miratojë marrëveshjet për blerjen e energjisë pas konsultimit me palët e treta.  ZRRE mund të udhëzojë Operatorin e Tregut në çdo moment para nënshkrimit të marrëveshjeve për blerjen e energjisë, për të bërë ndryshimet në modelet e draftit sipas nevojës së vlerësuar.</w:t>
            </w:r>
          </w:p>
          <w:p w14:paraId="10B41E8A" w14:textId="77777777" w:rsidR="005C57AD" w:rsidRPr="00156C04" w:rsidRDefault="005C57AD">
            <w:pPr>
              <w:spacing w:before="20" w:after="20"/>
              <w:jc w:val="left"/>
              <w:rPr>
                <w:b w:val="0"/>
                <w:bCs w:val="0"/>
                <w:color w:val="FFFFFF" w:themeColor="background1"/>
                <w:sz w:val="18"/>
                <w:szCs w:val="18"/>
              </w:rPr>
            </w:pPr>
            <w:r>
              <w:rPr>
                <w:b w:val="0"/>
                <w:color w:val="FFFFFF" w:themeColor="background1"/>
                <w:sz w:val="18"/>
              </w:rPr>
              <w:t xml:space="preserve">Në fund të vitit 2020, ZRRE-ja miratoi Vendimin 1321_2020, me të cilin përfundon aplikimi i Skemës Mbështetëse me Tarifa Nxitëse për mbështetjen e projekteve të reja për ndërtimin e kapaciteteve të reja gjeneruese për prodhimin e energjisë elektrike nga BRE-të për caqet 2021-2030. Gjithashtu, me këtë vendim ndërpritet pranimi i kërkesave për marrjen e autorizimit për ndërtimin e kapaciteteve të reja gjeneruese, që do të trajtohen me tarifë nxitëse nga BRE-të nga data e hyrjes në fuqi të këtij vendimi.  </w:t>
            </w:r>
          </w:p>
          <w:p w14:paraId="690447E8" w14:textId="77F99E56" w:rsidR="005C57AD" w:rsidRPr="00156C04" w:rsidRDefault="005C57AD">
            <w:pPr>
              <w:spacing w:before="20" w:after="20"/>
              <w:jc w:val="left"/>
              <w:rPr>
                <w:b w:val="0"/>
                <w:bCs w:val="0"/>
                <w:color w:val="FFFFFF" w:themeColor="background1"/>
                <w:sz w:val="18"/>
                <w:szCs w:val="18"/>
              </w:rPr>
            </w:pPr>
            <w:r>
              <w:rPr>
                <w:b w:val="0"/>
                <w:color w:val="FFFFFF" w:themeColor="background1"/>
                <w:sz w:val="18"/>
              </w:rPr>
              <w:t>Skema e tarifave nxitëse zëvendësohet me skemën e premiumeve nxitëse e cila do të jepet me ankande konkurruese (shih PM 15) Deri në funksionalizimin e skemës së premiumeve nxitëse, ankandet do të vazhdojnë të bazohen në tarifën nxitëse / Marrëveshjen për Blerjen e Energjisë Elektrike.</w:t>
            </w:r>
          </w:p>
          <w:p w14:paraId="57CBC719" w14:textId="1233B48C" w:rsidR="005C57AD" w:rsidRPr="00156C04" w:rsidRDefault="005C57AD">
            <w:pPr>
              <w:spacing w:before="20" w:after="20"/>
              <w:jc w:val="left"/>
              <w:rPr>
                <w:b w:val="0"/>
                <w:bCs w:val="0"/>
                <w:color w:val="FFFFFF" w:themeColor="background1"/>
                <w:sz w:val="18"/>
                <w:szCs w:val="18"/>
              </w:rPr>
            </w:pPr>
          </w:p>
        </w:tc>
      </w:tr>
      <w:tr w:rsidR="005C57AD" w:rsidRPr="00156C04" w14:paraId="24CB21D9"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40D704BA" w14:textId="77777777" w:rsidR="005C57AD" w:rsidRPr="00156C04" w:rsidRDefault="005C57AD">
            <w:pPr>
              <w:spacing w:before="20" w:after="20"/>
              <w:jc w:val="left"/>
              <w:rPr>
                <w:color w:val="FFFFFF" w:themeColor="background1"/>
                <w:sz w:val="18"/>
                <w:szCs w:val="18"/>
              </w:rPr>
            </w:pPr>
            <w:r>
              <w:rPr>
                <w:color w:val="FFFFFF" w:themeColor="background1"/>
                <w:sz w:val="18"/>
              </w:rPr>
              <w:t>Sektori/lloji</w:t>
            </w:r>
          </w:p>
        </w:tc>
        <w:tc>
          <w:tcPr>
            <w:tcW w:w="7139" w:type="dxa"/>
            <w:vAlign w:val="center"/>
          </w:tcPr>
          <w:p w14:paraId="13DD1DC1" w14:textId="77946ECA" w:rsidR="005C57AD" w:rsidRPr="00156C04"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Energjetik/rregullator</w:t>
            </w:r>
          </w:p>
        </w:tc>
      </w:tr>
      <w:tr w:rsidR="005C57AD" w:rsidRPr="00156C04" w14:paraId="257BCC4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1FDE462B" w14:textId="77777777" w:rsidR="005C57AD" w:rsidRPr="00156C04" w:rsidRDefault="005C57AD">
            <w:pPr>
              <w:spacing w:before="20" w:after="20"/>
              <w:jc w:val="left"/>
              <w:rPr>
                <w:color w:val="FFFFFF" w:themeColor="background1"/>
                <w:sz w:val="18"/>
                <w:szCs w:val="18"/>
              </w:rPr>
            </w:pPr>
            <w:r>
              <w:rPr>
                <w:color w:val="FFFFFF" w:themeColor="background1"/>
                <w:sz w:val="18"/>
              </w:rPr>
              <w:t>Statusi i implementimit</w:t>
            </w:r>
          </w:p>
        </w:tc>
        <w:tc>
          <w:tcPr>
            <w:tcW w:w="7139" w:type="dxa"/>
            <w:vAlign w:val="center"/>
          </w:tcPr>
          <w:p w14:paraId="2D36AC46" w14:textId="77777777" w:rsidR="005C57AD" w:rsidRPr="00156C04"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Në zbatim</w:t>
            </w:r>
          </w:p>
        </w:tc>
      </w:tr>
      <w:tr w:rsidR="005C57AD" w:rsidRPr="00156C04" w14:paraId="271E4FB7"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19597BC5" w14:textId="77777777" w:rsidR="005C57AD" w:rsidRPr="00156C04" w:rsidRDefault="005C57AD">
            <w:pPr>
              <w:spacing w:before="20" w:after="20"/>
              <w:jc w:val="left"/>
              <w:rPr>
                <w:color w:val="FFFFFF" w:themeColor="background1"/>
                <w:sz w:val="18"/>
                <w:szCs w:val="18"/>
              </w:rPr>
            </w:pPr>
            <w:r>
              <w:rPr>
                <w:color w:val="FFFFFF" w:themeColor="background1"/>
                <w:sz w:val="18"/>
              </w:rPr>
              <w:t>Efektet kuantitative</w:t>
            </w:r>
          </w:p>
        </w:tc>
        <w:tc>
          <w:tcPr>
            <w:tcW w:w="7139" w:type="dxa"/>
            <w:vAlign w:val="center"/>
          </w:tcPr>
          <w:p w14:paraId="79CC2116" w14:textId="101D4AFD" w:rsidR="005C57AD" w:rsidRPr="00156C04" w:rsidRDefault="001422EB">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Kontribuon në realizimin e cakut të formuluar në PM 11.</w:t>
            </w:r>
          </w:p>
        </w:tc>
      </w:tr>
      <w:tr w:rsidR="005C57AD" w:rsidRPr="00156C04" w14:paraId="071CB7F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0E4E9BC" w14:textId="77777777" w:rsidR="005C57AD" w:rsidRPr="00156C04" w:rsidRDefault="005C57AD">
            <w:pPr>
              <w:spacing w:before="20" w:after="20"/>
              <w:jc w:val="left"/>
              <w:rPr>
                <w:color w:val="FFFFFF" w:themeColor="background1"/>
                <w:sz w:val="18"/>
                <w:szCs w:val="18"/>
              </w:rPr>
            </w:pPr>
            <w:r>
              <w:rPr>
                <w:color w:val="FFFFFF" w:themeColor="background1"/>
                <w:sz w:val="18"/>
              </w:rPr>
              <w:t>Investimet</w:t>
            </w:r>
          </w:p>
        </w:tc>
        <w:tc>
          <w:tcPr>
            <w:tcW w:w="7139" w:type="dxa"/>
            <w:vAlign w:val="center"/>
          </w:tcPr>
          <w:p w14:paraId="7A90265D" w14:textId="7448A9A9" w:rsidR="005C57AD" w:rsidRPr="00156C04" w:rsidRDefault="00EC2750">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të përfshira në PM 11</w:t>
            </w:r>
            <w:r>
              <w:rPr>
                <w:sz w:val="18"/>
              </w:rPr>
              <w:br/>
            </w:r>
          </w:p>
        </w:tc>
      </w:tr>
      <w:tr w:rsidR="005C57AD" w:rsidRPr="00156C04" w14:paraId="481EF35C"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73CB6F00" w14:textId="77777777" w:rsidR="005C57AD" w:rsidRPr="00156C04" w:rsidRDefault="005C57AD">
            <w:pPr>
              <w:spacing w:before="20" w:after="20"/>
              <w:jc w:val="left"/>
              <w:rPr>
                <w:color w:val="FFFFFF" w:themeColor="background1"/>
                <w:sz w:val="18"/>
                <w:szCs w:val="18"/>
              </w:rPr>
            </w:pPr>
            <w:r>
              <w:rPr>
                <w:color w:val="FFFFFF" w:themeColor="background1"/>
                <w:sz w:val="18"/>
              </w:rPr>
              <w:t>Institucioni përgjegjës</w:t>
            </w:r>
          </w:p>
        </w:tc>
        <w:tc>
          <w:tcPr>
            <w:tcW w:w="7139" w:type="dxa"/>
            <w:vAlign w:val="center"/>
          </w:tcPr>
          <w:p w14:paraId="5E6E4A22" w14:textId="22A19E99" w:rsidR="005C57AD" w:rsidRPr="00156C04" w:rsidRDefault="008B2895">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ME, ZRRE, Operatori i Tregut </w:t>
            </w:r>
          </w:p>
        </w:tc>
      </w:tr>
      <w:tr w:rsidR="005C57AD" w:rsidRPr="00156C04" w14:paraId="60F2FCE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66AF7AC" w14:textId="77777777" w:rsidR="005C57AD" w:rsidRPr="00156C04" w:rsidRDefault="005C57AD">
            <w:pPr>
              <w:spacing w:before="20" w:after="20"/>
              <w:jc w:val="left"/>
              <w:rPr>
                <w:color w:val="FFFFFF" w:themeColor="background1"/>
                <w:sz w:val="18"/>
                <w:szCs w:val="18"/>
              </w:rPr>
            </w:pPr>
            <w:r>
              <w:rPr>
                <w:color w:val="FFFFFF" w:themeColor="background1"/>
                <w:sz w:val="18"/>
              </w:rPr>
              <w:t>Treguesit e progresit</w:t>
            </w:r>
          </w:p>
        </w:tc>
        <w:tc>
          <w:tcPr>
            <w:tcW w:w="7139" w:type="dxa"/>
            <w:vAlign w:val="center"/>
          </w:tcPr>
          <w:p w14:paraId="30AC66DD" w14:textId="77777777" w:rsidR="005C57AD" w:rsidRPr="00156C04"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Kapaciteti i instaluar me mbështetje me tarifa nxitëse (MW); kursimet primare të energjisë (ktoe)</w:t>
            </w:r>
          </w:p>
        </w:tc>
      </w:tr>
      <w:tr w:rsidR="005C57AD" w:rsidRPr="00976D33" w14:paraId="0E6AD14A" w14:textId="77777777">
        <w:tc>
          <w:tcPr>
            <w:cnfStyle w:val="001000000000" w:firstRow="0" w:lastRow="0" w:firstColumn="1" w:lastColumn="0" w:oddVBand="0" w:evenVBand="0" w:oddHBand="0" w:evenHBand="0" w:firstRowFirstColumn="0" w:firstRowLastColumn="0" w:lastRowFirstColumn="0" w:lastRowLastColumn="0"/>
            <w:tcW w:w="2425" w:type="dxa"/>
          </w:tcPr>
          <w:p w14:paraId="64DD3B34" w14:textId="2FAE3872" w:rsidR="005C57AD" w:rsidRPr="00156C04" w:rsidRDefault="005C57AD">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39" w:type="dxa"/>
          </w:tcPr>
          <w:p w14:paraId="16351B73" w14:textId="77777777" w:rsidR="005C57AD" w:rsidRPr="00976D33" w:rsidRDefault="005C57AD">
            <w:pPr>
              <w:keepNext/>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rPr>
              <w:t>Efiçienca e energjisë, siguria energjetike, tregu i brendshëm energjetik</w:t>
            </w:r>
          </w:p>
        </w:tc>
      </w:tr>
    </w:tbl>
    <w:p w14:paraId="32EBB470" w14:textId="77777777" w:rsidR="005C57AD" w:rsidRPr="00976D33" w:rsidRDefault="005C57AD" w:rsidP="005C57AD"/>
    <w:tbl>
      <w:tblPr>
        <w:tblStyle w:val="GridTable5Dark-Accent1"/>
        <w:tblW w:w="0" w:type="auto"/>
        <w:tblLook w:val="04A0" w:firstRow="1" w:lastRow="0" w:firstColumn="1" w:lastColumn="0" w:noHBand="0" w:noVBand="1"/>
      </w:tblPr>
      <w:tblGrid>
        <w:gridCol w:w="2425"/>
        <w:gridCol w:w="7139"/>
      </w:tblGrid>
      <w:tr w:rsidR="005C57AD" w:rsidRPr="00156C04" w14:paraId="24304E6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1775FB24" w14:textId="4C082270" w:rsidR="005C57AD" w:rsidRPr="00156C04" w:rsidRDefault="0061575E">
            <w:pPr>
              <w:spacing w:before="20" w:after="20"/>
              <w:jc w:val="left"/>
              <w:rPr>
                <w:color w:val="FFFFFF" w:themeColor="background1"/>
                <w:sz w:val="18"/>
                <w:szCs w:val="18"/>
              </w:rPr>
            </w:pPr>
            <w:bookmarkStart w:id="186" w:name="_Toc71247178"/>
            <w:bookmarkStart w:id="187" w:name="_Toc138210155"/>
            <w:bookmarkStart w:id="188" w:name="_Toc138998456"/>
            <w:r>
              <w:rPr>
                <w:color w:val="FFFFFF" w:themeColor="background1"/>
                <w:sz w:val="18"/>
              </w:rPr>
              <w:t>PM 15: Ankandet konkurruese për primet e furnizimit</w:t>
            </w:r>
            <w:bookmarkEnd w:id="186"/>
            <w:bookmarkEnd w:id="187"/>
            <w:bookmarkEnd w:id="188"/>
          </w:p>
        </w:tc>
      </w:tr>
      <w:tr w:rsidR="005C57AD" w:rsidRPr="00156C04" w14:paraId="7C756A3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5853CF35" w14:textId="29CCE9F2" w:rsidR="000A66D4" w:rsidRPr="00156C04" w:rsidRDefault="005C57AD">
            <w:pPr>
              <w:spacing w:before="20" w:after="20"/>
              <w:jc w:val="left"/>
              <w:rPr>
                <w:rFonts w:eastAsia="Times New Roman" w:cs="Times New Roman"/>
                <w:color w:val="FFFFFF"/>
                <w:sz w:val="18"/>
                <w:szCs w:val="18"/>
              </w:rPr>
            </w:pPr>
            <w:r>
              <w:rPr>
                <w:color w:val="FFFFFF" w:themeColor="background1"/>
                <w:sz w:val="18"/>
              </w:rPr>
              <w:t xml:space="preserve">Përshkrimi i shkurtër dhe objektivi: </w:t>
            </w:r>
            <w:r>
              <w:rPr>
                <w:b w:val="0"/>
                <w:color w:val="FFFFFF" w:themeColor="background1"/>
                <w:sz w:val="18"/>
              </w:rPr>
              <w:t xml:space="preserve">Ankandet dhe skemat e tenderimit konsiderohen si një mënyrë me kosto efektive për përdorimin e BRE-ve, pasi ato stimulojnë mekanizmat e konkurrencës në mesin e akterëve, lokacioneve dhe teknologjive të ndryshme. Fermat fotovoltaike dhe me erë mund të luajnë një rol thelbësor në uljen e rrezikut të çmimeve të larta të energjisë elektrike. </w:t>
            </w:r>
            <w:r>
              <w:rPr>
                <w:b w:val="0"/>
                <w:color w:val="FFFFFF"/>
                <w:sz w:val="18"/>
              </w:rPr>
              <w:t>Ligji i miratuar për promovimin e përdorimit të burimeve të ripërtëritshme të energjisë përcakton të drejtat dhe detyrimet për ndërtimin e kapaciteteve për gjenerimin e energjisë nga burimet e ripërtëritshme dhe krijon mekanizma konkurrues për të mbështetur zhvillimin e tyre.</w:t>
            </w:r>
          </w:p>
          <w:p w14:paraId="6C3B787D" w14:textId="7E09C83D" w:rsidR="005C57AD" w:rsidRPr="00156C04" w:rsidRDefault="005C57AD">
            <w:pPr>
              <w:spacing w:before="20" w:after="20"/>
              <w:jc w:val="left"/>
              <w:rPr>
                <w:color w:val="FFFFFF" w:themeColor="background1"/>
                <w:sz w:val="18"/>
                <w:szCs w:val="18"/>
              </w:rPr>
            </w:pPr>
            <w:r>
              <w:rPr>
                <w:b w:val="0"/>
                <w:color w:val="FFFFFF" w:themeColor="background1"/>
                <w:sz w:val="18"/>
              </w:rPr>
              <w:t>Në kuadër të skemës për premiume nxitëse (FIP), energjia elektrike e prodhuar nga BER shitet në tregun e drejtë energjetik dhe prodhuesit e BER-ve marrin një pagesë shtesë përveç çmimit të tregut për prodhimin e tyre të energjisë. FIP mund të jetë fiks ose rrëshqitës. FIP rrëshqitës llogaritet vazhdimisht, duke marrë parasysh ndryshimin ndërmjet çmimeve të tregut dhe çmimit referues të paracaktuar (çmimi maksimal i grumbulluar). Së fundi, FIP mund të diferencohet sipas teknologjive, madhësive dhe lokacioneve të ndryshme të BRE-ve.</w:t>
            </w:r>
          </w:p>
          <w:p w14:paraId="113013D4" w14:textId="441E8A53" w:rsidR="005C57AD" w:rsidRPr="00156C04" w:rsidRDefault="005C57AD">
            <w:pPr>
              <w:spacing w:before="20" w:after="20"/>
              <w:jc w:val="left"/>
              <w:rPr>
                <w:b w:val="0"/>
                <w:color w:val="FFFFFF" w:themeColor="background1"/>
                <w:sz w:val="18"/>
                <w:szCs w:val="18"/>
              </w:rPr>
            </w:pPr>
          </w:p>
        </w:tc>
      </w:tr>
      <w:tr w:rsidR="005C57AD" w:rsidRPr="00156C04" w14:paraId="6B9035ED"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3F7843F4" w14:textId="77777777" w:rsidR="005C57AD" w:rsidRPr="00156C04" w:rsidRDefault="005C57AD">
            <w:pPr>
              <w:spacing w:before="20" w:after="20"/>
              <w:jc w:val="left"/>
              <w:rPr>
                <w:color w:val="FFFFFF" w:themeColor="background1"/>
                <w:sz w:val="18"/>
                <w:szCs w:val="18"/>
              </w:rPr>
            </w:pPr>
            <w:r>
              <w:rPr>
                <w:color w:val="FFFFFF" w:themeColor="background1"/>
                <w:sz w:val="18"/>
              </w:rPr>
              <w:t>Sektori/lloji</w:t>
            </w:r>
          </w:p>
        </w:tc>
        <w:tc>
          <w:tcPr>
            <w:tcW w:w="7139" w:type="dxa"/>
            <w:vAlign w:val="center"/>
          </w:tcPr>
          <w:p w14:paraId="03D3B33F" w14:textId="77777777" w:rsidR="005C57AD" w:rsidRPr="00156C04"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Energjetik/rregullator</w:t>
            </w:r>
          </w:p>
        </w:tc>
      </w:tr>
      <w:tr w:rsidR="005C57AD" w:rsidRPr="00156C04" w14:paraId="4B81903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1671AE3A" w14:textId="77777777" w:rsidR="005C57AD" w:rsidRPr="00156C04" w:rsidRDefault="005C57AD">
            <w:pPr>
              <w:spacing w:before="20" w:after="20"/>
              <w:jc w:val="left"/>
              <w:rPr>
                <w:color w:val="FFFFFF" w:themeColor="background1"/>
                <w:sz w:val="18"/>
                <w:szCs w:val="18"/>
              </w:rPr>
            </w:pPr>
            <w:r>
              <w:rPr>
                <w:color w:val="FFFFFF" w:themeColor="background1"/>
                <w:sz w:val="18"/>
              </w:rPr>
              <w:t>Statusi i implementimit</w:t>
            </w:r>
          </w:p>
        </w:tc>
        <w:tc>
          <w:tcPr>
            <w:tcW w:w="7139" w:type="dxa"/>
            <w:vAlign w:val="center"/>
          </w:tcPr>
          <w:p w14:paraId="2235948E" w14:textId="77777777" w:rsidR="005C57AD" w:rsidRPr="00156C04"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color w:val="auto"/>
                <w:sz w:val="18"/>
                <w:szCs w:val="18"/>
              </w:rPr>
            </w:pPr>
            <w:r>
              <w:rPr>
                <w:color w:val="auto"/>
                <w:sz w:val="18"/>
              </w:rPr>
              <w:t>Në implementim,</w:t>
            </w:r>
          </w:p>
          <w:p w14:paraId="7C90C8E0" w14:textId="77777777" w:rsidR="005C57AD" w:rsidRPr="00156C04" w:rsidRDefault="005C57AD" w:rsidP="00AF7BBF">
            <w:pPr>
              <w:pStyle w:val="ListParagraph"/>
              <w:numPr>
                <w:ilvl w:val="0"/>
                <w:numId w:val="104"/>
              </w:numPr>
              <w:spacing w:before="20" w:after="20"/>
              <w:jc w:val="left"/>
              <w:cnfStyle w:val="000000100000" w:firstRow="0" w:lastRow="0" w:firstColumn="0" w:lastColumn="0" w:oddVBand="0" w:evenVBand="0" w:oddHBand="1" w:evenHBand="0" w:firstRowFirstColumn="0" w:firstRowLastColumn="0" w:lastRowFirstColumn="0" w:lastRowLastColumn="0"/>
              <w:rPr>
                <w:color w:val="auto"/>
                <w:sz w:val="18"/>
                <w:szCs w:val="18"/>
              </w:rPr>
            </w:pPr>
            <w:r>
              <w:rPr>
                <w:color w:val="auto"/>
                <w:sz w:val="18"/>
              </w:rPr>
              <w:t xml:space="preserve">Në dhjetor të vitit 2023, ZRRE miratoi Metodologjinë për përcaktimin e Pagesës Maksimale Fikse, Çmimit Maksimal të Grumbulluar dhe Tarifës Maksimale Nxitëse të Energjisë. </w:t>
            </w:r>
          </w:p>
          <w:p w14:paraId="0701F14B" w14:textId="77777777" w:rsidR="005C57AD" w:rsidRPr="00156C04" w:rsidRDefault="005C57AD" w:rsidP="00AF7BBF">
            <w:pPr>
              <w:pStyle w:val="ListParagraph"/>
              <w:numPr>
                <w:ilvl w:val="0"/>
                <w:numId w:val="104"/>
              </w:numPr>
              <w:spacing w:before="20" w:after="20"/>
              <w:jc w:val="left"/>
              <w:cnfStyle w:val="000000100000" w:firstRow="0" w:lastRow="0" w:firstColumn="0" w:lastColumn="0" w:oddVBand="0" w:evenVBand="0" w:oddHBand="1" w:evenHBand="0" w:firstRowFirstColumn="0" w:firstRowLastColumn="0" w:lastRowFirstColumn="0" w:lastRowLastColumn="0"/>
              <w:rPr>
                <w:color w:val="auto"/>
                <w:sz w:val="18"/>
                <w:szCs w:val="18"/>
              </w:rPr>
            </w:pPr>
            <w:r>
              <w:rPr>
                <w:color w:val="auto"/>
                <w:sz w:val="18"/>
              </w:rPr>
              <w:t>Ligji për promovimin e shfrytëzimit të burimeve të ripërtëritshme të energjisë, i cili rregullon skemën e premiumeve nxitëse për energji (neni 11), u miratua në prill të vitit 2024 nga Kuvendi.</w:t>
            </w:r>
          </w:p>
          <w:p w14:paraId="30C4482E" w14:textId="77777777" w:rsidR="0061575E" w:rsidRPr="00156C04" w:rsidRDefault="000C47F7" w:rsidP="00AF7BBF">
            <w:pPr>
              <w:pStyle w:val="ListParagraph"/>
              <w:numPr>
                <w:ilvl w:val="0"/>
                <w:numId w:val="104"/>
              </w:numPr>
              <w:spacing w:before="20" w:after="20"/>
              <w:jc w:val="left"/>
              <w:cnfStyle w:val="000000100000" w:firstRow="0" w:lastRow="0" w:firstColumn="0" w:lastColumn="0" w:oddVBand="0" w:evenVBand="0" w:oddHBand="1" w:evenHBand="0" w:firstRowFirstColumn="0" w:firstRowLastColumn="0" w:lastRowFirstColumn="0" w:lastRowLastColumn="0"/>
              <w:rPr>
                <w:color w:val="auto"/>
                <w:sz w:val="18"/>
                <w:szCs w:val="18"/>
              </w:rPr>
            </w:pPr>
            <w:r>
              <w:rPr>
                <w:color w:val="auto"/>
                <w:sz w:val="18"/>
              </w:rPr>
              <w:t>Në mars të vitit 2024, një konsorcium i udhëhequr nga kompania ndërtimore me bazë në Zvicër, Orllati, u zgjodh për të ndërtuar dhe operuar me një park solar deri në 105 MW në kapacitet lidhjeje për 30 vjet, duke përfshirë një kontratë 15-vjeçare për ndryshimin. Grupi e fitoi ankandin e parë të energjisë elektrike të ripërtëritshme në Kosovë me një ofertë prej 48.88 EUR/MWh</w:t>
            </w:r>
          </w:p>
          <w:p w14:paraId="5977298B" w14:textId="740B8681" w:rsidR="0061575E" w:rsidRPr="00156C04" w:rsidRDefault="00F3003A" w:rsidP="00AF7BBF">
            <w:pPr>
              <w:pStyle w:val="ListParagraph"/>
              <w:numPr>
                <w:ilvl w:val="0"/>
                <w:numId w:val="104"/>
              </w:numPr>
              <w:spacing w:before="20" w:after="20"/>
              <w:jc w:val="left"/>
              <w:cnfStyle w:val="000000100000" w:firstRow="0" w:lastRow="0" w:firstColumn="0" w:lastColumn="0" w:oddVBand="0" w:evenVBand="0" w:oddHBand="1" w:evenHBand="0" w:firstRowFirstColumn="0" w:firstRowLastColumn="0" w:lastRowFirstColumn="0" w:lastRowLastColumn="0"/>
              <w:rPr>
                <w:color w:val="auto"/>
                <w:sz w:val="18"/>
                <w:szCs w:val="18"/>
              </w:rPr>
            </w:pPr>
            <w:r>
              <w:rPr>
                <w:sz w:val="18"/>
              </w:rPr>
              <w:t>Përveç kësaj, Kosova do të lansojë ankandin e parë të energjisë me erë pa lokacion specifik deri në fund të vitit 2024, duke paraparë të arrijë një kapacitet prej 150 MW (~270 mil. euro investimi total), i cili do të përfshijë një komponent të Partneritetit Publiko-Privat deri në 80 mil. euro nga Qeveria e Kosovës.</w:t>
            </w:r>
          </w:p>
        </w:tc>
      </w:tr>
      <w:tr w:rsidR="005C57AD" w:rsidRPr="00156C04" w14:paraId="782D23C3"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44856159" w14:textId="77777777" w:rsidR="005C57AD" w:rsidRPr="00156C04" w:rsidRDefault="005C57AD">
            <w:pPr>
              <w:spacing w:before="20" w:after="20"/>
              <w:jc w:val="left"/>
              <w:rPr>
                <w:color w:val="FFFFFF" w:themeColor="background1"/>
                <w:sz w:val="18"/>
                <w:szCs w:val="18"/>
              </w:rPr>
            </w:pPr>
            <w:r>
              <w:rPr>
                <w:color w:val="FFFFFF" w:themeColor="background1"/>
                <w:sz w:val="18"/>
              </w:rPr>
              <w:t>Efektet kuantitative</w:t>
            </w:r>
          </w:p>
        </w:tc>
        <w:tc>
          <w:tcPr>
            <w:tcW w:w="7139" w:type="dxa"/>
          </w:tcPr>
          <w:p w14:paraId="4BF459FD" w14:textId="76F35F59" w:rsidR="005C57AD" w:rsidRPr="00156C04" w:rsidRDefault="001422EB">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Kontribuon në realizimin e cakut të formuluar në PM 11. </w:t>
            </w:r>
          </w:p>
        </w:tc>
      </w:tr>
      <w:tr w:rsidR="005C57AD" w:rsidRPr="00156C04" w14:paraId="3579A51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76C1DC68" w14:textId="77777777" w:rsidR="005C57AD" w:rsidRPr="00156C04" w:rsidRDefault="005C57AD">
            <w:pPr>
              <w:spacing w:before="20" w:after="20"/>
              <w:jc w:val="left"/>
              <w:rPr>
                <w:color w:val="FFFFFF" w:themeColor="background1"/>
                <w:sz w:val="18"/>
                <w:szCs w:val="18"/>
              </w:rPr>
            </w:pPr>
            <w:r>
              <w:rPr>
                <w:color w:val="FFFFFF" w:themeColor="background1"/>
                <w:sz w:val="18"/>
              </w:rPr>
              <w:lastRenderedPageBreak/>
              <w:t>Investimet</w:t>
            </w:r>
          </w:p>
        </w:tc>
        <w:tc>
          <w:tcPr>
            <w:tcW w:w="7139" w:type="dxa"/>
          </w:tcPr>
          <w:p w14:paraId="063189A1" w14:textId="4A5398A7" w:rsidR="005C57AD" w:rsidRPr="00156C04" w:rsidRDefault="00813E68">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Të përfshira në PM 11</w:t>
            </w:r>
          </w:p>
        </w:tc>
      </w:tr>
      <w:tr w:rsidR="005C57AD" w:rsidRPr="00156C04" w14:paraId="1EEDF146"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16BFB874" w14:textId="77777777" w:rsidR="005C57AD" w:rsidRPr="00156C04" w:rsidRDefault="005C57AD">
            <w:pPr>
              <w:spacing w:before="20" w:after="20"/>
              <w:jc w:val="left"/>
              <w:rPr>
                <w:color w:val="FFFFFF" w:themeColor="background1"/>
                <w:sz w:val="18"/>
                <w:szCs w:val="18"/>
              </w:rPr>
            </w:pPr>
            <w:r>
              <w:rPr>
                <w:color w:val="FFFFFF" w:themeColor="background1"/>
                <w:sz w:val="18"/>
              </w:rPr>
              <w:t>Institucioni përgjegjës</w:t>
            </w:r>
          </w:p>
        </w:tc>
        <w:tc>
          <w:tcPr>
            <w:tcW w:w="7139" w:type="dxa"/>
          </w:tcPr>
          <w:p w14:paraId="54140418" w14:textId="53E471F0" w:rsidR="005C57AD" w:rsidRPr="00156C04" w:rsidRDefault="008B2895">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ME, ZRRE, Operatori i Tregut</w:t>
            </w:r>
          </w:p>
        </w:tc>
      </w:tr>
      <w:tr w:rsidR="005C57AD" w:rsidRPr="00156C04" w14:paraId="6070416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294DDB21" w14:textId="77777777" w:rsidR="005C57AD" w:rsidRPr="00156C04" w:rsidRDefault="005C57AD">
            <w:pPr>
              <w:spacing w:before="20" w:after="20"/>
              <w:jc w:val="left"/>
              <w:rPr>
                <w:color w:val="FFFFFF" w:themeColor="background1"/>
                <w:sz w:val="18"/>
                <w:szCs w:val="18"/>
              </w:rPr>
            </w:pPr>
            <w:r>
              <w:rPr>
                <w:color w:val="FFFFFF" w:themeColor="background1"/>
                <w:sz w:val="18"/>
              </w:rPr>
              <w:t>Treguesit e progresit</w:t>
            </w:r>
          </w:p>
        </w:tc>
        <w:tc>
          <w:tcPr>
            <w:tcW w:w="7139" w:type="dxa"/>
            <w:vAlign w:val="center"/>
          </w:tcPr>
          <w:p w14:paraId="2ADC4C85" w14:textId="77777777" w:rsidR="005C57AD" w:rsidRPr="00156C04"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Kapaciteti i instaluar me mbështetje me premiume nxitëse (MW); kursimet primare të energjisë (ktoe)</w:t>
            </w:r>
          </w:p>
        </w:tc>
      </w:tr>
      <w:tr w:rsidR="005C57AD" w:rsidRPr="00976D33" w14:paraId="7945124B" w14:textId="77777777">
        <w:tc>
          <w:tcPr>
            <w:cnfStyle w:val="001000000000" w:firstRow="0" w:lastRow="0" w:firstColumn="1" w:lastColumn="0" w:oddVBand="0" w:evenVBand="0" w:oddHBand="0" w:evenHBand="0" w:firstRowFirstColumn="0" w:firstRowLastColumn="0" w:lastRowFirstColumn="0" w:lastRowLastColumn="0"/>
            <w:tcW w:w="2425" w:type="dxa"/>
          </w:tcPr>
          <w:p w14:paraId="4D896036" w14:textId="3BA9B045" w:rsidR="005C57AD" w:rsidRPr="00156C04" w:rsidRDefault="005C57AD">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39" w:type="dxa"/>
          </w:tcPr>
          <w:p w14:paraId="2A3CCB04" w14:textId="77777777" w:rsidR="005C57AD" w:rsidRPr="00976D33" w:rsidRDefault="005C57AD">
            <w:pPr>
              <w:keepNext/>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Efikasiteti i energjisë, siguria energjetike, tregu i brendshëm energjetik, hulumtimi, inovacioni dhe konkurrueshmëria </w:t>
            </w:r>
          </w:p>
        </w:tc>
      </w:tr>
    </w:tbl>
    <w:p w14:paraId="69DBD023" w14:textId="77777777" w:rsidR="005C57AD" w:rsidRPr="00976D33" w:rsidRDefault="005C57AD" w:rsidP="005C57AD"/>
    <w:tbl>
      <w:tblPr>
        <w:tblStyle w:val="GridTable5Dark-Accent1"/>
        <w:tblW w:w="0" w:type="auto"/>
        <w:tblLook w:val="04A0" w:firstRow="1" w:lastRow="0" w:firstColumn="1" w:lastColumn="0" w:noHBand="0" w:noVBand="1"/>
      </w:tblPr>
      <w:tblGrid>
        <w:gridCol w:w="2425"/>
        <w:gridCol w:w="7139"/>
      </w:tblGrid>
      <w:tr w:rsidR="005C57AD" w:rsidRPr="00156C04" w14:paraId="4FEDBA4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3B5BE85B" w14:textId="227E98DB" w:rsidR="005C57AD" w:rsidRPr="00156C04" w:rsidRDefault="0061575E">
            <w:pPr>
              <w:spacing w:before="20" w:after="20"/>
              <w:jc w:val="left"/>
              <w:rPr>
                <w:color w:val="FFFFFF" w:themeColor="background1"/>
                <w:sz w:val="18"/>
                <w:szCs w:val="18"/>
              </w:rPr>
            </w:pPr>
            <w:bookmarkStart w:id="189" w:name="_Toc32239075"/>
            <w:bookmarkStart w:id="190" w:name="_Toc71247179"/>
            <w:bookmarkStart w:id="191" w:name="_Toc138210156"/>
            <w:bookmarkStart w:id="192" w:name="_Toc138998457"/>
            <w:r>
              <w:rPr>
                <w:color w:val="FFFFFF" w:themeColor="background1"/>
                <w:sz w:val="18"/>
              </w:rPr>
              <w:t xml:space="preserve">PM 16: Certifikatat e origjinës për </w:t>
            </w:r>
            <w:r w:rsidRPr="002266B0">
              <w:rPr>
                <w:color w:val="FFFFFF" w:themeColor="background1"/>
                <w:sz w:val="18"/>
              </w:rPr>
              <w:t>BR</w:t>
            </w:r>
            <w:bookmarkEnd w:id="189"/>
            <w:bookmarkEnd w:id="190"/>
            <w:bookmarkEnd w:id="191"/>
            <w:bookmarkEnd w:id="192"/>
            <w:r w:rsidR="002266B0" w:rsidRPr="002266B0">
              <w:rPr>
                <w:color w:val="FFFFFF" w:themeColor="background1"/>
                <w:sz w:val="18"/>
              </w:rPr>
              <w:t>E</w:t>
            </w:r>
          </w:p>
        </w:tc>
      </w:tr>
      <w:tr w:rsidR="005C57AD" w:rsidRPr="00156C04" w14:paraId="7E3601F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6E0F4F97" w14:textId="387A7D2F" w:rsidR="005C57AD" w:rsidRPr="00156C04" w:rsidRDefault="005C57AD">
            <w:pPr>
              <w:spacing w:before="20" w:after="20"/>
              <w:jc w:val="left"/>
              <w:rPr>
                <w:b w:val="0"/>
                <w:bCs w:val="0"/>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 xml:space="preserve">Garancia e origjinës (GO) është një dokument elektronik që ua dëshmon konsumatorëve përfundimtarë se një sasi e caktuar e energjisë elektrike është prodhuar nga BRE-të. ZRRE-ja ka miratuar Rregullën për Krijimin e Sistemit të Certifikatës së Origjinës për energjinë elektrike të prodhuar nga BER, impiantet e djegies së mbeturinave dhe termocentralet e kombinuar të prodhimit të ngrohjes dhe energjisë në vitin 2010. Regjistri i certifikatave ende nuk është në dispozicion. Deri më tani, ZRRE nuk ka pranuar asnjë kërkesë për lëshimin e certifikatës së origjinës. </w:t>
            </w:r>
          </w:p>
          <w:p w14:paraId="5C6D36FC" w14:textId="4E2148F8" w:rsidR="005C57AD" w:rsidRPr="00156C04" w:rsidRDefault="005C57AD">
            <w:pPr>
              <w:spacing w:before="20" w:after="20"/>
              <w:jc w:val="left"/>
              <w:rPr>
                <w:b w:val="0"/>
                <w:bCs w:val="0"/>
                <w:color w:val="FFFFFF" w:themeColor="background1"/>
                <w:sz w:val="18"/>
                <w:szCs w:val="18"/>
              </w:rPr>
            </w:pPr>
            <w:r>
              <w:rPr>
                <w:b w:val="0"/>
                <w:color w:val="FFFFFF" w:themeColor="background1"/>
                <w:sz w:val="18"/>
              </w:rPr>
              <w:t xml:space="preserve">Strategjia Kombëtare e Energjisë njeh nevojën për të krijuar një sistem për certifikimin e energjisë së ripërtëritshme (në nivel kombëtar dhe rajonal) që do të sigurojë një proces elektronik për lëshimin, transferimin dhe anulimin e garancive të origjinës. Prandaj, Rregulli i ZRRE-së </w:t>
            </w:r>
            <w:r>
              <w:rPr>
                <w:color w:val="FFFFFF" w:themeColor="background1"/>
                <w:sz w:val="18"/>
              </w:rPr>
              <w:t>do të përditësohet</w:t>
            </w:r>
            <w:r>
              <w:rPr>
                <w:b w:val="0"/>
                <w:color w:val="FFFFFF" w:themeColor="background1"/>
                <w:sz w:val="18"/>
              </w:rPr>
              <w:t xml:space="preserve"> për të krijuar një mekanizëm elektronik për lëshimin e certifikatave të origjinës. </w:t>
            </w:r>
          </w:p>
          <w:p w14:paraId="64E3475F" w14:textId="77777777" w:rsidR="005C57AD" w:rsidRPr="00156C04" w:rsidRDefault="005C57AD">
            <w:pPr>
              <w:spacing w:before="20" w:after="20"/>
              <w:jc w:val="left"/>
              <w:rPr>
                <w:color w:val="FFFFFF" w:themeColor="background1"/>
                <w:sz w:val="18"/>
                <w:szCs w:val="18"/>
              </w:rPr>
            </w:pPr>
            <w:r>
              <w:rPr>
                <w:b w:val="0"/>
                <w:color w:val="FFFFFF" w:themeColor="background1"/>
                <w:sz w:val="18"/>
              </w:rPr>
              <w:t>Sekretariati i Komunitetit të Energjisë implementon një projekt për krijimin e sistemi elektronik për garancitë e origjinës në Shqipëri, Bosnjë dhe Hercegovinë, Gjeorgji, Kosovë, Maqedoni të Veriut, Moldavi, Mal të Zi dhe Ukrainë.</w:t>
            </w:r>
          </w:p>
        </w:tc>
      </w:tr>
      <w:tr w:rsidR="005C57AD" w:rsidRPr="00156C04" w14:paraId="75261A81"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78F5731B" w14:textId="77777777" w:rsidR="005C57AD" w:rsidRPr="00156C04" w:rsidRDefault="005C57AD">
            <w:pPr>
              <w:spacing w:before="20" w:after="20"/>
              <w:jc w:val="left"/>
              <w:rPr>
                <w:color w:val="FFFFFF" w:themeColor="background1"/>
                <w:sz w:val="18"/>
                <w:szCs w:val="18"/>
              </w:rPr>
            </w:pPr>
            <w:r>
              <w:rPr>
                <w:color w:val="FFFFFF" w:themeColor="background1"/>
                <w:sz w:val="18"/>
              </w:rPr>
              <w:t>Sektori/lloji</w:t>
            </w:r>
          </w:p>
        </w:tc>
        <w:tc>
          <w:tcPr>
            <w:tcW w:w="7139" w:type="dxa"/>
            <w:vAlign w:val="center"/>
          </w:tcPr>
          <w:p w14:paraId="7B4DDD0C" w14:textId="77777777" w:rsidR="005C57AD" w:rsidRPr="00156C04"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Energjetik/rregullator</w:t>
            </w:r>
          </w:p>
        </w:tc>
      </w:tr>
      <w:tr w:rsidR="005C57AD" w:rsidRPr="00156C04" w14:paraId="2E6A1E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1D3BE86" w14:textId="77777777" w:rsidR="005C57AD" w:rsidRPr="00156C04" w:rsidRDefault="005C57AD">
            <w:pPr>
              <w:spacing w:before="20" w:after="20"/>
              <w:jc w:val="left"/>
              <w:rPr>
                <w:color w:val="FFFFFF" w:themeColor="background1"/>
                <w:sz w:val="18"/>
                <w:szCs w:val="18"/>
              </w:rPr>
            </w:pPr>
            <w:r>
              <w:rPr>
                <w:color w:val="FFFFFF" w:themeColor="background1"/>
                <w:sz w:val="18"/>
              </w:rPr>
              <w:t>Statusi i implementimit</w:t>
            </w:r>
          </w:p>
        </w:tc>
        <w:tc>
          <w:tcPr>
            <w:tcW w:w="7139" w:type="dxa"/>
            <w:vAlign w:val="center"/>
          </w:tcPr>
          <w:p w14:paraId="4340F7AA" w14:textId="7945032E" w:rsidR="005C57AD" w:rsidRPr="00156C04"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Në implementim, Marrëveshja me Grexel si palë implementuese për krijimin e një sistemi elektronik për garancitë e origjinës, të përzgjedhura nga Sekretariati i Komunitetit të Energjisë, tashmë është nënshkruar dhe garancitë e para të origjinës pritet të lëshohen në fund të vitit 2024.</w:t>
            </w:r>
          </w:p>
        </w:tc>
      </w:tr>
      <w:tr w:rsidR="005C57AD" w:rsidRPr="00156C04" w14:paraId="0C40C7C8"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382319B5" w14:textId="77777777" w:rsidR="005C57AD" w:rsidRPr="00156C04" w:rsidRDefault="005C57AD">
            <w:pPr>
              <w:spacing w:before="20" w:after="20"/>
              <w:jc w:val="left"/>
              <w:rPr>
                <w:color w:val="FFFFFF" w:themeColor="background1"/>
                <w:sz w:val="18"/>
                <w:szCs w:val="18"/>
              </w:rPr>
            </w:pPr>
            <w:r>
              <w:rPr>
                <w:color w:val="FFFFFF" w:themeColor="background1"/>
                <w:sz w:val="18"/>
              </w:rPr>
              <w:t>Efektet kuantitative</w:t>
            </w:r>
          </w:p>
        </w:tc>
        <w:tc>
          <w:tcPr>
            <w:tcW w:w="7139" w:type="dxa"/>
            <w:vAlign w:val="center"/>
          </w:tcPr>
          <w:p w14:paraId="359E12B7" w14:textId="77777777" w:rsidR="005C57AD" w:rsidRPr="00156C04"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n/a</w:t>
            </w:r>
          </w:p>
        </w:tc>
      </w:tr>
      <w:tr w:rsidR="005C57AD" w:rsidRPr="00156C04" w14:paraId="49CBA6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2C3CFA35" w14:textId="77777777" w:rsidR="005C57AD" w:rsidRPr="00156C04" w:rsidRDefault="005C57AD">
            <w:pPr>
              <w:spacing w:before="20" w:after="20"/>
              <w:jc w:val="left"/>
              <w:rPr>
                <w:color w:val="FFFFFF" w:themeColor="background1"/>
                <w:sz w:val="18"/>
                <w:szCs w:val="18"/>
              </w:rPr>
            </w:pPr>
            <w:r>
              <w:rPr>
                <w:color w:val="FFFFFF" w:themeColor="background1"/>
                <w:sz w:val="18"/>
              </w:rPr>
              <w:t>Investimet</w:t>
            </w:r>
          </w:p>
        </w:tc>
        <w:tc>
          <w:tcPr>
            <w:tcW w:w="7139" w:type="dxa"/>
            <w:vAlign w:val="center"/>
          </w:tcPr>
          <w:p w14:paraId="3A577FB9" w14:textId="77B7328D" w:rsidR="005C57AD" w:rsidRPr="00156C04" w:rsidRDefault="00362955">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t>Shuma totale prej 0.5 milion euro (0.25 në vitin 2025 dhe 2026) financuar përmes fondeve të BE-së (Burimi:</w:t>
            </w:r>
            <w:r>
              <w:rPr>
                <w:sz w:val="18"/>
              </w:rPr>
              <w:t xml:space="preserve"> Konsultimet me donatorët dhe vlerësimet e ekspertëve)</w:t>
            </w:r>
          </w:p>
        </w:tc>
      </w:tr>
      <w:tr w:rsidR="005C57AD" w:rsidRPr="00156C04" w14:paraId="4AC66EA5"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24AF7794" w14:textId="77777777" w:rsidR="005C57AD" w:rsidRPr="00156C04" w:rsidRDefault="005C57AD">
            <w:pPr>
              <w:spacing w:before="20" w:after="20"/>
              <w:jc w:val="left"/>
              <w:rPr>
                <w:color w:val="FFFFFF" w:themeColor="background1"/>
                <w:sz w:val="18"/>
                <w:szCs w:val="18"/>
              </w:rPr>
            </w:pPr>
            <w:r>
              <w:rPr>
                <w:color w:val="FFFFFF" w:themeColor="background1"/>
                <w:sz w:val="18"/>
              </w:rPr>
              <w:t>Institucioni përgjegjës</w:t>
            </w:r>
          </w:p>
        </w:tc>
        <w:tc>
          <w:tcPr>
            <w:tcW w:w="7139" w:type="dxa"/>
            <w:vAlign w:val="center"/>
          </w:tcPr>
          <w:p w14:paraId="7A8B3D95" w14:textId="77777777" w:rsidR="005C57AD" w:rsidRPr="00156C04"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ZRRE</w:t>
            </w:r>
          </w:p>
        </w:tc>
      </w:tr>
      <w:tr w:rsidR="005C57AD" w:rsidRPr="00156C04" w14:paraId="0EE018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398F90F9" w14:textId="77777777" w:rsidR="005C57AD" w:rsidRPr="00156C04" w:rsidRDefault="005C57AD">
            <w:pPr>
              <w:spacing w:before="20" w:after="20"/>
              <w:jc w:val="left"/>
              <w:rPr>
                <w:color w:val="FFFFFF" w:themeColor="background1"/>
                <w:sz w:val="18"/>
                <w:szCs w:val="18"/>
              </w:rPr>
            </w:pPr>
            <w:r>
              <w:rPr>
                <w:color w:val="FFFFFF" w:themeColor="background1"/>
                <w:sz w:val="18"/>
              </w:rPr>
              <w:t>Treguesit e progresit</w:t>
            </w:r>
          </w:p>
        </w:tc>
        <w:tc>
          <w:tcPr>
            <w:tcW w:w="7139" w:type="dxa"/>
            <w:vAlign w:val="center"/>
          </w:tcPr>
          <w:p w14:paraId="53B982E9" w14:textId="77777777" w:rsidR="005C57AD" w:rsidRPr="00156C04"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Numri i certifikatave të origjinës të lëshuara</w:t>
            </w:r>
          </w:p>
        </w:tc>
      </w:tr>
      <w:tr w:rsidR="005C57AD" w:rsidRPr="00976D33" w14:paraId="24B67A2E" w14:textId="77777777">
        <w:tc>
          <w:tcPr>
            <w:cnfStyle w:val="001000000000" w:firstRow="0" w:lastRow="0" w:firstColumn="1" w:lastColumn="0" w:oddVBand="0" w:evenVBand="0" w:oddHBand="0" w:evenHBand="0" w:firstRowFirstColumn="0" w:firstRowLastColumn="0" w:lastRowFirstColumn="0" w:lastRowLastColumn="0"/>
            <w:tcW w:w="2425" w:type="dxa"/>
          </w:tcPr>
          <w:p w14:paraId="46153FF9" w14:textId="54572566" w:rsidR="005C57AD" w:rsidRPr="00156C04" w:rsidRDefault="005C57AD">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39" w:type="dxa"/>
          </w:tcPr>
          <w:p w14:paraId="38440667" w14:textId="77777777" w:rsidR="005C57AD" w:rsidRPr="00976D33" w:rsidRDefault="005C57AD">
            <w:pPr>
              <w:keepNext/>
              <w:spacing w:before="20" w:after="20"/>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Efikasiteti i energjisë, siguria energjetike, tregu i brendshëm energjetik, hulumtimi, inovacioni dhe konkurrueshmëria </w:t>
            </w:r>
          </w:p>
        </w:tc>
      </w:tr>
    </w:tbl>
    <w:p w14:paraId="077A0B9C" w14:textId="77777777" w:rsidR="005C57AD" w:rsidRPr="00976D33" w:rsidRDefault="005C57AD" w:rsidP="00FF705C">
      <w:pPr>
        <w:spacing w:before="0" w:after="0"/>
      </w:pPr>
    </w:p>
    <w:p w14:paraId="701C0B6D" w14:textId="77777777" w:rsidR="005C57AD" w:rsidRPr="00976D33" w:rsidRDefault="005C57AD" w:rsidP="005C57AD">
      <w:pPr>
        <w:pStyle w:val="Heading4"/>
      </w:pPr>
      <w:r>
        <w:t>Kur është e aplikueshme, vlerësimi i mbështetjes për energjinë elektrike nga burimet e ripërtëritshme që palët kontraktuese duhet të kryejnë në përputhje me nenin 6(4) të Direktivës (BE) 2018/2001, siç është përshtatur dhe miratuar me Vendimet e Këshillit Ministror 2021/14/MC- EnC dhe 2022/02/MCenC</w:t>
      </w:r>
    </w:p>
    <w:p w14:paraId="7EEF57CB" w14:textId="77777777" w:rsidR="005C57AD" w:rsidRPr="00976D33" w:rsidRDefault="005C57AD" w:rsidP="005C57AD">
      <w:r>
        <w:t>Masat e mëposhtme mbështesin prodhimin e energjisë elektrike nga BRE-të: Tarifat nxitëse (PM 13), premiumet nxitëse (PM 14) dhe Certifikatat e Origjinës për BRE (PM 15) janë masa për mbështetjen e prodhimit të energjisë elektrike nga BRE-të.</w:t>
      </w:r>
    </w:p>
    <w:p w14:paraId="3F08090C" w14:textId="77777777" w:rsidR="005C57AD" w:rsidRPr="00976D33" w:rsidRDefault="005C57AD" w:rsidP="005C57AD">
      <w:pPr>
        <w:pStyle w:val="Heading4"/>
      </w:pPr>
      <w:r>
        <w:t xml:space="preserve">Masa specifike për të vënë në funksion ose më shumë pika kontaktuese, për të përmirësuar procedurat administrative, për të ofruar informacion dhe trajnim dhe për të lehtësuar marrjen e marrëveshjeve të blerjes së energjisë elektrike </w:t>
      </w:r>
    </w:p>
    <w:tbl>
      <w:tblPr>
        <w:tblStyle w:val="GridTable5Dark-Accent1"/>
        <w:tblW w:w="0" w:type="auto"/>
        <w:tblLook w:val="04A0" w:firstRow="1" w:lastRow="0" w:firstColumn="1" w:lastColumn="0" w:noHBand="0" w:noVBand="1"/>
      </w:tblPr>
      <w:tblGrid>
        <w:gridCol w:w="2425"/>
        <w:gridCol w:w="7139"/>
      </w:tblGrid>
      <w:tr w:rsidR="005C57AD" w:rsidRPr="00156C04" w14:paraId="3E46DD7A" w14:textId="77777777" w:rsidTr="7A23F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324FE667" w14:textId="50222835" w:rsidR="005C57AD" w:rsidRPr="00156C04" w:rsidRDefault="0061575E">
            <w:pPr>
              <w:spacing w:before="20" w:after="20"/>
              <w:jc w:val="left"/>
              <w:rPr>
                <w:color w:val="FFFFFF" w:themeColor="background1"/>
                <w:sz w:val="18"/>
                <w:szCs w:val="18"/>
              </w:rPr>
            </w:pPr>
            <w:bookmarkStart w:id="193" w:name="_Toc71247180"/>
            <w:bookmarkStart w:id="194" w:name="_Toc138210157"/>
            <w:bookmarkStart w:id="195" w:name="_Toc138998458"/>
            <w:r>
              <w:rPr>
                <w:color w:val="FFFFFF" w:themeColor="background1"/>
                <w:sz w:val="18"/>
              </w:rPr>
              <w:t>PM 17: Mjedisi funksional për investitorët e BRE-ve</w:t>
            </w:r>
            <w:bookmarkEnd w:id="193"/>
            <w:bookmarkEnd w:id="194"/>
            <w:bookmarkEnd w:id="195"/>
          </w:p>
        </w:tc>
      </w:tr>
      <w:tr w:rsidR="005C57AD" w:rsidRPr="00156C04" w14:paraId="3F8E68EA" w14:textId="77777777" w:rsidTr="7A23F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3FAB65EA" w14:textId="77777777" w:rsidR="005C57AD" w:rsidRPr="00156C04" w:rsidRDefault="005C57AD">
            <w:pPr>
              <w:spacing w:before="20" w:after="20"/>
              <w:jc w:val="left"/>
              <w:rPr>
                <w:b w:val="0"/>
                <w:bCs w:val="0"/>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Hapat e mëposhtëm janë parashikuar për të lehtësuar procedurat e investimit në BER:</w:t>
            </w:r>
          </w:p>
          <w:p w14:paraId="2D719E9F" w14:textId="77777777" w:rsidR="005C57AD" w:rsidRPr="00156C04" w:rsidRDefault="005C57AD" w:rsidP="00AF7BBF">
            <w:pPr>
              <w:pStyle w:val="ListParagraph"/>
              <w:numPr>
                <w:ilvl w:val="0"/>
                <w:numId w:val="60"/>
              </w:numPr>
              <w:spacing w:before="20" w:after="20"/>
              <w:ind w:left="567"/>
              <w:jc w:val="left"/>
              <w:rPr>
                <w:b w:val="0"/>
                <w:bCs w:val="0"/>
                <w:color w:val="FFFFFF" w:themeColor="background1"/>
                <w:sz w:val="18"/>
                <w:szCs w:val="18"/>
              </w:rPr>
            </w:pPr>
            <w:r>
              <w:rPr>
                <w:b w:val="0"/>
                <w:color w:val="FFFFFF" w:themeColor="background1"/>
                <w:sz w:val="18"/>
              </w:rPr>
              <w:t xml:space="preserve">OST dhe OSSH të zbatojnë detyrimet ligjore dhe rregullatore të cilat do të sigurojnë prioritet në shpërndarjen e energjisë elektrike të prodhuar nga BRE-të; </w:t>
            </w:r>
          </w:p>
          <w:p w14:paraId="7ADF00B7" w14:textId="77777777" w:rsidR="005C57AD" w:rsidRPr="00156C04" w:rsidRDefault="005C57AD" w:rsidP="00AF7BBF">
            <w:pPr>
              <w:pStyle w:val="ListParagraph"/>
              <w:numPr>
                <w:ilvl w:val="0"/>
                <w:numId w:val="60"/>
              </w:numPr>
              <w:spacing w:before="20" w:after="20"/>
              <w:ind w:left="567"/>
              <w:jc w:val="left"/>
              <w:rPr>
                <w:b w:val="0"/>
                <w:bCs w:val="0"/>
                <w:color w:val="FFFFFF" w:themeColor="background1"/>
                <w:sz w:val="18"/>
                <w:szCs w:val="18"/>
              </w:rPr>
            </w:pPr>
            <w:r>
              <w:rPr>
                <w:b w:val="0"/>
                <w:color w:val="FFFFFF" w:themeColor="background1"/>
                <w:sz w:val="18"/>
              </w:rPr>
              <w:t xml:space="preserve">Qëndrueshmëria e sigurt e Fondit për Energji të Ripërtëritshme;   </w:t>
            </w:r>
          </w:p>
          <w:p w14:paraId="582B6D35" w14:textId="77777777" w:rsidR="005C57AD" w:rsidRPr="00156C04" w:rsidRDefault="005C57AD" w:rsidP="00AF7BBF">
            <w:pPr>
              <w:pStyle w:val="ListParagraph"/>
              <w:numPr>
                <w:ilvl w:val="0"/>
                <w:numId w:val="60"/>
              </w:numPr>
              <w:spacing w:before="20" w:after="20"/>
              <w:ind w:left="567"/>
              <w:jc w:val="left"/>
              <w:rPr>
                <w:b w:val="0"/>
                <w:bCs w:val="0"/>
                <w:color w:val="FFFFFF" w:themeColor="background1"/>
                <w:sz w:val="18"/>
                <w:szCs w:val="18"/>
              </w:rPr>
            </w:pPr>
            <w:r>
              <w:rPr>
                <w:b w:val="0"/>
                <w:color w:val="FFFFFF" w:themeColor="background1"/>
                <w:sz w:val="18"/>
              </w:rPr>
              <w:t>Aplikimi i procedurave të thjeshtuara të autorizimit për projektet e vogla të BRE-ve;</w:t>
            </w:r>
          </w:p>
          <w:p w14:paraId="1509667E" w14:textId="77777777" w:rsidR="005C57AD" w:rsidRPr="00156C04" w:rsidRDefault="005C57AD" w:rsidP="00AF7BBF">
            <w:pPr>
              <w:pStyle w:val="ListParagraph"/>
              <w:numPr>
                <w:ilvl w:val="0"/>
                <w:numId w:val="60"/>
              </w:numPr>
              <w:spacing w:before="20" w:after="20"/>
              <w:ind w:left="567"/>
              <w:jc w:val="left"/>
              <w:rPr>
                <w:b w:val="0"/>
                <w:bCs w:val="0"/>
                <w:color w:val="FFFFFF" w:themeColor="background1"/>
                <w:sz w:val="18"/>
                <w:szCs w:val="18"/>
              </w:rPr>
            </w:pPr>
            <w:r>
              <w:rPr>
                <w:b w:val="0"/>
                <w:color w:val="FFFFFF" w:themeColor="background1"/>
                <w:sz w:val="18"/>
              </w:rPr>
              <w:t>Marrja e masave për fillimin e shfrytëzimit të sporteleve të shërbimeve për investitorët e BRE-ve;</w:t>
            </w:r>
          </w:p>
          <w:p w14:paraId="24ADBA41" w14:textId="77777777" w:rsidR="005C57AD" w:rsidRPr="00156C04" w:rsidRDefault="005C57AD" w:rsidP="00AF7BBF">
            <w:pPr>
              <w:pStyle w:val="ListParagraph"/>
              <w:numPr>
                <w:ilvl w:val="0"/>
                <w:numId w:val="60"/>
              </w:numPr>
              <w:spacing w:before="20" w:after="20"/>
              <w:ind w:left="567"/>
              <w:jc w:val="left"/>
              <w:rPr>
                <w:b w:val="0"/>
                <w:bCs w:val="0"/>
                <w:color w:val="FFFFFF" w:themeColor="background1"/>
                <w:sz w:val="18"/>
                <w:szCs w:val="18"/>
              </w:rPr>
            </w:pPr>
            <w:r>
              <w:rPr>
                <w:b w:val="0"/>
                <w:color w:val="FFFFFF" w:themeColor="background1"/>
                <w:sz w:val="18"/>
              </w:rPr>
              <w:t>Rishikimi dhe përshtatja e kornizës rregullator të vetë-konsumit, bazuar në pakon e katërt të energjisë të BE-së (Energji e pastër për të gjithë evropianët);</w:t>
            </w:r>
          </w:p>
          <w:p w14:paraId="37CF1838" w14:textId="77777777" w:rsidR="005C57AD" w:rsidRPr="00156C04" w:rsidRDefault="005C57AD" w:rsidP="00AF7BBF">
            <w:pPr>
              <w:pStyle w:val="ListParagraph"/>
              <w:numPr>
                <w:ilvl w:val="0"/>
                <w:numId w:val="60"/>
              </w:numPr>
              <w:spacing w:before="20" w:after="20"/>
              <w:ind w:left="567"/>
              <w:jc w:val="left"/>
              <w:rPr>
                <w:b w:val="0"/>
                <w:bCs w:val="0"/>
                <w:color w:val="FFFFFF" w:themeColor="background1"/>
                <w:sz w:val="18"/>
                <w:szCs w:val="18"/>
              </w:rPr>
            </w:pPr>
            <w:r>
              <w:rPr>
                <w:b w:val="0"/>
                <w:color w:val="FFFFFF" w:themeColor="background1"/>
                <w:sz w:val="18"/>
              </w:rPr>
              <w:t>Krijimi i mjedisit, kushteve dhe propozimi i stimujve për pjesëmarrjen e BRE-ve në tregun e energjisë;</w:t>
            </w:r>
          </w:p>
          <w:p w14:paraId="1EE0F68F" w14:textId="3AA5DBC0" w:rsidR="005C57AD" w:rsidRPr="00156C04" w:rsidRDefault="005C57AD" w:rsidP="00AF7BBF">
            <w:pPr>
              <w:pStyle w:val="ListParagraph"/>
              <w:numPr>
                <w:ilvl w:val="0"/>
                <w:numId w:val="60"/>
              </w:numPr>
              <w:spacing w:before="20" w:after="20"/>
              <w:ind w:left="567"/>
              <w:jc w:val="left"/>
              <w:rPr>
                <w:b w:val="0"/>
                <w:bCs w:val="0"/>
                <w:color w:val="FFFFFF" w:themeColor="background1"/>
                <w:sz w:val="18"/>
                <w:szCs w:val="18"/>
              </w:rPr>
            </w:pPr>
            <w:r>
              <w:rPr>
                <w:b w:val="0"/>
                <w:color w:val="FFFFFF" w:themeColor="background1"/>
                <w:sz w:val="18"/>
              </w:rPr>
              <w:t>Rishikimi dhe përshtatja e skemave të reja për zhvillimin e BRE-ve, siç janë: Ankandi, premiumi nxitës, detyrimet për kuota / certifikata e gjelbër, mekanizmat e financimi dhe stimuj tatimorë;</w:t>
            </w:r>
          </w:p>
          <w:p w14:paraId="375F9A1A" w14:textId="77777777" w:rsidR="005C57AD" w:rsidRPr="00156C04" w:rsidRDefault="005C57AD" w:rsidP="00AF7BBF">
            <w:pPr>
              <w:pStyle w:val="ListParagraph"/>
              <w:numPr>
                <w:ilvl w:val="0"/>
                <w:numId w:val="60"/>
              </w:numPr>
              <w:spacing w:before="20" w:after="20"/>
              <w:ind w:left="567"/>
              <w:jc w:val="left"/>
              <w:rPr>
                <w:b w:val="0"/>
                <w:bCs w:val="0"/>
                <w:color w:val="FFFFFF" w:themeColor="background1"/>
                <w:sz w:val="18"/>
                <w:szCs w:val="18"/>
              </w:rPr>
            </w:pPr>
            <w:r>
              <w:rPr>
                <w:b w:val="0"/>
                <w:color w:val="FFFFFF" w:themeColor="background1"/>
                <w:sz w:val="18"/>
              </w:rPr>
              <w:lastRenderedPageBreak/>
              <w:t>Fillimi i zbatimit të lëshimit të certifikatave të gjelbra për BRE;</w:t>
            </w:r>
          </w:p>
          <w:p w14:paraId="69A79C3A" w14:textId="77777777" w:rsidR="005C57AD" w:rsidRPr="00156C04" w:rsidRDefault="005C57AD" w:rsidP="00AF7BBF">
            <w:pPr>
              <w:pStyle w:val="ListParagraph"/>
              <w:numPr>
                <w:ilvl w:val="0"/>
                <w:numId w:val="60"/>
              </w:numPr>
              <w:spacing w:before="20" w:after="20"/>
              <w:ind w:left="567"/>
              <w:jc w:val="left"/>
              <w:rPr>
                <w:b w:val="0"/>
                <w:bCs w:val="0"/>
                <w:color w:val="FFFFFF" w:themeColor="background1"/>
                <w:sz w:val="18"/>
                <w:szCs w:val="18"/>
              </w:rPr>
            </w:pPr>
            <w:r>
              <w:rPr>
                <w:b w:val="0"/>
                <w:color w:val="FFFFFF" w:themeColor="background1"/>
                <w:sz w:val="18"/>
              </w:rPr>
              <w:t>Krijimi i një mjedisi për pjesëmarrje më të madhe të blerësve në treg;</w:t>
            </w:r>
          </w:p>
          <w:p w14:paraId="286DC6E1" w14:textId="77777777" w:rsidR="00D21E5B" w:rsidRPr="00156C04" w:rsidRDefault="005C57AD" w:rsidP="00D21E5B">
            <w:pPr>
              <w:pStyle w:val="ListParagraph"/>
              <w:numPr>
                <w:ilvl w:val="0"/>
                <w:numId w:val="60"/>
              </w:numPr>
              <w:spacing w:before="20" w:after="20"/>
              <w:ind w:left="567"/>
              <w:jc w:val="left"/>
              <w:rPr>
                <w:b w:val="0"/>
                <w:bCs w:val="0"/>
                <w:color w:val="FFFFFF" w:themeColor="background1"/>
                <w:sz w:val="18"/>
                <w:szCs w:val="18"/>
              </w:rPr>
            </w:pPr>
            <w:r>
              <w:rPr>
                <w:b w:val="0"/>
                <w:color w:val="FFFFFF" w:themeColor="background1"/>
                <w:sz w:val="18"/>
              </w:rPr>
              <w:t>Zhvillimi i një kornize ligjor dhe rregullatore për përgjigje ndaj kërkesës dhe rregullores së ruajtjes.</w:t>
            </w:r>
          </w:p>
          <w:p w14:paraId="5E215388" w14:textId="530A4446" w:rsidR="005C57AD" w:rsidRPr="00FF705C" w:rsidRDefault="00907C75" w:rsidP="4727E96B">
            <w:pPr>
              <w:pStyle w:val="ListParagraph"/>
              <w:numPr>
                <w:ilvl w:val="0"/>
                <w:numId w:val="60"/>
              </w:numPr>
              <w:spacing w:before="20" w:after="20"/>
              <w:ind w:left="567"/>
              <w:jc w:val="left"/>
              <w:rPr>
                <w:b w:val="0"/>
                <w:bCs w:val="0"/>
                <w:color w:val="FFFFFF" w:themeColor="background1"/>
                <w:sz w:val="18"/>
                <w:szCs w:val="18"/>
              </w:rPr>
            </w:pPr>
            <w:r>
              <w:rPr>
                <w:b w:val="0"/>
                <w:color w:val="FFFFFF" w:themeColor="background1"/>
                <w:sz w:val="18"/>
              </w:rPr>
              <w:t>Promovimi i partneriteteve të mundshme për rritjen e pjesëmarrjes së grave në BRE.</w:t>
            </w:r>
          </w:p>
        </w:tc>
      </w:tr>
      <w:tr w:rsidR="005C57AD" w:rsidRPr="00156C04" w14:paraId="642B40E0" w14:textId="77777777" w:rsidTr="7A23FCD7">
        <w:tc>
          <w:tcPr>
            <w:cnfStyle w:val="001000000000" w:firstRow="0" w:lastRow="0" w:firstColumn="1" w:lastColumn="0" w:oddVBand="0" w:evenVBand="0" w:oddHBand="0" w:evenHBand="0" w:firstRowFirstColumn="0" w:firstRowLastColumn="0" w:lastRowFirstColumn="0" w:lastRowLastColumn="0"/>
            <w:tcW w:w="2425" w:type="dxa"/>
            <w:vAlign w:val="center"/>
          </w:tcPr>
          <w:p w14:paraId="555BB10C" w14:textId="77777777" w:rsidR="005C57AD" w:rsidRPr="00156C04" w:rsidRDefault="005C57AD">
            <w:pPr>
              <w:spacing w:before="20" w:after="20"/>
              <w:jc w:val="left"/>
              <w:rPr>
                <w:color w:val="FFFFFF" w:themeColor="background1"/>
                <w:sz w:val="18"/>
                <w:szCs w:val="18"/>
              </w:rPr>
            </w:pPr>
            <w:r>
              <w:rPr>
                <w:color w:val="FFFFFF" w:themeColor="background1"/>
                <w:sz w:val="18"/>
              </w:rPr>
              <w:lastRenderedPageBreak/>
              <w:t>Sektori/lloji</w:t>
            </w:r>
          </w:p>
        </w:tc>
        <w:tc>
          <w:tcPr>
            <w:tcW w:w="7139" w:type="dxa"/>
            <w:vAlign w:val="center"/>
          </w:tcPr>
          <w:p w14:paraId="39A4039C" w14:textId="77777777" w:rsidR="005C57AD" w:rsidRPr="00156C04"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Energjetik/rregullator</w:t>
            </w:r>
          </w:p>
        </w:tc>
      </w:tr>
      <w:tr w:rsidR="005C57AD" w:rsidRPr="00156C04" w14:paraId="197F9E26" w14:textId="77777777" w:rsidTr="7A23F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A64BCF8" w14:textId="77777777" w:rsidR="005C57AD" w:rsidRPr="00156C04" w:rsidRDefault="005C57AD">
            <w:pPr>
              <w:spacing w:before="20" w:after="20"/>
              <w:jc w:val="left"/>
              <w:rPr>
                <w:color w:val="FFFFFF" w:themeColor="background1"/>
                <w:sz w:val="18"/>
                <w:szCs w:val="18"/>
              </w:rPr>
            </w:pPr>
            <w:r>
              <w:rPr>
                <w:color w:val="FFFFFF" w:themeColor="background1"/>
                <w:sz w:val="18"/>
              </w:rPr>
              <w:t>Statusi i implementimit</w:t>
            </w:r>
          </w:p>
        </w:tc>
        <w:tc>
          <w:tcPr>
            <w:tcW w:w="7139" w:type="dxa"/>
            <w:vAlign w:val="center"/>
          </w:tcPr>
          <w:p w14:paraId="35B27001" w14:textId="77777777" w:rsidR="005C57AD" w:rsidRPr="00156C04"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Në zbatim</w:t>
            </w:r>
          </w:p>
        </w:tc>
      </w:tr>
      <w:tr w:rsidR="005C57AD" w:rsidRPr="00156C04" w14:paraId="2758CBC0" w14:textId="77777777" w:rsidTr="7A23FCD7">
        <w:tc>
          <w:tcPr>
            <w:cnfStyle w:val="001000000000" w:firstRow="0" w:lastRow="0" w:firstColumn="1" w:lastColumn="0" w:oddVBand="0" w:evenVBand="0" w:oddHBand="0" w:evenHBand="0" w:firstRowFirstColumn="0" w:firstRowLastColumn="0" w:lastRowFirstColumn="0" w:lastRowLastColumn="0"/>
            <w:tcW w:w="2425" w:type="dxa"/>
            <w:vAlign w:val="center"/>
          </w:tcPr>
          <w:p w14:paraId="4FE2CBBB" w14:textId="77777777" w:rsidR="005C57AD" w:rsidRPr="00156C04" w:rsidRDefault="005C57AD">
            <w:pPr>
              <w:spacing w:before="20" w:after="20"/>
              <w:jc w:val="left"/>
              <w:rPr>
                <w:color w:val="FFFFFF" w:themeColor="background1"/>
                <w:sz w:val="18"/>
                <w:szCs w:val="18"/>
              </w:rPr>
            </w:pPr>
            <w:r>
              <w:rPr>
                <w:color w:val="FFFFFF" w:themeColor="background1"/>
                <w:sz w:val="18"/>
              </w:rPr>
              <w:t>Efektet kuantitative</w:t>
            </w:r>
          </w:p>
        </w:tc>
        <w:tc>
          <w:tcPr>
            <w:tcW w:w="7139" w:type="dxa"/>
            <w:vAlign w:val="center"/>
          </w:tcPr>
          <w:p w14:paraId="4AAE9A0D" w14:textId="77777777" w:rsidR="005C57AD" w:rsidRPr="00156C04"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n/a</w:t>
            </w:r>
          </w:p>
        </w:tc>
      </w:tr>
      <w:tr w:rsidR="005C57AD" w:rsidRPr="00156C04" w14:paraId="04F0981A" w14:textId="77777777" w:rsidTr="7A23F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148D553A" w14:textId="77777777" w:rsidR="005C57AD" w:rsidRPr="00156C04" w:rsidRDefault="005C57AD">
            <w:pPr>
              <w:spacing w:before="20" w:after="20"/>
              <w:jc w:val="left"/>
              <w:rPr>
                <w:color w:val="FFFFFF" w:themeColor="background1"/>
                <w:sz w:val="18"/>
                <w:szCs w:val="18"/>
              </w:rPr>
            </w:pPr>
            <w:r>
              <w:rPr>
                <w:color w:val="FFFFFF" w:themeColor="background1"/>
                <w:sz w:val="18"/>
              </w:rPr>
              <w:t>Investimet</w:t>
            </w:r>
          </w:p>
        </w:tc>
        <w:tc>
          <w:tcPr>
            <w:tcW w:w="7139" w:type="dxa"/>
            <w:vAlign w:val="center"/>
          </w:tcPr>
          <w:p w14:paraId="0D0B48B2" w14:textId="1453A9AB" w:rsidR="005C57AD" w:rsidRPr="00156C04" w:rsidRDefault="0010043B">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Gjithsej 0.9 mil. euro (0.3 në vit, 2025-2027), financuar përmes fondeve të BE-së dhe USAID-it (Burimi: Konsultimet me donatorët dhe vlerësimet e ekspertëve)</w:t>
            </w:r>
          </w:p>
        </w:tc>
      </w:tr>
      <w:tr w:rsidR="005C57AD" w:rsidRPr="00156C04" w14:paraId="7D66BF7D" w14:textId="77777777" w:rsidTr="7A23FCD7">
        <w:tc>
          <w:tcPr>
            <w:cnfStyle w:val="001000000000" w:firstRow="0" w:lastRow="0" w:firstColumn="1" w:lastColumn="0" w:oddVBand="0" w:evenVBand="0" w:oddHBand="0" w:evenHBand="0" w:firstRowFirstColumn="0" w:firstRowLastColumn="0" w:lastRowFirstColumn="0" w:lastRowLastColumn="0"/>
            <w:tcW w:w="2425" w:type="dxa"/>
            <w:vAlign w:val="center"/>
          </w:tcPr>
          <w:p w14:paraId="1D07E335" w14:textId="77777777" w:rsidR="005C57AD" w:rsidRPr="00156C04" w:rsidRDefault="005C57AD">
            <w:pPr>
              <w:spacing w:before="20" w:after="20"/>
              <w:jc w:val="left"/>
              <w:rPr>
                <w:color w:val="FFFFFF" w:themeColor="background1"/>
                <w:sz w:val="18"/>
                <w:szCs w:val="18"/>
              </w:rPr>
            </w:pPr>
            <w:r>
              <w:rPr>
                <w:color w:val="FFFFFF" w:themeColor="background1"/>
                <w:sz w:val="18"/>
              </w:rPr>
              <w:t>Institucioni përgjegjës</w:t>
            </w:r>
          </w:p>
        </w:tc>
        <w:tc>
          <w:tcPr>
            <w:tcW w:w="7139" w:type="dxa"/>
            <w:vAlign w:val="center"/>
          </w:tcPr>
          <w:p w14:paraId="52A41FDA" w14:textId="079E5467" w:rsidR="005C57AD" w:rsidRPr="00156C04" w:rsidRDefault="008B2895">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ME, MMPHI, KOSTT, KEDS </w:t>
            </w:r>
          </w:p>
        </w:tc>
      </w:tr>
      <w:tr w:rsidR="005C57AD" w:rsidRPr="00156C04" w14:paraId="68E574A9" w14:textId="77777777" w:rsidTr="7A23F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9CD21AF" w14:textId="77777777" w:rsidR="005C57AD" w:rsidRPr="00156C04" w:rsidRDefault="005C57AD">
            <w:pPr>
              <w:spacing w:before="20" w:after="20"/>
              <w:jc w:val="left"/>
              <w:rPr>
                <w:color w:val="FFFFFF" w:themeColor="background1"/>
                <w:sz w:val="18"/>
                <w:szCs w:val="18"/>
              </w:rPr>
            </w:pPr>
            <w:r>
              <w:rPr>
                <w:color w:val="FFFFFF" w:themeColor="background1"/>
                <w:sz w:val="18"/>
              </w:rPr>
              <w:t>Treguesit e progresit</w:t>
            </w:r>
          </w:p>
        </w:tc>
        <w:tc>
          <w:tcPr>
            <w:tcW w:w="7139" w:type="dxa"/>
            <w:vAlign w:val="center"/>
          </w:tcPr>
          <w:p w14:paraId="7D921967" w14:textId="77777777" w:rsidR="005C57AD" w:rsidRPr="00156C04"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Kapaciteti i instaluar i BRE-ve (MW)</w:t>
            </w:r>
          </w:p>
        </w:tc>
      </w:tr>
      <w:tr w:rsidR="005C57AD" w:rsidRPr="00976D33" w14:paraId="1360234D" w14:textId="77777777" w:rsidTr="7A23FCD7">
        <w:tc>
          <w:tcPr>
            <w:cnfStyle w:val="001000000000" w:firstRow="0" w:lastRow="0" w:firstColumn="1" w:lastColumn="0" w:oddVBand="0" w:evenVBand="0" w:oddHBand="0" w:evenHBand="0" w:firstRowFirstColumn="0" w:firstRowLastColumn="0" w:lastRowFirstColumn="0" w:lastRowLastColumn="0"/>
            <w:tcW w:w="0" w:type="dxa"/>
          </w:tcPr>
          <w:p w14:paraId="45B95521" w14:textId="4C94F9D4" w:rsidR="005C57AD" w:rsidRPr="00156C04" w:rsidRDefault="005C57AD">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0" w:type="dxa"/>
          </w:tcPr>
          <w:p w14:paraId="7203B5BE" w14:textId="77777777" w:rsidR="005C57AD" w:rsidRPr="00976D33"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Efikasiteti i energjisë, siguria energjetike, tregu i brendshëm energjetik, hulumtimi, inovacioni dhe konkurrueshmëria </w:t>
            </w:r>
          </w:p>
        </w:tc>
      </w:tr>
    </w:tbl>
    <w:p w14:paraId="6A36FC63" w14:textId="77777777" w:rsidR="005C57AD" w:rsidRPr="00976D33" w:rsidRDefault="005C57AD" w:rsidP="005C57AD">
      <w:pPr>
        <w:pStyle w:val="Heading4"/>
        <w:spacing w:before="120"/>
        <w:ind w:left="714" w:hanging="357"/>
      </w:pPr>
      <w:r>
        <w:t xml:space="preserve">Përmbledhja e politikave dhe masave nën strukturën lehtësuese që shtetet anëtare duhet të vendosin në zbatim në përputhje me nenet 21(6) dhe 22(5) të Direktivës (BE) 2018/2001 për të promovuar dhe lehtësuar zhvillimin e vetë-përdorimit dhe komuniteteve të energjisë së ripërtëritshme. </w:t>
      </w:r>
    </w:p>
    <w:tbl>
      <w:tblPr>
        <w:tblStyle w:val="GridTable5Dark-Accent1"/>
        <w:tblW w:w="0" w:type="auto"/>
        <w:tblLook w:val="04A0" w:firstRow="1" w:lastRow="0" w:firstColumn="1" w:lastColumn="0" w:noHBand="0" w:noVBand="1"/>
      </w:tblPr>
      <w:tblGrid>
        <w:gridCol w:w="2425"/>
        <w:gridCol w:w="7139"/>
      </w:tblGrid>
      <w:tr w:rsidR="005C57AD" w:rsidRPr="00156C04" w14:paraId="149C0F5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17683A94" w14:textId="15722742" w:rsidR="005C57AD" w:rsidRPr="00156C04" w:rsidRDefault="0061575E">
            <w:pPr>
              <w:spacing w:before="20" w:after="20" w:line="276" w:lineRule="auto"/>
              <w:rPr>
                <w:color w:val="FFFFFF" w:themeColor="background1"/>
                <w:sz w:val="18"/>
                <w:szCs w:val="18"/>
              </w:rPr>
            </w:pPr>
            <w:bookmarkStart w:id="196" w:name="_Toc71247181"/>
            <w:bookmarkStart w:id="197" w:name="_Toc138210158"/>
            <w:bookmarkStart w:id="198" w:name="_Toc138998459"/>
            <w:r>
              <w:rPr>
                <w:color w:val="FFFFFF" w:themeColor="background1"/>
                <w:sz w:val="18"/>
              </w:rPr>
              <w:t xml:space="preserve"> PM 18: </w:t>
            </w:r>
            <w:bookmarkStart w:id="199" w:name="_Toc32239074"/>
            <w:r>
              <w:rPr>
                <w:color w:val="FFFFFF" w:themeColor="background1"/>
                <w:sz w:val="18"/>
              </w:rPr>
              <w:t>Skema e vetë-konsumimit</w:t>
            </w:r>
            <w:bookmarkEnd w:id="196"/>
            <w:bookmarkEnd w:id="197"/>
            <w:bookmarkEnd w:id="198"/>
            <w:bookmarkEnd w:id="199"/>
          </w:p>
        </w:tc>
      </w:tr>
      <w:tr w:rsidR="005C57AD" w:rsidRPr="00156C04" w14:paraId="1F10BEF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420552B3" w14:textId="77777777" w:rsidR="005C57AD" w:rsidRPr="00156C04" w:rsidRDefault="005C57AD">
            <w:pPr>
              <w:spacing w:before="20" w:after="20"/>
              <w:jc w:val="left"/>
              <w:rPr>
                <w:b w:val="0"/>
                <w:bCs w:val="0"/>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Sekretariati i Komunitetit të Energjisë ka publikuar udhëzimet për një zbatim më të qëndrueshëm të skemave të mbështetjes së BER-ve, duke rekomanduar praktikat më të mira në fushat siç janë: Kornizat ligjore dhe rregullatore; kriteret e teknologjisë dhe kapacitetit; skemat e konsumit komercial të vetë-gjenerimit; trajtimi i tepricës së energjisë; kostot e rrjetit; TVSH dhe taksat dhe tarifat tjera; zgjidhja e disbalancave; lidhja në rrjet etj.</w:t>
            </w:r>
          </w:p>
          <w:p w14:paraId="61426B8D" w14:textId="5B452ABF" w:rsidR="005C57AD" w:rsidRPr="00156C04" w:rsidRDefault="005C57AD">
            <w:pPr>
              <w:spacing w:before="20" w:after="20"/>
              <w:jc w:val="left"/>
              <w:rPr>
                <w:color w:val="FFFFFF" w:themeColor="background1"/>
                <w:sz w:val="18"/>
                <w:szCs w:val="18"/>
              </w:rPr>
            </w:pPr>
            <w:r>
              <w:rPr>
                <w:b w:val="0"/>
                <w:color w:val="FFFFFF" w:themeColor="background1"/>
                <w:sz w:val="18"/>
              </w:rPr>
              <w:t>ZRRE-ja ka miratuar Rregullën për Shfrytëzuesit e Burimeve të Ripërtëritshme, e cila mbështet konsumatorët të cilët dëshirojnë të prodhojnë energji elektrike në objektet e tyre bazuar në teknologjinë e ripërtëritshme për përdorim për nevojat e tyre. Bazuar në rregullin në fuqi, të gjithë konsumatorët kanë të drejtë të ndërtojnë kapacitet prodhues në bazë të kapacitetit të lejuar nga OSSH, por ky kapacitet nuk mund të jetë më i madh se:</w:t>
            </w:r>
          </w:p>
          <w:p w14:paraId="3EDF51B0" w14:textId="262BC8E5" w:rsidR="005C57AD" w:rsidRPr="00156C04" w:rsidRDefault="005C57AD" w:rsidP="00AF7BBF">
            <w:pPr>
              <w:pStyle w:val="ListParagraph"/>
              <w:numPr>
                <w:ilvl w:val="0"/>
                <w:numId w:val="60"/>
              </w:numPr>
              <w:spacing w:before="20" w:after="20"/>
              <w:ind w:left="567"/>
              <w:jc w:val="left"/>
              <w:rPr>
                <w:b w:val="0"/>
                <w:bCs w:val="0"/>
                <w:color w:val="FFFFFF" w:themeColor="background1"/>
                <w:sz w:val="18"/>
                <w:szCs w:val="18"/>
              </w:rPr>
            </w:pPr>
            <w:r>
              <w:rPr>
                <w:b w:val="0"/>
                <w:color w:val="FFFFFF" w:themeColor="background1"/>
                <w:sz w:val="18"/>
              </w:rPr>
              <w:t>7 kW, për konsumatorët familjarë të lidhur në tensionin e ulët të rrjetit të distribuimit (0.4kV).15 kW, për konsumatorët jofamiljarë të lidhur në tensionin e ulët të rrjetit të distribuimit (0.4kV), të cilët nuk faturohen për energjinë aktive e shfrytëzuar.</w:t>
            </w:r>
          </w:p>
          <w:p w14:paraId="184DAF52" w14:textId="77777777" w:rsidR="005C57AD" w:rsidRPr="00156C04" w:rsidRDefault="005C57AD" w:rsidP="00AF7BBF">
            <w:pPr>
              <w:pStyle w:val="ListParagraph"/>
              <w:numPr>
                <w:ilvl w:val="0"/>
                <w:numId w:val="60"/>
              </w:numPr>
              <w:spacing w:before="20" w:after="20"/>
              <w:ind w:left="567"/>
              <w:jc w:val="left"/>
              <w:rPr>
                <w:b w:val="0"/>
                <w:bCs w:val="0"/>
                <w:color w:val="FFFFFF" w:themeColor="background1"/>
                <w:sz w:val="18"/>
                <w:szCs w:val="18"/>
              </w:rPr>
            </w:pPr>
            <w:r>
              <w:rPr>
                <w:b w:val="0"/>
                <w:color w:val="FFFFFF" w:themeColor="background1"/>
                <w:sz w:val="18"/>
              </w:rPr>
              <w:t>100 kW, për konsumatorët jofamiljarë të lidhur në tensionin e ulët të rrjetit të distribuimit (0.4kV), të cilët maten dhe faturohen për energjinë aktive të shfrytëzuar.</w:t>
            </w:r>
          </w:p>
          <w:p w14:paraId="774BA338" w14:textId="7A2138FA" w:rsidR="005C57AD" w:rsidRPr="00156C04" w:rsidRDefault="005C57AD" w:rsidP="00AF7BBF">
            <w:pPr>
              <w:pStyle w:val="ListParagraph"/>
              <w:numPr>
                <w:ilvl w:val="0"/>
                <w:numId w:val="60"/>
              </w:numPr>
              <w:spacing w:before="20" w:after="20"/>
              <w:ind w:left="567"/>
              <w:jc w:val="left"/>
              <w:rPr>
                <w:b w:val="0"/>
                <w:bCs w:val="0"/>
                <w:color w:val="FFFFFF" w:themeColor="background1"/>
                <w:sz w:val="18"/>
                <w:szCs w:val="18"/>
              </w:rPr>
            </w:pPr>
            <w:r>
              <w:rPr>
                <w:b w:val="0"/>
                <w:color w:val="FFFFFF" w:themeColor="background1"/>
                <w:sz w:val="18"/>
              </w:rPr>
              <w:t>200 kW për konsumatorët jofamiljarë të lidhur në tensionin e mesëm të rrjetit të distribuimit (6kV, 10kV, 20kV dhe 35kV) dhe rrjetit të transmisionit.</w:t>
            </w:r>
          </w:p>
          <w:p w14:paraId="2BC191A8" w14:textId="77777777" w:rsidR="005C57AD" w:rsidRPr="00156C04" w:rsidRDefault="005C57AD">
            <w:pPr>
              <w:spacing w:before="20" w:after="20"/>
              <w:jc w:val="left"/>
              <w:rPr>
                <w:color w:val="FFFFFF" w:themeColor="background1"/>
                <w:sz w:val="18"/>
                <w:szCs w:val="18"/>
              </w:rPr>
            </w:pPr>
            <w:r>
              <w:rPr>
                <w:b w:val="0"/>
                <w:color w:val="FFFFFF" w:themeColor="background1"/>
                <w:sz w:val="18"/>
              </w:rPr>
              <w:t>Skema e mbështetjes për vetë-konsum parashikon që:</w:t>
            </w:r>
          </w:p>
          <w:p w14:paraId="3BFDACAD" w14:textId="77777777" w:rsidR="005C57AD" w:rsidRPr="00156C04" w:rsidRDefault="005C57AD" w:rsidP="00AF7BBF">
            <w:pPr>
              <w:pStyle w:val="ListParagraph"/>
              <w:numPr>
                <w:ilvl w:val="0"/>
                <w:numId w:val="60"/>
              </w:numPr>
              <w:spacing w:before="20" w:after="20"/>
              <w:ind w:left="567"/>
              <w:jc w:val="left"/>
              <w:rPr>
                <w:b w:val="0"/>
                <w:bCs w:val="0"/>
                <w:color w:val="FFFFFF" w:themeColor="background1"/>
                <w:sz w:val="18"/>
                <w:szCs w:val="18"/>
              </w:rPr>
            </w:pPr>
            <w:r>
              <w:rPr>
                <w:b w:val="0"/>
                <w:color w:val="FFFFFF" w:themeColor="background1"/>
                <w:sz w:val="18"/>
              </w:rPr>
              <w:t>Furnizuesit marrin të gjithë energjinë elektrike të prodhuar dhe dërgojnë të gjithë energjinë elektrike të konsumuar nga konsumatorët, brenda një periudhe faturimi.</w:t>
            </w:r>
          </w:p>
          <w:p w14:paraId="0DD6501A" w14:textId="77777777" w:rsidR="005C57AD" w:rsidRPr="00156C04" w:rsidRDefault="005C57AD" w:rsidP="00AF7BBF">
            <w:pPr>
              <w:pStyle w:val="ListParagraph"/>
              <w:numPr>
                <w:ilvl w:val="0"/>
                <w:numId w:val="60"/>
              </w:numPr>
              <w:spacing w:before="20" w:after="20"/>
              <w:ind w:left="567"/>
              <w:jc w:val="left"/>
              <w:rPr>
                <w:b w:val="0"/>
                <w:bCs w:val="0"/>
                <w:color w:val="FFFFFF" w:themeColor="background1"/>
                <w:sz w:val="18"/>
                <w:szCs w:val="18"/>
              </w:rPr>
            </w:pPr>
            <w:r>
              <w:rPr>
                <w:b w:val="0"/>
                <w:color w:val="FFFFFF" w:themeColor="background1"/>
                <w:sz w:val="18"/>
              </w:rPr>
              <w:t>Furnizuesit llogaritin bilancin e prodhuesve vetë-konsumues të periudhës së faturimit, sipas të cilit përgatitet fatura mujore.</w:t>
            </w:r>
          </w:p>
          <w:p w14:paraId="71CBB475" w14:textId="77777777" w:rsidR="005C57AD" w:rsidRPr="00156C04" w:rsidRDefault="005C57AD" w:rsidP="00AF7BBF">
            <w:pPr>
              <w:pStyle w:val="ListParagraph"/>
              <w:numPr>
                <w:ilvl w:val="0"/>
                <w:numId w:val="60"/>
              </w:numPr>
              <w:spacing w:before="20" w:after="20"/>
              <w:ind w:left="567"/>
              <w:jc w:val="left"/>
              <w:rPr>
                <w:b w:val="0"/>
                <w:bCs w:val="0"/>
                <w:color w:val="FFFFFF" w:themeColor="background1"/>
                <w:sz w:val="18"/>
                <w:szCs w:val="18"/>
              </w:rPr>
            </w:pPr>
            <w:r>
              <w:rPr>
                <w:b w:val="0"/>
                <w:color w:val="FFFFFF" w:themeColor="background1"/>
                <w:sz w:val="18"/>
              </w:rPr>
              <w:t>Nëse bilanci i prodhuesve vetë-konsumues është pozitiv, atëherë prodhuesi vetë-konsumues kreditohet me energji (kWh) në periudhën e ardhshme të faturimit.</w:t>
            </w:r>
          </w:p>
          <w:p w14:paraId="2ED6E37E" w14:textId="77777777" w:rsidR="005C57AD" w:rsidRPr="00156C04" w:rsidRDefault="005C57AD" w:rsidP="00AF7BBF">
            <w:pPr>
              <w:pStyle w:val="ListParagraph"/>
              <w:numPr>
                <w:ilvl w:val="0"/>
                <w:numId w:val="60"/>
              </w:numPr>
              <w:spacing w:before="20" w:after="20"/>
              <w:ind w:left="567"/>
              <w:jc w:val="left"/>
              <w:rPr>
                <w:b w:val="0"/>
                <w:bCs w:val="0"/>
                <w:color w:val="FFFFFF" w:themeColor="background1"/>
                <w:sz w:val="18"/>
                <w:szCs w:val="18"/>
              </w:rPr>
            </w:pPr>
            <w:r>
              <w:rPr>
                <w:b w:val="0"/>
                <w:color w:val="FFFFFF" w:themeColor="background1"/>
                <w:sz w:val="18"/>
              </w:rPr>
              <w:t>Çdo bilanc pozitiv i papaguar në periudhën e fundit të faturimit të vitit kalendarik rifillon nga zero pa kompensim nga furnizuesi.</w:t>
            </w:r>
          </w:p>
          <w:p w14:paraId="04E21D56" w14:textId="77777777" w:rsidR="005C57AD" w:rsidRPr="00156C04" w:rsidRDefault="005C57AD" w:rsidP="00AF7BBF">
            <w:pPr>
              <w:pStyle w:val="ListParagraph"/>
              <w:numPr>
                <w:ilvl w:val="0"/>
                <w:numId w:val="60"/>
              </w:numPr>
              <w:spacing w:before="20" w:after="20"/>
              <w:ind w:left="567"/>
              <w:jc w:val="left"/>
              <w:rPr>
                <w:b w:val="0"/>
                <w:bCs w:val="0"/>
                <w:color w:val="FFFFFF" w:themeColor="background1"/>
                <w:sz w:val="18"/>
                <w:szCs w:val="18"/>
              </w:rPr>
            </w:pPr>
            <w:r>
              <w:rPr>
                <w:b w:val="0"/>
                <w:color w:val="FFFFFF" w:themeColor="background1"/>
                <w:sz w:val="18"/>
              </w:rPr>
              <w:t>Nëse bilanci i blerësit është negativ, atëherë furnizuesi e faturon prodhuesin vetë-konsumues për vlerën e bilancit të vetë-gjenerimit:</w:t>
            </w:r>
          </w:p>
          <w:p w14:paraId="718C276F" w14:textId="77777777" w:rsidR="005C57AD" w:rsidRPr="00156C04" w:rsidRDefault="005C57AD">
            <w:pPr>
              <w:spacing w:before="20" w:after="20"/>
              <w:jc w:val="left"/>
              <w:rPr>
                <w:color w:val="FFFFFF" w:themeColor="background1"/>
                <w:sz w:val="18"/>
                <w:szCs w:val="18"/>
              </w:rPr>
            </w:pPr>
            <w:r>
              <w:rPr>
                <w:b w:val="0"/>
                <w:color w:val="FFFFFF" w:themeColor="background1"/>
                <w:sz w:val="18"/>
              </w:rPr>
              <w:t>Në vitet 2019, 2020 dhe 2021 u ndërtuan 0.51, 0.98 dhe 1.9 MW energji solare.</w:t>
            </w:r>
          </w:p>
          <w:p w14:paraId="10E0E729" w14:textId="0A2492AC" w:rsidR="005C57AD" w:rsidRPr="00156C04" w:rsidRDefault="005C57AD">
            <w:pPr>
              <w:spacing w:before="20" w:after="20"/>
              <w:jc w:val="left"/>
              <w:rPr>
                <w:b w:val="0"/>
                <w:color w:val="FFFFFF" w:themeColor="background1"/>
                <w:sz w:val="18"/>
                <w:szCs w:val="18"/>
              </w:rPr>
            </w:pPr>
            <w:r>
              <w:rPr>
                <w:b w:val="0"/>
                <w:color w:val="FFFFFF" w:themeColor="background1"/>
                <w:sz w:val="18"/>
              </w:rPr>
              <w:t xml:space="preserve">Në shtator të vitit 2023, MMPHI miratoi Udhëzimin Administrativ Nr.15/2023 (UA) për ndryshimin dhe plotësimin e Udhëzimit Administrativ MMPH nr. 08/2013 për Ndërtimet për të cilat nuk kërkohet leje ndërtimore. Nëpërmjet këtij UA nuk kërkohen leje ndërtimore për instalimin e paneleve solare fotovoltaike në çati, për prodhimin e energjisë elektrike për vetë-konsum, të cilët janë prodhues familjarë, vetë-konsumues me kapacitet të instaluar deri në 7 kW, siç përcaktohet nga legjislacioni për energjinë; </w:t>
            </w:r>
          </w:p>
        </w:tc>
      </w:tr>
      <w:tr w:rsidR="005C57AD" w:rsidRPr="00156C04" w14:paraId="42D9C87E"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607A4CD0" w14:textId="77777777" w:rsidR="005C57AD" w:rsidRPr="00156C04" w:rsidRDefault="005C57AD">
            <w:pPr>
              <w:spacing w:before="20" w:after="20"/>
              <w:jc w:val="left"/>
              <w:rPr>
                <w:color w:val="FFFFFF" w:themeColor="background1"/>
                <w:sz w:val="18"/>
                <w:szCs w:val="18"/>
              </w:rPr>
            </w:pPr>
            <w:r>
              <w:rPr>
                <w:color w:val="FFFFFF" w:themeColor="background1"/>
                <w:sz w:val="18"/>
              </w:rPr>
              <w:t>Sektori/lloji</w:t>
            </w:r>
          </w:p>
        </w:tc>
        <w:tc>
          <w:tcPr>
            <w:tcW w:w="7139" w:type="dxa"/>
            <w:vAlign w:val="center"/>
          </w:tcPr>
          <w:p w14:paraId="4EE1ADEA" w14:textId="77777777" w:rsidR="005C57AD" w:rsidRPr="00156C04"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Energjetik/rregullator dhe teknik</w:t>
            </w:r>
          </w:p>
        </w:tc>
      </w:tr>
      <w:tr w:rsidR="005C57AD" w:rsidRPr="00156C04" w14:paraId="29C603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37ED657D" w14:textId="77777777" w:rsidR="005C57AD" w:rsidRPr="00156C04" w:rsidRDefault="005C57AD">
            <w:pPr>
              <w:spacing w:before="20" w:after="20"/>
              <w:jc w:val="left"/>
              <w:rPr>
                <w:color w:val="FFFFFF" w:themeColor="background1"/>
                <w:sz w:val="18"/>
                <w:szCs w:val="18"/>
              </w:rPr>
            </w:pPr>
            <w:r>
              <w:rPr>
                <w:color w:val="FFFFFF" w:themeColor="background1"/>
                <w:sz w:val="18"/>
              </w:rPr>
              <w:t>Statusi i implementimit</w:t>
            </w:r>
          </w:p>
        </w:tc>
        <w:tc>
          <w:tcPr>
            <w:tcW w:w="7139" w:type="dxa"/>
            <w:vAlign w:val="center"/>
          </w:tcPr>
          <w:p w14:paraId="295B2C7A" w14:textId="77777777" w:rsidR="005C57AD" w:rsidRPr="00156C04"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Në implementim/i planifikuar</w:t>
            </w:r>
          </w:p>
        </w:tc>
      </w:tr>
      <w:tr w:rsidR="005C57AD" w:rsidRPr="00156C04" w14:paraId="1CFB0204"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2C7DAABD" w14:textId="77777777" w:rsidR="005C57AD" w:rsidRPr="00156C04" w:rsidRDefault="005C57AD">
            <w:pPr>
              <w:spacing w:before="20" w:after="20"/>
              <w:jc w:val="left"/>
              <w:rPr>
                <w:color w:val="FFFFFF" w:themeColor="background1"/>
                <w:sz w:val="18"/>
                <w:szCs w:val="18"/>
              </w:rPr>
            </w:pPr>
            <w:r>
              <w:rPr>
                <w:color w:val="FFFFFF" w:themeColor="background1"/>
                <w:sz w:val="18"/>
              </w:rPr>
              <w:t>Efektet kuantitative</w:t>
            </w:r>
          </w:p>
        </w:tc>
        <w:tc>
          <w:tcPr>
            <w:tcW w:w="7139" w:type="dxa"/>
            <w:vAlign w:val="center"/>
          </w:tcPr>
          <w:p w14:paraId="20E3C1A8" w14:textId="77777777" w:rsidR="005C57AD" w:rsidRPr="00156C04" w:rsidRDefault="005C57AD" w:rsidP="006E6E51">
            <w:pPr>
              <w:spacing w:before="20" w:after="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b/>
                <w:sz w:val="18"/>
              </w:rPr>
              <w:t>WEM:</w:t>
            </w:r>
            <w:r>
              <w:rPr>
                <w:sz w:val="18"/>
              </w:rPr>
              <w:t xml:space="preserve"> 10 MW deri në vitin 2024 dhe 87,5 MW deri në vitin 2030 </w:t>
            </w:r>
            <w:r>
              <w:br/>
            </w:r>
            <w:r>
              <w:rPr>
                <w:b/>
                <w:sz w:val="18"/>
              </w:rPr>
              <w:t>WAM:</w:t>
            </w:r>
            <w:r>
              <w:rPr>
                <w:sz w:val="18"/>
              </w:rPr>
              <w:t xml:space="preserve"> 175 MW deri në vitin 2030</w:t>
            </w:r>
          </w:p>
          <w:p w14:paraId="6C0BD519" w14:textId="26AAFFBC" w:rsidR="005C57AD" w:rsidRPr="00156C04" w:rsidRDefault="00D516B0" w:rsidP="006E6E51">
            <w:pPr>
              <w:spacing w:before="20" w:after="20" w:line="276"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Pr>
                <w:sz w:val="18"/>
              </w:rPr>
              <w:t>(Burimi: Strategjia Kombëtare e Energjisë dhe Grupi Punues për PKEK)</w:t>
            </w:r>
          </w:p>
        </w:tc>
      </w:tr>
      <w:tr w:rsidR="005C57AD" w:rsidRPr="00156C04" w14:paraId="666F787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4891683" w14:textId="77777777" w:rsidR="005C57AD" w:rsidRPr="00156C04" w:rsidRDefault="005C57AD">
            <w:pPr>
              <w:spacing w:before="20" w:after="20"/>
              <w:jc w:val="left"/>
              <w:rPr>
                <w:color w:val="FFFFFF" w:themeColor="background1"/>
                <w:sz w:val="18"/>
                <w:szCs w:val="18"/>
              </w:rPr>
            </w:pPr>
            <w:r>
              <w:rPr>
                <w:color w:val="FFFFFF" w:themeColor="background1"/>
                <w:sz w:val="18"/>
              </w:rPr>
              <w:t>Investimet</w:t>
            </w:r>
          </w:p>
        </w:tc>
        <w:tc>
          <w:tcPr>
            <w:tcW w:w="7139" w:type="dxa"/>
            <w:vAlign w:val="center"/>
          </w:tcPr>
          <w:p w14:paraId="7A318F3B" w14:textId="38602055" w:rsidR="005C57AD" w:rsidRPr="00156C04"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b/>
                <w:sz w:val="18"/>
              </w:rPr>
              <w:t xml:space="preserve">WEM: </w:t>
            </w:r>
            <w:r>
              <w:rPr>
                <w:sz w:val="18"/>
              </w:rPr>
              <w:t>87 mil. euro (përmbl. deri në vitin 2030)</w:t>
            </w:r>
          </w:p>
          <w:p w14:paraId="26D15C15" w14:textId="77DDCFC1" w:rsidR="005C57AD" w:rsidRPr="00156C04"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b/>
                <w:sz w:val="18"/>
              </w:rPr>
              <w:t>WAM:</w:t>
            </w:r>
            <w:r>
              <w:rPr>
                <w:sz w:val="18"/>
              </w:rPr>
              <w:t xml:space="preserve"> 174 mil. euro (përmbl. deri në vitin 2030) (përfshin investimet publike dhe private)</w:t>
            </w:r>
          </w:p>
          <w:p w14:paraId="5A50BCFF" w14:textId="4AF03AC0" w:rsidR="005C57AD" w:rsidRPr="00156C04" w:rsidRDefault="00D516B0">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(Burimi: Vlerësimet e ekspertëve)</w:t>
            </w:r>
          </w:p>
        </w:tc>
      </w:tr>
      <w:tr w:rsidR="005C57AD" w:rsidRPr="00156C04" w14:paraId="18A485D2"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5D6E959F" w14:textId="77777777" w:rsidR="005C57AD" w:rsidRPr="00156C04" w:rsidRDefault="005C57AD">
            <w:pPr>
              <w:spacing w:before="20" w:after="20"/>
              <w:jc w:val="left"/>
              <w:rPr>
                <w:color w:val="FFFFFF" w:themeColor="background1"/>
                <w:sz w:val="18"/>
                <w:szCs w:val="18"/>
              </w:rPr>
            </w:pPr>
            <w:r>
              <w:rPr>
                <w:color w:val="FFFFFF" w:themeColor="background1"/>
                <w:sz w:val="18"/>
              </w:rPr>
              <w:t>Institucioni përgjegjës</w:t>
            </w:r>
          </w:p>
        </w:tc>
        <w:tc>
          <w:tcPr>
            <w:tcW w:w="7139" w:type="dxa"/>
            <w:vAlign w:val="center"/>
          </w:tcPr>
          <w:p w14:paraId="766EEDC5" w14:textId="2AFB858F" w:rsidR="005C57AD" w:rsidRPr="00156C04" w:rsidRDefault="008B2895">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ME, ZRRE </w:t>
            </w:r>
          </w:p>
        </w:tc>
      </w:tr>
      <w:tr w:rsidR="005C57AD" w:rsidRPr="00156C04" w14:paraId="1815BDD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7AAE8873" w14:textId="77777777" w:rsidR="005C57AD" w:rsidRPr="00156C04" w:rsidRDefault="005C57AD">
            <w:pPr>
              <w:spacing w:before="20" w:after="20"/>
              <w:jc w:val="left"/>
              <w:rPr>
                <w:color w:val="FFFFFF" w:themeColor="background1"/>
                <w:sz w:val="18"/>
                <w:szCs w:val="18"/>
              </w:rPr>
            </w:pPr>
            <w:r>
              <w:rPr>
                <w:color w:val="FFFFFF" w:themeColor="background1"/>
                <w:sz w:val="18"/>
              </w:rPr>
              <w:lastRenderedPageBreak/>
              <w:t>Treguesit e progresit</w:t>
            </w:r>
          </w:p>
        </w:tc>
        <w:tc>
          <w:tcPr>
            <w:tcW w:w="7139" w:type="dxa"/>
            <w:vAlign w:val="center"/>
          </w:tcPr>
          <w:p w14:paraId="14B5A8B4" w14:textId="77777777" w:rsidR="005C57AD" w:rsidRPr="00156C04" w:rsidRDefault="005C57AD">
            <w:pPr>
              <w:spacing w:before="20" w:after="20" w:line="276" w:lineRule="auto"/>
              <w:cnfStyle w:val="000000100000" w:firstRow="0" w:lastRow="0" w:firstColumn="0" w:lastColumn="0" w:oddVBand="0" w:evenVBand="0" w:oddHBand="1" w:evenHBand="0" w:firstRowFirstColumn="0" w:firstRowLastColumn="0" w:lastRowFirstColumn="0" w:lastRowLastColumn="0"/>
              <w:rPr>
                <w:sz w:val="18"/>
                <w:szCs w:val="18"/>
              </w:rPr>
            </w:pPr>
            <w:r>
              <w:rPr>
                <w:sz w:val="18"/>
              </w:rPr>
              <w:t>Kapaciteti i instaluar i konsumatorëve vetë-gjenerues (MW); kursimet primare të energjisë (ktoe)</w:t>
            </w:r>
          </w:p>
        </w:tc>
      </w:tr>
      <w:tr w:rsidR="005C57AD" w:rsidRPr="00976D33" w14:paraId="4AA6CC45" w14:textId="77777777">
        <w:tc>
          <w:tcPr>
            <w:cnfStyle w:val="001000000000" w:firstRow="0" w:lastRow="0" w:firstColumn="1" w:lastColumn="0" w:oddVBand="0" w:evenVBand="0" w:oddHBand="0" w:evenHBand="0" w:firstRowFirstColumn="0" w:firstRowLastColumn="0" w:lastRowFirstColumn="0" w:lastRowLastColumn="0"/>
            <w:tcW w:w="0" w:type="dxa"/>
          </w:tcPr>
          <w:p w14:paraId="15216ACE" w14:textId="77777777" w:rsidR="005C57AD" w:rsidRPr="00156C04" w:rsidRDefault="005C57AD">
            <w:pPr>
              <w:spacing w:before="20" w:after="20"/>
              <w:jc w:val="left"/>
              <w:rPr>
                <w:color w:val="FFFFFF" w:themeColor="background1"/>
                <w:sz w:val="18"/>
                <w:szCs w:val="18"/>
              </w:rPr>
            </w:pPr>
            <w:r>
              <w:rPr>
                <w:color w:val="FFFFFF" w:themeColor="background1"/>
                <w:sz w:val="18"/>
              </w:rPr>
              <w:t>Lidhja me dimensionet e tjera</w:t>
            </w:r>
          </w:p>
        </w:tc>
        <w:tc>
          <w:tcPr>
            <w:tcW w:w="0" w:type="dxa"/>
          </w:tcPr>
          <w:p w14:paraId="3E0B180F" w14:textId="77777777" w:rsidR="005C57AD" w:rsidRPr="00976D33"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Efiçienca e energjisë, siguria energjetike, tregu i brendshëm energjetik </w:t>
            </w:r>
          </w:p>
        </w:tc>
      </w:tr>
    </w:tbl>
    <w:p w14:paraId="7BF73E37" w14:textId="4A6AACB5" w:rsidR="00913758" w:rsidRPr="00976D33" w:rsidRDefault="00913758" w:rsidP="006E6E51"/>
    <w:tbl>
      <w:tblPr>
        <w:tblStyle w:val="GridTable5Dark-Accent1"/>
        <w:tblW w:w="0" w:type="auto"/>
        <w:tblLook w:val="04A0" w:firstRow="1" w:lastRow="0" w:firstColumn="1" w:lastColumn="0" w:noHBand="0" w:noVBand="1"/>
      </w:tblPr>
      <w:tblGrid>
        <w:gridCol w:w="2425"/>
        <w:gridCol w:w="7139"/>
      </w:tblGrid>
      <w:tr w:rsidR="005C57AD" w:rsidRPr="00156C04" w14:paraId="39F6249C"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571ACB4D" w14:textId="420F4AB0" w:rsidR="005C57AD" w:rsidRPr="00156C04" w:rsidRDefault="0061575E">
            <w:pPr>
              <w:spacing w:before="20" w:after="20"/>
              <w:jc w:val="left"/>
              <w:rPr>
                <w:color w:val="FFFFFF" w:themeColor="background1"/>
                <w:sz w:val="18"/>
                <w:szCs w:val="18"/>
              </w:rPr>
            </w:pPr>
            <w:r>
              <w:rPr>
                <w:color w:val="FFFFFF" w:themeColor="background1"/>
                <w:sz w:val="18"/>
              </w:rPr>
              <w:t xml:space="preserve"> PM 19: Komunitetet e energjisë së ripërtëritshme</w:t>
            </w:r>
          </w:p>
        </w:tc>
      </w:tr>
      <w:tr w:rsidR="005C57AD" w:rsidRPr="00156C04" w14:paraId="6F935F8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32E75422" w14:textId="398D6AA1" w:rsidR="005C57AD" w:rsidRPr="00156C04" w:rsidRDefault="005C57AD" w:rsidP="00FF705C">
            <w:pPr>
              <w:spacing w:before="20" w:after="20"/>
              <w:jc w:val="left"/>
              <w:rPr>
                <w:b w:val="0"/>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Komunitetet e energjisë së ripërtëritshme janë iniciativa që promovojnë prodhimin dhe konsumin e qëndrueshëm të energjisë lokale. Këto komunitete shfrytëzojnë fuqinë e burimeve të ripërtëritshme, siç janë ato solari, nga era ose të tjera për të përmbushur nevojat e tyre për energji. Në mënyrë tipike, komunitetet e energjisë së ripërtëritshme inkurajojnë pjesëmarrjen gjithëpërfshirëse të komunitetit, duke ua mundësuar banorëve të investojnë kolektivisht dhe të përfitojnë nga projektet e energjisë së ripërtëritshme. Kjo qasje gjithëpërfshirëse bashkëpunuese nxit pavarësinë energjetike, lehtësimin e varfërisë energjetike dhe sigurinë, dhe kontribuon në qëndrueshmërinë mjedisore dhe përmirësimin e gjendjes së komunitetit. Ndërsa Kosova përpiqet të diversifikojë burimet e saj të energjisë dhe të zvogëlojë varësinë nga lëndët djegëse tradicionale fosile, këto komunitete të energjisë së ripërtëritshme luajnë rol vendimtar në avancimin e tranzicionit të Kosovës drejt një të ardhmeje energjetike më të pastër dhe më të qëndrueshme.</w:t>
            </w:r>
          </w:p>
        </w:tc>
      </w:tr>
      <w:tr w:rsidR="005C57AD" w:rsidRPr="00156C04" w14:paraId="0AC13553" w14:textId="77777777">
        <w:trPr>
          <w:trHeight w:val="30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3C5EE88" w14:textId="77777777" w:rsidR="005C57AD" w:rsidRPr="00156C04" w:rsidRDefault="005C57AD">
            <w:pPr>
              <w:spacing w:before="20" w:after="20"/>
              <w:jc w:val="left"/>
              <w:rPr>
                <w:color w:val="FFFFFF" w:themeColor="background1"/>
                <w:sz w:val="18"/>
                <w:szCs w:val="18"/>
              </w:rPr>
            </w:pPr>
            <w:r>
              <w:rPr>
                <w:color w:val="FFFFFF" w:themeColor="background1"/>
                <w:sz w:val="18"/>
              </w:rPr>
              <w:t>Sektori/lloji</w:t>
            </w:r>
          </w:p>
        </w:tc>
        <w:tc>
          <w:tcPr>
            <w:tcW w:w="7139" w:type="dxa"/>
            <w:vAlign w:val="center"/>
          </w:tcPr>
          <w:p w14:paraId="5B5C9B5D" w14:textId="77777777" w:rsidR="005C57AD" w:rsidRPr="00156C04"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Rregullator</w:t>
            </w:r>
          </w:p>
        </w:tc>
      </w:tr>
      <w:tr w:rsidR="005C57AD" w:rsidRPr="00156C04" w14:paraId="223BB46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31277244" w14:textId="77777777" w:rsidR="005C57AD" w:rsidRPr="00156C04" w:rsidRDefault="005C57AD">
            <w:pPr>
              <w:spacing w:before="20" w:after="20"/>
              <w:jc w:val="left"/>
              <w:rPr>
                <w:color w:val="FFFFFF" w:themeColor="background1"/>
                <w:sz w:val="18"/>
                <w:szCs w:val="18"/>
              </w:rPr>
            </w:pPr>
            <w:r>
              <w:rPr>
                <w:color w:val="FFFFFF" w:themeColor="background1"/>
                <w:sz w:val="18"/>
              </w:rPr>
              <w:t>Statusi i implementimit</w:t>
            </w:r>
          </w:p>
        </w:tc>
        <w:tc>
          <w:tcPr>
            <w:tcW w:w="7139" w:type="dxa"/>
            <w:vAlign w:val="center"/>
          </w:tcPr>
          <w:p w14:paraId="51576E9F" w14:textId="77777777" w:rsidR="005C57AD" w:rsidRPr="00156C04"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Në zbatim</w:t>
            </w:r>
          </w:p>
        </w:tc>
      </w:tr>
      <w:tr w:rsidR="005C57AD" w:rsidRPr="00156C04" w14:paraId="0BDBEB08" w14:textId="77777777">
        <w:trPr>
          <w:trHeight w:val="30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783FFA5" w14:textId="77777777" w:rsidR="005C57AD" w:rsidRPr="00156C04" w:rsidRDefault="005C57AD">
            <w:pPr>
              <w:spacing w:before="20" w:after="20"/>
              <w:jc w:val="left"/>
              <w:rPr>
                <w:color w:val="FFFFFF" w:themeColor="background1"/>
                <w:sz w:val="18"/>
                <w:szCs w:val="18"/>
              </w:rPr>
            </w:pPr>
            <w:r>
              <w:rPr>
                <w:color w:val="FFFFFF" w:themeColor="background1"/>
                <w:sz w:val="18"/>
              </w:rPr>
              <w:t>Efektet kuantitative</w:t>
            </w:r>
          </w:p>
        </w:tc>
        <w:tc>
          <w:tcPr>
            <w:tcW w:w="7139" w:type="dxa"/>
            <w:vAlign w:val="center"/>
          </w:tcPr>
          <w:p w14:paraId="4DF35A4C" w14:textId="6FD666A2" w:rsidR="005C57AD" w:rsidRPr="00156C04" w:rsidRDefault="005C57AD" w:rsidP="006E6E51">
            <w:pPr>
              <w:spacing w:before="20" w:after="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Ligji për Energjinë Elektrike dhe Ligji për Promovimin e Përdorimit të Burimeve të Ripërtëritshme të Energjisë të miratuara</w:t>
            </w:r>
          </w:p>
        </w:tc>
      </w:tr>
      <w:tr w:rsidR="005C57AD" w:rsidRPr="00156C04" w14:paraId="61BD44E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ED44815" w14:textId="77777777" w:rsidR="005C57AD" w:rsidRPr="00156C04" w:rsidRDefault="005C57AD">
            <w:pPr>
              <w:spacing w:before="20" w:after="20"/>
              <w:jc w:val="left"/>
              <w:rPr>
                <w:color w:val="FFFFFF" w:themeColor="background1"/>
                <w:sz w:val="18"/>
                <w:szCs w:val="18"/>
              </w:rPr>
            </w:pPr>
            <w:r>
              <w:rPr>
                <w:color w:val="FFFFFF" w:themeColor="background1"/>
                <w:sz w:val="18"/>
              </w:rPr>
              <w:t>Investimet</w:t>
            </w:r>
          </w:p>
        </w:tc>
        <w:tc>
          <w:tcPr>
            <w:tcW w:w="7139" w:type="dxa"/>
            <w:vAlign w:val="center"/>
          </w:tcPr>
          <w:p w14:paraId="00DE0D9F" w14:textId="1A698720" w:rsidR="005C57AD" w:rsidRPr="00156C04" w:rsidRDefault="003775B0" w:rsidP="006E6E51">
            <w:pPr>
              <w:spacing w:before="20" w:after="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n/a</w:t>
            </w:r>
          </w:p>
        </w:tc>
      </w:tr>
      <w:tr w:rsidR="005C57AD" w:rsidRPr="00156C04" w14:paraId="35895D94" w14:textId="77777777">
        <w:trPr>
          <w:trHeight w:val="30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35086DD1" w14:textId="77777777" w:rsidR="005C57AD" w:rsidRPr="00156C04" w:rsidRDefault="005C57AD">
            <w:pPr>
              <w:spacing w:before="20" w:after="20"/>
              <w:jc w:val="left"/>
              <w:rPr>
                <w:color w:val="FFFFFF" w:themeColor="background1"/>
                <w:sz w:val="18"/>
                <w:szCs w:val="18"/>
              </w:rPr>
            </w:pPr>
            <w:r>
              <w:rPr>
                <w:color w:val="FFFFFF" w:themeColor="background1"/>
                <w:sz w:val="18"/>
              </w:rPr>
              <w:t>Institucioni përgjegjës</w:t>
            </w:r>
          </w:p>
        </w:tc>
        <w:tc>
          <w:tcPr>
            <w:tcW w:w="7139" w:type="dxa"/>
            <w:vAlign w:val="center"/>
          </w:tcPr>
          <w:p w14:paraId="1F69B675" w14:textId="2234179E" w:rsidR="005C57AD" w:rsidRPr="00156C04" w:rsidRDefault="008B2895">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ME, ZRRE </w:t>
            </w:r>
          </w:p>
        </w:tc>
      </w:tr>
      <w:tr w:rsidR="005C57AD" w:rsidRPr="00156C04" w14:paraId="3C581F5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71D7BDA5" w14:textId="77777777" w:rsidR="005C57AD" w:rsidRPr="00156C04" w:rsidRDefault="005C57AD">
            <w:pPr>
              <w:spacing w:before="20" w:after="20"/>
              <w:jc w:val="left"/>
              <w:rPr>
                <w:color w:val="FFFFFF" w:themeColor="background1"/>
                <w:sz w:val="18"/>
                <w:szCs w:val="18"/>
              </w:rPr>
            </w:pPr>
            <w:r>
              <w:rPr>
                <w:color w:val="FFFFFF" w:themeColor="background1"/>
                <w:sz w:val="18"/>
              </w:rPr>
              <w:t>Treguesit e progresit</w:t>
            </w:r>
          </w:p>
        </w:tc>
        <w:tc>
          <w:tcPr>
            <w:tcW w:w="7139" w:type="dxa"/>
            <w:vAlign w:val="center"/>
          </w:tcPr>
          <w:p w14:paraId="7C935CB2" w14:textId="77777777" w:rsidR="005C57AD" w:rsidRPr="00156C04"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Ligjet e miratuara</w:t>
            </w:r>
          </w:p>
        </w:tc>
      </w:tr>
      <w:tr w:rsidR="005C57AD" w:rsidRPr="00976D33" w14:paraId="48368344" w14:textId="77777777">
        <w:trPr>
          <w:trHeight w:val="300"/>
        </w:trPr>
        <w:tc>
          <w:tcPr>
            <w:cnfStyle w:val="001000000000" w:firstRow="0" w:lastRow="0" w:firstColumn="1" w:lastColumn="0" w:oddVBand="0" w:evenVBand="0" w:oddHBand="0" w:evenHBand="0" w:firstRowFirstColumn="0" w:firstRowLastColumn="0" w:lastRowFirstColumn="0" w:lastRowLastColumn="0"/>
            <w:tcW w:w="2425" w:type="dxa"/>
          </w:tcPr>
          <w:p w14:paraId="1BB60347" w14:textId="7BBAE036" w:rsidR="005C57AD" w:rsidRPr="00156C04" w:rsidRDefault="005C57AD">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39" w:type="dxa"/>
          </w:tcPr>
          <w:p w14:paraId="30A86BA6" w14:textId="77777777" w:rsidR="005C57AD" w:rsidRPr="00976D33"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Efiçienca e energjisë, siguria energjetike, tregu i brendshëm energjetik</w:t>
            </w:r>
          </w:p>
        </w:tc>
      </w:tr>
    </w:tbl>
    <w:p w14:paraId="0B0D53DB" w14:textId="77777777" w:rsidR="005C57AD" w:rsidRPr="00976D33" w:rsidRDefault="005C57AD" w:rsidP="006E6E51"/>
    <w:p w14:paraId="1956A631" w14:textId="77777777" w:rsidR="005C57AD" w:rsidRPr="00976D33" w:rsidRDefault="005C57AD" w:rsidP="00B13BFF">
      <w:pPr>
        <w:pStyle w:val="Heading4"/>
        <w:spacing w:after="0" w:line="240" w:lineRule="auto"/>
        <w:ind w:left="714" w:hanging="357"/>
      </w:pPr>
      <w:r>
        <w:t xml:space="preserve">Vlerësimi i nevojës për ndërtimin e infrastrukturës së re për ngrohje qendrore dhe ftohje me rrymë të prodhuar nga burimet e ripërtëritshme </w:t>
      </w:r>
    </w:p>
    <w:tbl>
      <w:tblPr>
        <w:tblStyle w:val="GridTable5Dark-Accent1"/>
        <w:tblW w:w="0" w:type="auto"/>
        <w:tblLook w:val="04A0" w:firstRow="1" w:lastRow="0" w:firstColumn="1" w:lastColumn="0" w:noHBand="0" w:noVBand="1"/>
      </w:tblPr>
      <w:tblGrid>
        <w:gridCol w:w="2425"/>
        <w:gridCol w:w="7139"/>
      </w:tblGrid>
      <w:tr w:rsidR="005C57AD" w:rsidRPr="004A64EF" w14:paraId="2627017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2C327108" w14:textId="1BC3332C" w:rsidR="005C57AD" w:rsidRPr="004A64EF" w:rsidRDefault="0061575E">
            <w:pPr>
              <w:spacing w:before="20" w:after="20"/>
              <w:jc w:val="left"/>
              <w:rPr>
                <w:color w:val="FFFFFF" w:themeColor="background1"/>
                <w:sz w:val="18"/>
                <w:szCs w:val="18"/>
              </w:rPr>
            </w:pPr>
            <w:bookmarkStart w:id="200" w:name="_Toc71247182"/>
            <w:bookmarkStart w:id="201" w:name="_Toc138210159"/>
            <w:bookmarkStart w:id="202" w:name="_Toc138998460"/>
            <w:r>
              <w:rPr>
                <w:color w:val="FFFFFF" w:themeColor="background1"/>
                <w:sz w:val="18"/>
              </w:rPr>
              <w:t>PM 20: Ngrohja qendrore solare</w:t>
            </w:r>
            <w:bookmarkEnd w:id="200"/>
            <w:bookmarkEnd w:id="201"/>
            <w:bookmarkEnd w:id="202"/>
          </w:p>
        </w:tc>
      </w:tr>
      <w:tr w:rsidR="005C57AD" w:rsidRPr="004A64EF" w14:paraId="20E572A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07ECC244" w14:textId="437AD1FA" w:rsidR="005C57AD" w:rsidRPr="004A64EF" w:rsidRDefault="005C57AD">
            <w:pPr>
              <w:spacing w:before="20" w:after="20"/>
              <w:jc w:val="left"/>
              <w:rPr>
                <w:b w:val="0"/>
                <w:bCs w:val="0"/>
                <w:color w:val="FFFFFF" w:themeColor="background1"/>
                <w:sz w:val="18"/>
                <w:szCs w:val="18"/>
              </w:rPr>
            </w:pPr>
            <w:r>
              <w:rPr>
                <w:color w:val="FFFFFF" w:themeColor="background1"/>
                <w:sz w:val="18"/>
              </w:rPr>
              <w:t>Përshkrimi i shkurtër dhe objektivi:</w:t>
            </w:r>
            <w:r>
              <w:rPr>
                <w:b w:val="0"/>
                <w:color w:val="FFFFFF" w:themeColor="background1"/>
                <w:sz w:val="18"/>
              </w:rPr>
              <w:t xml:space="preserve"> Sistemet e ngrohjes qendrore dhe mënyra e prodhimit të ngrohjes po bëhen gjithnjë e më interesante për Kosovën. Ndërtimi i kaldajave me biomasë dhe PNQ nuk janë burimi i vetëm i energjisë nga BER-të që do të përdoret në Kosovë. Projekti për përdorimin e kolektorëve solar për prodhimin e energjisë termike të kombinuara me ruajtjen sezonale të nxehtësisë (Solar4Kosovo II) është iniciuar në kuadër të përpjekjeve për të adresuar zgjerimin e sistemit të ngrohjes qendrore dhe çështjet mjedisore të NQ Termokos – Prishtinë. Ky projekt paraqet Kosovën si</w:t>
            </w:r>
            <w:r>
              <w:rPr>
                <w:color w:val="FFFFFF" w:themeColor="background1"/>
                <w:sz w:val="18"/>
              </w:rPr>
              <w:t xml:space="preserve"> vendin e parë </w:t>
            </w:r>
            <w:r>
              <w:rPr>
                <w:b w:val="0"/>
                <w:color w:val="FFFFFF" w:themeColor="background1"/>
                <w:sz w:val="18"/>
              </w:rPr>
              <w:t>në rajon që do të përdorë këtë lloj teknologjie në sistemet e ngrohjes qendrore.</w:t>
            </w:r>
            <w:r>
              <w:rPr>
                <w:color w:val="FFFFFF" w:themeColor="background1"/>
                <w:sz w:val="18"/>
              </w:rPr>
              <w:t xml:space="preserve"> </w:t>
            </w:r>
            <w:r>
              <w:rPr>
                <w:b w:val="0"/>
                <w:color w:val="FFFFFF" w:themeColor="background1"/>
                <w:sz w:val="18"/>
              </w:rPr>
              <w:t xml:space="preserve">Projekti do të mundësojë lidhjen e 38,000 konsumatorëve të rinj. Për skenarin me masa shtesë (WAM) propozohet një dyfishim i kapaciteteve. </w:t>
            </w:r>
            <w:r>
              <w:rPr>
                <w:color w:val="FFFFFF" w:themeColor="background1"/>
                <w:sz w:val="18"/>
              </w:rPr>
              <w:t xml:space="preserve">Deri në mars të vitit 2024, janë instaluar 49.6 MWth kolektorë solarë termikë. </w:t>
            </w:r>
          </w:p>
        </w:tc>
      </w:tr>
      <w:tr w:rsidR="005C57AD" w:rsidRPr="004A64EF" w14:paraId="788789DA"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1D6B9914" w14:textId="77777777" w:rsidR="005C57AD" w:rsidRPr="004A64EF" w:rsidRDefault="005C57AD">
            <w:pPr>
              <w:spacing w:before="20" w:after="20"/>
              <w:jc w:val="left"/>
              <w:rPr>
                <w:color w:val="FFFFFF" w:themeColor="background1"/>
                <w:sz w:val="18"/>
                <w:szCs w:val="18"/>
              </w:rPr>
            </w:pPr>
            <w:r>
              <w:rPr>
                <w:color w:val="FFFFFF" w:themeColor="background1"/>
                <w:sz w:val="18"/>
              </w:rPr>
              <w:t>Sektori/lloji</w:t>
            </w:r>
          </w:p>
        </w:tc>
        <w:tc>
          <w:tcPr>
            <w:tcW w:w="7139" w:type="dxa"/>
            <w:vAlign w:val="center"/>
          </w:tcPr>
          <w:p w14:paraId="43DC6124" w14:textId="77777777"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Energjetik/teknik</w:t>
            </w:r>
          </w:p>
        </w:tc>
      </w:tr>
      <w:tr w:rsidR="005C57AD" w:rsidRPr="004A64EF" w14:paraId="15C584E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2C05FFE" w14:textId="77777777" w:rsidR="005C57AD" w:rsidRPr="004A64EF" w:rsidRDefault="005C57AD">
            <w:pPr>
              <w:spacing w:before="20" w:after="20"/>
              <w:jc w:val="left"/>
              <w:rPr>
                <w:color w:val="FFFFFF" w:themeColor="background1"/>
                <w:sz w:val="18"/>
                <w:szCs w:val="18"/>
              </w:rPr>
            </w:pPr>
            <w:r>
              <w:rPr>
                <w:color w:val="FFFFFF" w:themeColor="background1"/>
                <w:sz w:val="18"/>
              </w:rPr>
              <w:t>Statusi i implementimit</w:t>
            </w:r>
          </w:p>
        </w:tc>
        <w:tc>
          <w:tcPr>
            <w:tcW w:w="7139" w:type="dxa"/>
            <w:vAlign w:val="center"/>
          </w:tcPr>
          <w:p w14:paraId="292F470D"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Në implementim/i planifikuar</w:t>
            </w:r>
          </w:p>
        </w:tc>
      </w:tr>
      <w:tr w:rsidR="005C57AD" w:rsidRPr="004A64EF" w14:paraId="5658AB5B"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55889830" w14:textId="77777777" w:rsidR="005C57AD" w:rsidRPr="004A64EF" w:rsidRDefault="005C57AD">
            <w:pPr>
              <w:spacing w:before="20" w:after="20"/>
              <w:jc w:val="left"/>
              <w:rPr>
                <w:color w:val="FFFFFF" w:themeColor="background1"/>
                <w:sz w:val="18"/>
                <w:szCs w:val="18"/>
              </w:rPr>
            </w:pPr>
            <w:r>
              <w:rPr>
                <w:color w:val="FFFFFF" w:themeColor="background1"/>
                <w:sz w:val="18"/>
              </w:rPr>
              <w:t>Efektet kuantitative</w:t>
            </w:r>
          </w:p>
        </w:tc>
        <w:tc>
          <w:tcPr>
            <w:tcW w:w="7139" w:type="dxa"/>
            <w:vAlign w:val="center"/>
          </w:tcPr>
          <w:p w14:paraId="74435675" w14:textId="2DD3E26E"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b/>
                <w:sz w:val="18"/>
              </w:rPr>
              <w:t>WEM:</w:t>
            </w:r>
            <w:r>
              <w:rPr>
                <w:sz w:val="18"/>
              </w:rPr>
              <w:t xml:space="preserve"> 50 MW</w:t>
            </w:r>
            <w:r>
              <w:rPr>
                <w:sz w:val="18"/>
                <w:vertAlign w:val="subscript"/>
              </w:rPr>
              <w:t>th</w:t>
            </w:r>
            <w:r>
              <w:rPr>
                <w:sz w:val="18"/>
              </w:rPr>
              <w:t xml:space="preserve"> / </w:t>
            </w:r>
            <w:r>
              <w:rPr>
                <w:b/>
                <w:sz w:val="18"/>
              </w:rPr>
              <w:t>WAM:</w:t>
            </w:r>
            <w:r>
              <w:rPr>
                <w:sz w:val="18"/>
              </w:rPr>
              <w:t xml:space="preserve"> 70 MW</w:t>
            </w:r>
            <w:r>
              <w:rPr>
                <w:sz w:val="18"/>
                <w:vertAlign w:val="subscript"/>
              </w:rPr>
              <w:t>th</w:t>
            </w:r>
            <w:r>
              <w:rPr>
                <w:sz w:val="18"/>
              </w:rPr>
              <w:t xml:space="preserve"> kapacitet i instaluar, ca. 200 GWh</w:t>
            </w:r>
            <w:r>
              <w:rPr>
                <w:sz w:val="18"/>
                <w:vertAlign w:val="subscript"/>
              </w:rPr>
              <w:t>th</w:t>
            </w:r>
            <w:r>
              <w:rPr>
                <w:sz w:val="18"/>
              </w:rPr>
              <w:t xml:space="preserve"> (WEM) / 280 GWh</w:t>
            </w:r>
            <w:r>
              <w:rPr>
                <w:sz w:val="18"/>
                <w:vertAlign w:val="subscript"/>
              </w:rPr>
              <w:t>th</w:t>
            </w:r>
            <w:r>
              <w:rPr>
                <w:sz w:val="18"/>
              </w:rPr>
              <w:t xml:space="preserve"> (WAM) gjenerimi vjetor</w:t>
            </w:r>
          </w:p>
        </w:tc>
      </w:tr>
      <w:tr w:rsidR="005C57AD" w:rsidRPr="004A64EF" w14:paraId="4D13FEE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22B2AEC8" w14:textId="77777777" w:rsidR="005C57AD" w:rsidRPr="004A64EF" w:rsidRDefault="005C57AD">
            <w:pPr>
              <w:spacing w:before="20" w:after="20"/>
              <w:jc w:val="left"/>
              <w:rPr>
                <w:color w:val="FFFFFF" w:themeColor="background1"/>
                <w:sz w:val="18"/>
                <w:szCs w:val="18"/>
              </w:rPr>
            </w:pPr>
            <w:r>
              <w:rPr>
                <w:color w:val="FFFFFF" w:themeColor="background1"/>
                <w:sz w:val="18"/>
              </w:rPr>
              <w:t>Investimet</w:t>
            </w:r>
          </w:p>
        </w:tc>
        <w:tc>
          <w:tcPr>
            <w:tcW w:w="7139" w:type="dxa"/>
            <w:vAlign w:val="center"/>
          </w:tcPr>
          <w:p w14:paraId="58B0E868" w14:textId="20A65091" w:rsidR="00983794" w:rsidRPr="00FF705C" w:rsidRDefault="008D396A">
            <w:pPr>
              <w:spacing w:before="20" w:after="2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rPr>
              <w:t>Gjithsej 60 mil. euro janë paraparë si për realizimin e projektit ashtu edhe për studimin e fizibilitetit, të paktën pjesërisht të financuar nga donatorët (WEM). Për WAM, 84 mil. euro janë paraparë për shkak të rritjes së kapaciteteve (prej të cilave: 74.4 mil. euro fonde nga donatorët dhe 7.6 mil. euro nga NP)</w:t>
            </w:r>
          </w:p>
          <w:p w14:paraId="3BE7F7A3" w14:textId="7EA3619F" w:rsidR="00983794" w:rsidRPr="004A64EF" w:rsidRDefault="00983794">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Burimi: Konsultimet me donatorët. </w:t>
            </w:r>
          </w:p>
        </w:tc>
      </w:tr>
      <w:tr w:rsidR="005C57AD" w:rsidRPr="004A64EF" w14:paraId="48310D5B"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1326EA31" w14:textId="77777777" w:rsidR="005C57AD" w:rsidRPr="004A64EF" w:rsidRDefault="005C57AD">
            <w:pPr>
              <w:spacing w:before="20" w:after="20"/>
              <w:jc w:val="left"/>
              <w:rPr>
                <w:color w:val="FFFFFF" w:themeColor="background1"/>
                <w:sz w:val="18"/>
                <w:szCs w:val="18"/>
              </w:rPr>
            </w:pPr>
            <w:r>
              <w:rPr>
                <w:color w:val="FFFFFF" w:themeColor="background1"/>
                <w:sz w:val="18"/>
              </w:rPr>
              <w:t>Institucioni përgjegjës</w:t>
            </w:r>
          </w:p>
        </w:tc>
        <w:tc>
          <w:tcPr>
            <w:tcW w:w="7139" w:type="dxa"/>
            <w:vAlign w:val="center"/>
          </w:tcPr>
          <w:p w14:paraId="56F32075" w14:textId="77777777"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“Termokos” Prishtinë</w:t>
            </w:r>
          </w:p>
        </w:tc>
      </w:tr>
      <w:tr w:rsidR="005C57AD" w:rsidRPr="004A64EF" w14:paraId="7C51151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1CDA48A2" w14:textId="77777777" w:rsidR="005C57AD" w:rsidRPr="004A64EF" w:rsidRDefault="005C57AD">
            <w:pPr>
              <w:spacing w:before="20" w:after="20"/>
              <w:jc w:val="left"/>
              <w:rPr>
                <w:color w:val="FFFFFF" w:themeColor="background1"/>
                <w:sz w:val="18"/>
                <w:szCs w:val="18"/>
              </w:rPr>
            </w:pPr>
            <w:r>
              <w:rPr>
                <w:color w:val="FFFFFF" w:themeColor="background1"/>
                <w:sz w:val="18"/>
              </w:rPr>
              <w:t>Treguesit e progresit</w:t>
            </w:r>
          </w:p>
        </w:tc>
        <w:tc>
          <w:tcPr>
            <w:tcW w:w="7139" w:type="dxa"/>
            <w:vAlign w:val="center"/>
          </w:tcPr>
          <w:p w14:paraId="7D2129E4"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Kolektorë solarë të instaluar në Termokos (MW); kursimet finale të energjisë (ktoe); kursimet primare të energjisë (ktoe); pjesëmarrja e burimeve të ripërtëritshme në Ngrohjen Qendrore</w:t>
            </w:r>
          </w:p>
        </w:tc>
      </w:tr>
      <w:tr w:rsidR="005C57AD" w:rsidRPr="00976D33" w14:paraId="7D6F634D" w14:textId="77777777">
        <w:tc>
          <w:tcPr>
            <w:cnfStyle w:val="001000000000" w:firstRow="0" w:lastRow="0" w:firstColumn="1" w:lastColumn="0" w:oddVBand="0" w:evenVBand="0" w:oddHBand="0" w:evenHBand="0" w:firstRowFirstColumn="0" w:firstRowLastColumn="0" w:lastRowFirstColumn="0" w:lastRowLastColumn="0"/>
            <w:tcW w:w="2425" w:type="dxa"/>
          </w:tcPr>
          <w:p w14:paraId="4DA44BDC" w14:textId="51C9747B" w:rsidR="005C57AD" w:rsidRPr="004A64EF" w:rsidRDefault="005C57AD">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39" w:type="dxa"/>
          </w:tcPr>
          <w:p w14:paraId="32FF0BAB" w14:textId="77777777" w:rsidR="005C57AD" w:rsidRPr="00976D33"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Efiçienca e energjisë, siguria energjetike, tregu i brendshëm energjetik </w:t>
            </w:r>
          </w:p>
        </w:tc>
      </w:tr>
    </w:tbl>
    <w:p w14:paraId="6BC2DBD5" w14:textId="77777777" w:rsidR="00FF705C" w:rsidRDefault="00FF705C" w:rsidP="005C57AD">
      <w:pPr>
        <w:rPr>
          <w:rFonts w:cstheme="minorHAnsi"/>
        </w:rPr>
      </w:pPr>
    </w:p>
    <w:p w14:paraId="6B648DFE" w14:textId="77777777" w:rsidR="00FE486A" w:rsidRDefault="00FE486A" w:rsidP="005C57AD">
      <w:pPr>
        <w:rPr>
          <w:rFonts w:cstheme="minorHAnsi"/>
        </w:rPr>
      </w:pPr>
    </w:p>
    <w:p w14:paraId="4CF8DA0A" w14:textId="77777777" w:rsidR="00FE486A" w:rsidRDefault="00FE486A" w:rsidP="005C57AD">
      <w:pPr>
        <w:rPr>
          <w:rFonts w:cstheme="minorHAnsi"/>
        </w:rPr>
      </w:pPr>
    </w:p>
    <w:tbl>
      <w:tblPr>
        <w:tblStyle w:val="GridTable5Dark-Accent1"/>
        <w:tblW w:w="0" w:type="auto"/>
        <w:tblLook w:val="04A0" w:firstRow="1" w:lastRow="0" w:firstColumn="1" w:lastColumn="0" w:noHBand="0" w:noVBand="1"/>
      </w:tblPr>
      <w:tblGrid>
        <w:gridCol w:w="2425"/>
        <w:gridCol w:w="7139"/>
      </w:tblGrid>
      <w:tr w:rsidR="005C57AD" w:rsidRPr="004A64EF" w14:paraId="61791DA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2EB499B2" w14:textId="5D416E56" w:rsidR="005C57AD" w:rsidRPr="004A64EF" w:rsidRDefault="0061575E">
            <w:pPr>
              <w:spacing w:before="20" w:after="20"/>
              <w:jc w:val="left"/>
              <w:rPr>
                <w:color w:val="FFFFFF" w:themeColor="background1"/>
                <w:sz w:val="18"/>
                <w:szCs w:val="18"/>
              </w:rPr>
            </w:pPr>
            <w:bookmarkStart w:id="203" w:name="_Toc71247183"/>
            <w:bookmarkStart w:id="204" w:name="_Toc138210160"/>
            <w:bookmarkStart w:id="205" w:name="_Toc138998461"/>
            <w:r>
              <w:rPr>
                <w:color w:val="FFFFFF" w:themeColor="background1"/>
                <w:sz w:val="18"/>
              </w:rPr>
              <w:lastRenderedPageBreak/>
              <w:t>PM 21:</w:t>
            </w:r>
            <w:bookmarkEnd w:id="203"/>
            <w:r>
              <w:rPr>
                <w:color w:val="FFFFFF" w:themeColor="background1"/>
                <w:sz w:val="18"/>
              </w:rPr>
              <w:t xml:space="preserve"> Studimi i fizibilitetit për zhvillimin e sistemeve të ngrohjes qendrore në tetë komuna të tjera</w:t>
            </w:r>
            <w:bookmarkEnd w:id="204"/>
            <w:bookmarkEnd w:id="205"/>
            <w:r>
              <w:rPr>
                <w:color w:val="FFFFFF" w:themeColor="background1"/>
                <w:sz w:val="18"/>
              </w:rPr>
              <w:t xml:space="preserve"> </w:t>
            </w:r>
          </w:p>
        </w:tc>
      </w:tr>
      <w:tr w:rsidR="005C57AD" w:rsidRPr="004A64EF" w14:paraId="7722CF7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7E7451C8" w14:textId="59D64BE5" w:rsidR="005C57AD" w:rsidRPr="004A64EF" w:rsidRDefault="041FA918">
            <w:pPr>
              <w:spacing w:before="20" w:after="20"/>
              <w:jc w:val="left"/>
              <w:rPr>
                <w:b w:val="0"/>
                <w:bCs w:val="0"/>
                <w:color w:val="FFFFFF" w:themeColor="background1"/>
                <w:sz w:val="18"/>
                <w:szCs w:val="18"/>
              </w:rPr>
            </w:pPr>
            <w:r>
              <w:rPr>
                <w:color w:val="FFFFFF" w:themeColor="background1"/>
                <w:sz w:val="18"/>
              </w:rPr>
              <w:t>Përshkrimi i shkurtër dhe objektivi:</w:t>
            </w:r>
            <w:r>
              <w:rPr>
                <w:b w:val="0"/>
                <w:color w:val="FFFFFF" w:themeColor="background1"/>
                <w:sz w:val="18"/>
              </w:rPr>
              <w:t xml:space="preserve"> Në tetor të vitit 2021, filloi studimi i fizibilitetit për sistemet e reja të ngrohjes qendrore për tetë komuna të Kosovës. Ky studim analizon justifikimin ekonomik dhe teknik për zhvillimin e sistemeve të energjisë termike të bazuara në BRE në qytetet e mëposhtme në Kosovë - Pejë, Prizren, Gjilan, Ferizaj, Mitrovicë, Drenas, Obiliq dhe Zveçan.</w:t>
            </w:r>
          </w:p>
          <w:p w14:paraId="4F7260FD" w14:textId="30EA52CB" w:rsidR="005C57AD" w:rsidRPr="004A64EF" w:rsidRDefault="005C57AD">
            <w:pPr>
              <w:spacing w:before="20" w:after="20"/>
              <w:jc w:val="left"/>
              <w:rPr>
                <w:b w:val="0"/>
                <w:bCs w:val="0"/>
                <w:color w:val="FFFFFF" w:themeColor="background1"/>
                <w:sz w:val="18"/>
                <w:szCs w:val="18"/>
              </w:rPr>
            </w:pPr>
            <w:r>
              <w:rPr>
                <w:b w:val="0"/>
                <w:color w:val="FFFFFF" w:themeColor="background1"/>
                <w:sz w:val="18"/>
              </w:rPr>
              <w:t>Nëse mundësitë e identifikuara do të zbatoheshin, këto projekte do të zvogëlojë ndjeshëm përdorimin e energjisë elektrike për ngrohje, gjë që do të ndikojë pozitivisht në stabilitetin energjetik të Kosovës në radhë të parë. Projekti gjithashtu do të ndikojnë pozitivisht në mbrojtjen e mjedisit dhe do të kontribuojë në arritjen e caqeve për efiçiencën e energjisë dhe pjesëmarrjen e BRE-ve. Zgjidhjet e sistemeve të NQ do të projektohen varësisht nga rezultateve të studimit. Kontributi i këtyre projekteve në kursimin e energjisë mund të vlerësohet pas përfundimit të studimit, por do të ndikojë si në kursimin primar ashtu edhe në atë final të energjisë.</w:t>
            </w:r>
          </w:p>
          <w:p w14:paraId="71FFA326" w14:textId="2FB04AE5" w:rsidR="005C57AD" w:rsidRPr="004A64EF" w:rsidRDefault="005C57AD" w:rsidP="00FF705C">
            <w:pPr>
              <w:spacing w:before="20" w:after="20"/>
              <w:jc w:val="left"/>
              <w:rPr>
                <w:b w:val="0"/>
                <w:color w:val="FFFFFF" w:themeColor="background1"/>
                <w:sz w:val="18"/>
                <w:szCs w:val="18"/>
              </w:rPr>
            </w:pPr>
            <w:r>
              <w:rPr>
                <w:b w:val="0"/>
                <w:color w:val="FFFFFF" w:themeColor="background1"/>
                <w:sz w:val="18"/>
              </w:rPr>
              <w:t>Projekti realizohet në kuadër të platformës së WBIF-së, ku institucioni kryesor financiar është Banka Evropiane e Investimeve.</w:t>
            </w:r>
          </w:p>
        </w:tc>
      </w:tr>
      <w:tr w:rsidR="005C57AD" w:rsidRPr="004A64EF" w14:paraId="0C743727"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0D7D8FA7" w14:textId="77777777" w:rsidR="005C57AD" w:rsidRPr="004A64EF" w:rsidRDefault="005C57AD">
            <w:pPr>
              <w:spacing w:before="20" w:after="20"/>
              <w:jc w:val="left"/>
              <w:rPr>
                <w:color w:val="FFFFFF" w:themeColor="background1"/>
                <w:sz w:val="18"/>
                <w:szCs w:val="18"/>
              </w:rPr>
            </w:pPr>
            <w:r>
              <w:rPr>
                <w:color w:val="FFFFFF" w:themeColor="background1"/>
                <w:sz w:val="18"/>
              </w:rPr>
              <w:t>Sektori/lloji</w:t>
            </w:r>
          </w:p>
        </w:tc>
        <w:tc>
          <w:tcPr>
            <w:tcW w:w="7139" w:type="dxa"/>
            <w:vAlign w:val="center"/>
          </w:tcPr>
          <w:p w14:paraId="24FCAC8C" w14:textId="77777777"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Energjetik/teknik</w:t>
            </w:r>
          </w:p>
        </w:tc>
      </w:tr>
      <w:tr w:rsidR="005C57AD" w:rsidRPr="004A64EF" w14:paraId="7660D1F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17480CC" w14:textId="77777777" w:rsidR="005C57AD" w:rsidRPr="004A64EF" w:rsidRDefault="005C57AD">
            <w:pPr>
              <w:spacing w:before="20" w:after="20"/>
              <w:jc w:val="left"/>
              <w:rPr>
                <w:color w:val="FFFFFF" w:themeColor="background1"/>
                <w:sz w:val="18"/>
                <w:szCs w:val="18"/>
              </w:rPr>
            </w:pPr>
            <w:r>
              <w:rPr>
                <w:color w:val="FFFFFF" w:themeColor="background1"/>
                <w:sz w:val="18"/>
              </w:rPr>
              <w:t>Statusi i implementimit</w:t>
            </w:r>
          </w:p>
        </w:tc>
        <w:tc>
          <w:tcPr>
            <w:tcW w:w="7139" w:type="dxa"/>
            <w:vAlign w:val="center"/>
          </w:tcPr>
          <w:p w14:paraId="4D7E03B3"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Në zbatim</w:t>
            </w:r>
          </w:p>
        </w:tc>
      </w:tr>
      <w:tr w:rsidR="005C57AD" w:rsidRPr="004A64EF" w14:paraId="032124E0"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7B635501" w14:textId="77777777" w:rsidR="005C57AD" w:rsidRPr="004A64EF" w:rsidRDefault="005C57AD">
            <w:pPr>
              <w:spacing w:before="20" w:after="20"/>
              <w:jc w:val="left"/>
              <w:rPr>
                <w:color w:val="FFFFFF" w:themeColor="background1"/>
                <w:sz w:val="18"/>
                <w:szCs w:val="18"/>
              </w:rPr>
            </w:pPr>
            <w:r>
              <w:rPr>
                <w:color w:val="FFFFFF" w:themeColor="background1"/>
                <w:sz w:val="18"/>
              </w:rPr>
              <w:t>Efektet kuantitative</w:t>
            </w:r>
          </w:p>
        </w:tc>
        <w:tc>
          <w:tcPr>
            <w:tcW w:w="7139" w:type="dxa"/>
            <w:vAlign w:val="center"/>
          </w:tcPr>
          <w:p w14:paraId="2CC0FFC6" w14:textId="77777777"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n/a</w:t>
            </w:r>
          </w:p>
        </w:tc>
      </w:tr>
      <w:tr w:rsidR="005C57AD" w:rsidRPr="004A64EF" w14:paraId="788BBBE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299065F7" w14:textId="77777777" w:rsidR="005C57AD" w:rsidRPr="004A64EF" w:rsidRDefault="005C57AD">
            <w:pPr>
              <w:spacing w:before="20" w:after="20"/>
              <w:jc w:val="left"/>
              <w:rPr>
                <w:color w:val="FFFFFF" w:themeColor="background1"/>
                <w:sz w:val="18"/>
                <w:szCs w:val="18"/>
              </w:rPr>
            </w:pPr>
            <w:r>
              <w:rPr>
                <w:color w:val="FFFFFF" w:themeColor="background1"/>
                <w:sz w:val="18"/>
              </w:rPr>
              <w:t>Investimet</w:t>
            </w:r>
          </w:p>
        </w:tc>
        <w:tc>
          <w:tcPr>
            <w:tcW w:w="7139" w:type="dxa"/>
            <w:vAlign w:val="center"/>
          </w:tcPr>
          <w:p w14:paraId="0EE5296C" w14:textId="77777777" w:rsidR="00F33B6B"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F0D29"/>
                <w:sz w:val="18"/>
                <w:szCs w:val="18"/>
              </w:rPr>
            </w:pPr>
            <w:r>
              <w:rPr>
                <w:rFonts w:asciiTheme="majorHAnsi" w:hAnsiTheme="majorHAnsi"/>
                <w:color w:val="0F0D29"/>
                <w:sz w:val="18"/>
              </w:rPr>
              <w:t>Gjithsej 2.3 mil. euro (2022 – 2024), financuar nga donatorët.</w:t>
            </w:r>
          </w:p>
          <w:p w14:paraId="23A47E3D" w14:textId="36A50920" w:rsidR="005C57AD" w:rsidRPr="004A64EF" w:rsidRDefault="00F33B6B">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rFonts w:asciiTheme="majorHAnsi" w:hAnsiTheme="majorHAnsi"/>
                <w:color w:val="0F0D29"/>
                <w:sz w:val="18"/>
              </w:rPr>
              <w:t>Burimi: Konsultimet me donatorët</w:t>
            </w:r>
          </w:p>
        </w:tc>
      </w:tr>
      <w:tr w:rsidR="005C57AD" w:rsidRPr="004A64EF" w14:paraId="09DBF972"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23B493A4" w14:textId="77777777" w:rsidR="005C57AD" w:rsidRPr="004A64EF" w:rsidRDefault="005C57AD">
            <w:pPr>
              <w:spacing w:before="20" w:after="20"/>
              <w:jc w:val="left"/>
              <w:rPr>
                <w:sz w:val="18"/>
                <w:szCs w:val="18"/>
              </w:rPr>
            </w:pPr>
            <w:r>
              <w:rPr>
                <w:color w:val="FFFFFF" w:themeColor="background1"/>
                <w:sz w:val="18"/>
              </w:rPr>
              <w:t>Institucioni përgjegjës</w:t>
            </w:r>
          </w:p>
        </w:tc>
        <w:tc>
          <w:tcPr>
            <w:tcW w:w="7139" w:type="dxa"/>
            <w:vAlign w:val="center"/>
          </w:tcPr>
          <w:p w14:paraId="6190C4D5" w14:textId="5AC005CA"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ME</w:t>
            </w:r>
          </w:p>
        </w:tc>
      </w:tr>
      <w:tr w:rsidR="005C57AD" w:rsidRPr="004A64EF" w14:paraId="7539CA4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6FD4AA0" w14:textId="77777777" w:rsidR="005C57AD" w:rsidRPr="004A64EF" w:rsidRDefault="005C57AD">
            <w:pPr>
              <w:spacing w:before="20" w:after="20"/>
              <w:jc w:val="left"/>
              <w:rPr>
                <w:color w:val="FFFFFF" w:themeColor="background1"/>
                <w:sz w:val="18"/>
                <w:szCs w:val="18"/>
              </w:rPr>
            </w:pPr>
            <w:r>
              <w:rPr>
                <w:color w:val="FFFFFF" w:themeColor="background1"/>
                <w:sz w:val="18"/>
              </w:rPr>
              <w:t>Treguesit e progresit</w:t>
            </w:r>
          </w:p>
        </w:tc>
        <w:tc>
          <w:tcPr>
            <w:tcW w:w="7139" w:type="dxa"/>
            <w:vAlign w:val="center"/>
          </w:tcPr>
          <w:p w14:paraId="4E24CF84"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Kursimet përfundimtare të energjisë (ktoe); kursimet primare të energjisë (ktoe); pjesëmarrja e burimeve të ripërtëritshme në Ngrohjen Qendrore</w:t>
            </w:r>
          </w:p>
        </w:tc>
      </w:tr>
      <w:tr w:rsidR="005C57AD" w:rsidRPr="00976D33" w14:paraId="6827DEEB" w14:textId="77777777" w:rsidTr="00913758">
        <w:tc>
          <w:tcPr>
            <w:cnfStyle w:val="001000000000" w:firstRow="0" w:lastRow="0" w:firstColumn="1" w:lastColumn="0" w:oddVBand="0" w:evenVBand="0" w:oddHBand="0" w:evenHBand="0" w:firstRowFirstColumn="0" w:firstRowLastColumn="0" w:lastRowFirstColumn="0" w:lastRowLastColumn="0"/>
            <w:tcW w:w="2425" w:type="dxa"/>
          </w:tcPr>
          <w:p w14:paraId="4512D386" w14:textId="1A68268D" w:rsidR="005C57AD" w:rsidRPr="004A64EF" w:rsidRDefault="005C57AD">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39" w:type="dxa"/>
          </w:tcPr>
          <w:p w14:paraId="7E4996B7" w14:textId="77777777" w:rsidR="005C57AD" w:rsidRPr="00976D33"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Efiçienca e energjisë, siguria energjetike, tregu i brendshëm energjetik </w:t>
            </w:r>
          </w:p>
        </w:tc>
      </w:tr>
    </w:tbl>
    <w:p w14:paraId="5C9FC1B3" w14:textId="77777777" w:rsidR="005C57AD" w:rsidRPr="00976D33" w:rsidRDefault="005C57AD" w:rsidP="005C57AD">
      <w:pPr>
        <w:pStyle w:val="Heading4"/>
        <w:spacing w:before="120"/>
        <w:ind w:left="714" w:hanging="357"/>
      </w:pPr>
      <w:r>
        <w:t xml:space="preserve">Kur është e aplikueshme, masat specifike për promovimin e përdorimit të energjisë nga biomasa, veçanërisht për mobilizimin e ri të biomasës duke marrë parasysh: </w:t>
      </w:r>
    </w:p>
    <w:p w14:paraId="77D6D22E" w14:textId="77777777" w:rsidR="005C57AD" w:rsidRPr="00976D33" w:rsidRDefault="005C57AD" w:rsidP="005C57AD">
      <w:pPr>
        <w:spacing w:after="197"/>
        <w:ind w:left="1867" w:hanging="307"/>
        <w:rPr>
          <w:rFonts w:asciiTheme="majorHAnsi" w:eastAsiaTheme="majorEastAsia" w:hAnsiTheme="majorHAnsi" w:cstheme="majorBidi"/>
          <w:i/>
          <w:iCs/>
          <w:color w:val="013A57" w:themeColor="accent1" w:themeShade="BF"/>
        </w:rPr>
      </w:pPr>
      <w:r>
        <w:t xml:space="preserve">—  </w:t>
      </w:r>
      <w:r>
        <w:rPr>
          <w:rFonts w:asciiTheme="majorHAnsi" w:hAnsiTheme="majorHAnsi"/>
          <w:i/>
          <w:color w:val="013A57" w:themeColor="accent1" w:themeShade="BF"/>
        </w:rPr>
        <w:t xml:space="preserve">disponueshmërinë e biomasës, duke përfshirë biomasën e qëndrueshme: si potencialin vendore ashtu edhe importet nga vendet e treta </w:t>
      </w:r>
    </w:p>
    <w:p w14:paraId="074A2CF8" w14:textId="77777777" w:rsidR="005C57AD" w:rsidRPr="00976D33" w:rsidRDefault="005C57AD" w:rsidP="005C57AD">
      <w:pPr>
        <w:spacing w:after="60"/>
      </w:pPr>
      <w:r>
        <w:t xml:space="preserve">Një shembull i shkëlqyer i promovimit të përdorimit të energjisë nga biomasa është termocentrali më i fundit i kombinuar për prodhim të ngrohjes dhe energjisë i ndërtuar kohët e fundit në Gjakovë, që funksionon tërësisht me biomasë nga mbetjet pyjore, i cili ka zëvendësuar impiantin e vjetër të prodhimit me mazut si lëndë djegëse.  </w:t>
      </w:r>
    </w:p>
    <w:p w14:paraId="43ABDC1E" w14:textId="77777777" w:rsidR="005C57AD" w:rsidRPr="00976D33" w:rsidRDefault="005C57AD" w:rsidP="005C57AD">
      <w:pPr>
        <w:spacing w:after="40"/>
        <w:ind w:left="1857" w:hanging="302"/>
        <w:rPr>
          <w:rFonts w:asciiTheme="majorHAnsi" w:eastAsiaTheme="majorEastAsia" w:hAnsiTheme="majorHAnsi" w:cstheme="majorBidi"/>
          <w:i/>
          <w:iCs/>
          <w:color w:val="013A57" w:themeColor="accent1" w:themeShade="BF"/>
        </w:rPr>
      </w:pPr>
      <w:r>
        <w:t xml:space="preserve">—  </w:t>
      </w:r>
      <w:r>
        <w:rPr>
          <w:rFonts w:asciiTheme="majorHAnsi" w:hAnsiTheme="majorHAnsi"/>
          <w:i/>
          <w:color w:val="013A57" w:themeColor="accent1" w:themeShade="BF"/>
        </w:rPr>
        <w:t xml:space="preserve">përdorimet të tjera të biomasës nga sektorët tjerë (bujqësia dhe sektorët e bazuar në pyje); si dhe masat për qëndrueshmërinë e prodhimit dhe përdorimit të biomasës </w:t>
      </w:r>
    </w:p>
    <w:p w14:paraId="2AAB3ACA" w14:textId="77777777" w:rsidR="005C57AD" w:rsidRPr="00976D33" w:rsidRDefault="005C57AD" w:rsidP="005C57AD">
      <w:pPr>
        <w:spacing w:after="60"/>
      </w:pPr>
      <w:r>
        <w:t>Aktualisht, një pjesë e madhe e ngrohjes së banesave në Kosovë mbështetet në biomasë pyjore të nxjerrë, kryesisht ilegalisht, nga pyjet. Qeveria pranon se përdorimi i biomasës duhet të bazohet në prodhim të qëndrueshëm dhe propozon një sërë masash për të adresuar këtë çështje. Së pari, nxjerrja e druve të lëndë djegëse duhet të reduktohet nëpërmjet vënies në përdorim të teknologjive më efikase dhe më të qëndrueshme siç janë pompat termike dhe stufat më efiçiente të biomasës. Së dyti, përmirësimi i menaxhimit të pyjeve siç është zbatimi i planeve afatgjata të menaxhimit do të reduktojë nxjerrjen e paligjshme të biomasës pyjore dhe do të përmirësojë qëndrueshmërinë e prodhimit të biomasës.</w:t>
      </w:r>
    </w:p>
    <w:p w14:paraId="10C74771" w14:textId="71965D84" w:rsidR="005C57AD" w:rsidRPr="00976D33" w:rsidRDefault="005C57AD" w:rsidP="00FF705C">
      <w:pPr>
        <w:spacing w:after="60"/>
      </w:pPr>
      <w:r>
        <w:br w:type="page"/>
      </w:r>
    </w:p>
    <w:p w14:paraId="480C7BFD" w14:textId="77777777" w:rsidR="005C57AD" w:rsidRPr="00976D33" w:rsidRDefault="005C57AD" w:rsidP="005C57AD">
      <w:pPr>
        <w:pStyle w:val="Heading2"/>
      </w:pPr>
      <w:bookmarkStart w:id="206" w:name="_Toc71271816"/>
      <w:bookmarkStart w:id="207" w:name="_Toc182302288"/>
      <w:r>
        <w:lastRenderedPageBreak/>
        <w:t>Dimensioni i efiçiencës së energjisë</w:t>
      </w:r>
      <w:bookmarkEnd w:id="206"/>
      <w:bookmarkEnd w:id="207"/>
      <w:r>
        <w:t xml:space="preserve"> </w:t>
      </w:r>
    </w:p>
    <w:p w14:paraId="21FD6CC2" w14:textId="556D4482" w:rsidR="005C57AD" w:rsidRPr="00976D33" w:rsidRDefault="001F2EAA" w:rsidP="00AF7BBF">
      <w:pPr>
        <w:pStyle w:val="Heading3"/>
        <w:numPr>
          <w:ilvl w:val="0"/>
          <w:numId w:val="78"/>
        </w:numPr>
      </w:pPr>
      <w:bookmarkStart w:id="208" w:name="_Toc182302289"/>
      <w:r>
        <w:t>Transpozimi dhe zbatimi i politikave të BE-së për efiçiencën e energjisë</w:t>
      </w:r>
      <w:bookmarkEnd w:id="208"/>
    </w:p>
    <w:p w14:paraId="12420BC5" w14:textId="75D90383" w:rsidR="005C57AD" w:rsidRPr="00976D33" w:rsidRDefault="005C57AD" w:rsidP="005C57AD">
      <w:r>
        <w:t>Ligji për Efiçiencën e Energjisë transpozon pjesërisht Direktivën 2012/27/BE e 25 tetorit 2012 për efiçiencën e energjisë, të ndryshuar me Direktivën (BE) 2018/2002. Metodologjia për llogaritjen e kursimeve kombëtare të efiçiencës së energjisë buron nga Strategjia Kombëtare e Energjisë, e cila është përshtatur gjithashtu sipas Direktivës së rishikuar 2012/27/BE.</w:t>
      </w:r>
      <w:r>
        <w:tab/>
      </w:r>
      <w:r>
        <w:br/>
      </w:r>
    </w:p>
    <w:tbl>
      <w:tblPr>
        <w:tblStyle w:val="GridTable5Dark-Accent1"/>
        <w:tblW w:w="0" w:type="auto"/>
        <w:tblLook w:val="04A0" w:firstRow="1" w:lastRow="0" w:firstColumn="1" w:lastColumn="0" w:noHBand="0" w:noVBand="1"/>
      </w:tblPr>
      <w:tblGrid>
        <w:gridCol w:w="2425"/>
        <w:gridCol w:w="7139"/>
      </w:tblGrid>
      <w:tr w:rsidR="00C539A0" w:rsidRPr="004A64EF" w14:paraId="0E2D6922" w14:textId="77777777" w:rsidTr="7A23F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0ACA4E60" w14:textId="26867FD1" w:rsidR="00C539A0" w:rsidRPr="004A64EF" w:rsidRDefault="00C539A0" w:rsidP="00C539A0">
            <w:pPr>
              <w:spacing w:before="20" w:after="20"/>
              <w:jc w:val="left"/>
              <w:rPr>
                <w:rFonts w:cs="Arial"/>
                <w:color w:val="FFFFFF" w:themeColor="background1"/>
                <w:sz w:val="18"/>
                <w:szCs w:val="18"/>
              </w:rPr>
            </w:pPr>
            <w:r>
              <w:rPr>
                <w:color w:val="FFFFFF" w:themeColor="background1"/>
                <w:sz w:val="18"/>
              </w:rPr>
              <w:t>PM 22: Obligimi për efiçiencë të energjisë</w:t>
            </w:r>
          </w:p>
        </w:tc>
      </w:tr>
      <w:tr w:rsidR="00C539A0" w:rsidRPr="004A64EF" w14:paraId="13CF483E" w14:textId="77777777" w:rsidTr="7A23F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07F54CE0" w14:textId="70A6728C" w:rsidR="00C539A0" w:rsidRPr="004A64EF" w:rsidRDefault="00C539A0" w:rsidP="00C539A0">
            <w:pPr>
              <w:spacing w:before="20" w:after="20"/>
              <w:jc w:val="left"/>
              <w:rPr>
                <w:rFonts w:cs="Arial"/>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 xml:space="preserve">Neni 5 i Projektligjit </w:t>
            </w:r>
            <w:r>
              <w:rPr>
                <w:color w:val="FFFFFF" w:themeColor="background1"/>
                <w:sz w:val="18"/>
              </w:rPr>
              <w:t xml:space="preserve">për Efiçiencën e Energjisë (EE) </w:t>
            </w:r>
            <w:r>
              <w:rPr>
                <w:b w:val="0"/>
                <w:color w:val="FFFFFF" w:themeColor="background1"/>
                <w:sz w:val="18"/>
              </w:rPr>
              <w:t>përcakton skemën e obligimit të efiçiencës së energjisë (OEE) që synon vendosjen e caqeve vjetore të kursimit të energjisë duke filluar nga viti 2024, e llogaritur si 0.8% e konsumit mesatar të energjisë përfundimtare (pa përfshirë transportin) nga vitit 2019, 2020 dhe 2021 (qasja jonë e modelimit ndryshon nga Ligji për EE, pasi kjo masë bazohet në vlerat në Strategjinë Kombëtare të Energjisë ku mesatarja e viteve 2018-2020 përdoret si vit bazë). Kjo skemë vendosë obligime për distributorët dhe furnizuesit e energjisë për të arritur kursime të specifikuara të energjisë me transparencë, mosdiskriminim dhe verifikim të masave të efiçiencës së energjisë. Metodologjia për përcaktimin e kursimeve të energjisë, përzgjedhjen e palëve të detyruara dhe vendosjen e sistemeve të matjes dhe verifikimit do të detajohet në legjislacionin dytësor, duke promovuar praktikat e qëndrueshme të energjisë ndërsa ruhet zgjedhja e konsumatorit. Në lidhje me kërkesat për të rishikuar zbatimin e EEOS-së çdo tre vjet, realizimi i një vlerësimi gjinor pas përfundimit si pjesë e procesit të vlerësimit dhe përfshirja e gjetjeve të tij në planet e ardhshme do të rrisin efektivitetin e politikave të EEOS-së.</w:t>
            </w:r>
          </w:p>
          <w:p w14:paraId="79407D2E" w14:textId="77777777" w:rsidR="005373F6" w:rsidRPr="004A64EF" w:rsidRDefault="005373F6" w:rsidP="00C539A0">
            <w:pPr>
              <w:spacing w:before="20" w:after="20"/>
              <w:jc w:val="left"/>
              <w:rPr>
                <w:rFonts w:cs="Arial"/>
                <w:color w:val="FFFFFF" w:themeColor="background1"/>
                <w:sz w:val="18"/>
                <w:szCs w:val="18"/>
              </w:rPr>
            </w:pPr>
          </w:p>
          <w:p w14:paraId="7F26EFED" w14:textId="57B6AF81" w:rsidR="005373F6" w:rsidRPr="004A64EF" w:rsidRDefault="000B4171" w:rsidP="000B4171">
            <w:pPr>
              <w:spacing w:before="20" w:after="20"/>
              <w:jc w:val="left"/>
              <w:rPr>
                <w:rFonts w:cs="Arial"/>
                <w:b w:val="0"/>
                <w:bCs w:val="0"/>
                <w:color w:val="FFFFFF" w:themeColor="background1"/>
                <w:sz w:val="18"/>
                <w:szCs w:val="18"/>
              </w:rPr>
            </w:pPr>
            <w:r>
              <w:rPr>
                <w:b w:val="0"/>
                <w:color w:val="FFFFFF" w:themeColor="background1"/>
                <w:sz w:val="18"/>
              </w:rPr>
              <w:t>Qeveria e Kosovës mund të zbatojë masa alternative të politikave për të arritur caqet kombëtarë për kursimin e energjisë siç përshkruhet në Projektligjin e saj për EE. Këto masa mund të përfshijnë auditimet energjetike të detyrueshme, programe trajnimi dhe standarde për efiçiencën e energjisë në pajisjet shtëpiake, të gjitha me qëllim të reduktimit të konsumit të energjisë finale ose primare përmes metodave të miratuara. Ministria e Ekonomisë është përgjegjëse për publikimin e të dhënave vjetore mbi kursimin e energjisë dhe parandalimin e numërimit të dyfishtë të kursimeve, ndërkohë që monitoron dhe siguron progres përmes sistemeve të vendosura të kontrollit.</w:t>
            </w:r>
          </w:p>
        </w:tc>
      </w:tr>
      <w:tr w:rsidR="00C539A0" w:rsidRPr="004A64EF" w14:paraId="0B86F322" w14:textId="77777777" w:rsidTr="7A23FCD7">
        <w:tc>
          <w:tcPr>
            <w:cnfStyle w:val="001000000000" w:firstRow="0" w:lastRow="0" w:firstColumn="1" w:lastColumn="0" w:oddVBand="0" w:evenVBand="0" w:oddHBand="0" w:evenHBand="0" w:firstRowFirstColumn="0" w:firstRowLastColumn="0" w:lastRowFirstColumn="0" w:lastRowLastColumn="0"/>
            <w:tcW w:w="2425" w:type="dxa"/>
            <w:vAlign w:val="center"/>
          </w:tcPr>
          <w:p w14:paraId="121330CB" w14:textId="77777777" w:rsidR="00C539A0" w:rsidRPr="004A64EF" w:rsidRDefault="00C539A0" w:rsidP="00C539A0">
            <w:pPr>
              <w:spacing w:before="20" w:after="20"/>
              <w:jc w:val="left"/>
              <w:rPr>
                <w:rFonts w:cs="Arial"/>
                <w:color w:val="FFFFFF" w:themeColor="background1"/>
                <w:sz w:val="18"/>
                <w:szCs w:val="18"/>
              </w:rPr>
            </w:pPr>
            <w:r>
              <w:rPr>
                <w:color w:val="FFFFFF" w:themeColor="background1"/>
                <w:sz w:val="18"/>
              </w:rPr>
              <w:t>Sektori/lloji</w:t>
            </w:r>
          </w:p>
        </w:tc>
        <w:tc>
          <w:tcPr>
            <w:tcW w:w="7139" w:type="dxa"/>
            <w:vAlign w:val="center"/>
          </w:tcPr>
          <w:p w14:paraId="05438D0E" w14:textId="77777777" w:rsidR="00C539A0" w:rsidRPr="004A64EF" w:rsidRDefault="00C539A0" w:rsidP="00C539A0">
            <w:pPr>
              <w:spacing w:before="20" w:after="2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rPr>
              <w:t>Të gjithë sektorët (përjashtuar transportin dhe një pjesë të industrisë sipas Shtojcës I të Direktivës 2003/87/EC)</w:t>
            </w:r>
          </w:p>
        </w:tc>
      </w:tr>
      <w:tr w:rsidR="00C539A0" w:rsidRPr="004A64EF" w14:paraId="229DA7A5" w14:textId="77777777" w:rsidTr="7A23F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32A16CC" w14:textId="66087DE5" w:rsidR="00C539A0" w:rsidRPr="004A64EF" w:rsidRDefault="00347E6E" w:rsidP="00C539A0">
            <w:pPr>
              <w:spacing w:before="20" w:after="20"/>
              <w:jc w:val="left"/>
              <w:rPr>
                <w:rFonts w:cs="Arial"/>
                <w:color w:val="FFFFFF" w:themeColor="background1"/>
                <w:sz w:val="18"/>
                <w:szCs w:val="18"/>
              </w:rPr>
            </w:pPr>
            <w:r>
              <w:rPr>
                <w:color w:val="FFFFFF" w:themeColor="background1"/>
                <w:sz w:val="18"/>
              </w:rPr>
              <w:t>Statusi i implementimit</w:t>
            </w:r>
          </w:p>
        </w:tc>
        <w:tc>
          <w:tcPr>
            <w:tcW w:w="7139" w:type="dxa"/>
            <w:vAlign w:val="center"/>
          </w:tcPr>
          <w:p w14:paraId="10B979D6" w14:textId="77777777" w:rsidR="00C539A0" w:rsidRPr="004A64EF" w:rsidRDefault="00C539A0" w:rsidP="00C539A0">
            <w:pPr>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rPr>
              <w:t xml:space="preserve">Në zbatim </w:t>
            </w:r>
          </w:p>
          <w:p w14:paraId="3683C588" w14:textId="70ACBABB" w:rsidR="00C539A0" w:rsidRPr="004A64EF" w:rsidRDefault="00C539A0" w:rsidP="00C539A0">
            <w:pPr>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rPr>
              <w:t>Neni 5 (4) i Projektligjit për EE mandaton Qeverinë, me propozimin e Ministrisë së Ekonomisë, të miratojë legjislacionin sekondar që përcakton së paku:</w:t>
            </w:r>
          </w:p>
          <w:p w14:paraId="783DD47C" w14:textId="77777777" w:rsidR="00C539A0" w:rsidRPr="004A64EF" w:rsidRDefault="00C539A0" w:rsidP="00C539A0">
            <w:pPr>
              <w:numPr>
                <w:ilvl w:val="0"/>
                <w:numId w:val="85"/>
              </w:numPr>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rPr>
              <w:t>Metodologjinë për përcaktimin e sasisë së kursimeve të energjisë të arritura në kuadër të skemës së obligimit të efiçiencës së energjisë, duke përfshirë afatin për arritjen e këtyre kursimeve.</w:t>
            </w:r>
          </w:p>
          <w:p w14:paraId="770D9054" w14:textId="77777777" w:rsidR="00C539A0" w:rsidRPr="004A64EF" w:rsidRDefault="00C539A0" w:rsidP="00C539A0">
            <w:pPr>
              <w:numPr>
                <w:ilvl w:val="0"/>
                <w:numId w:val="85"/>
              </w:numPr>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rPr>
              <w:t>Procedurat që ua mundësojnë furnizuesve dhe distributorëve të energjisë të arrijnë kursime të energjisë përmes masave të ndryshme pa reduktuar sasinë absolute të energjisë së shitur.</w:t>
            </w:r>
          </w:p>
          <w:p w14:paraId="5E66ED4F" w14:textId="77777777" w:rsidR="00C539A0" w:rsidRPr="004A64EF" w:rsidRDefault="00C539A0" w:rsidP="00C539A0">
            <w:pPr>
              <w:numPr>
                <w:ilvl w:val="0"/>
                <w:numId w:val="85"/>
              </w:numPr>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rPr>
              <w:t>Procesi dhe kriteret për palët e detyruara për të blerë një pjesë ose të gjitha detyrimet e tyre duke transferuar një shumë përkatëse me një normë të sheshtë për ktoe në FKEE.</w:t>
            </w:r>
          </w:p>
          <w:p w14:paraId="2DAAE736" w14:textId="33B1446C" w:rsidR="00C539A0" w:rsidRPr="004A64EF" w:rsidRDefault="00C539A0" w:rsidP="00C539A0">
            <w:pPr>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rPr>
              <w:t>Për më tepër, legjislacioni do të trajtojë aspektet e mëposhtme të përshkruara në nenin 5 (5.1 - 5.9):</w:t>
            </w:r>
          </w:p>
          <w:p w14:paraId="1074D198" w14:textId="77777777" w:rsidR="00C539A0" w:rsidRPr="004A64EF" w:rsidRDefault="00C539A0" w:rsidP="00C539A0">
            <w:pPr>
              <w:numPr>
                <w:ilvl w:val="0"/>
                <w:numId w:val="85"/>
              </w:numPr>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rPr>
              <w:t>Si të llogariten kursimet e energjisë bazuar në konsumin final ose primar të energjisë duke përdorur faktorët e konvertimit të publikuar nga Ministria.</w:t>
            </w:r>
          </w:p>
          <w:p w14:paraId="6C9978ED" w14:textId="77777777" w:rsidR="00C539A0" w:rsidRPr="004A64EF" w:rsidRDefault="00C539A0" w:rsidP="00C539A0">
            <w:pPr>
              <w:numPr>
                <w:ilvl w:val="0"/>
                <w:numId w:val="85"/>
              </w:numPr>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rPr>
              <w:t>Kriteret për përzgjedhjen e palëve të obliguara bazuar në faktorë objektivë dhe jodiskriminues.</w:t>
            </w:r>
          </w:p>
          <w:p w14:paraId="56C10B97" w14:textId="77777777" w:rsidR="00C539A0" w:rsidRPr="004A64EF" w:rsidRDefault="00C539A0" w:rsidP="00C539A0">
            <w:pPr>
              <w:numPr>
                <w:ilvl w:val="0"/>
                <w:numId w:val="85"/>
              </w:numPr>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rPr>
              <w:t>Përcaktimi transparent i caqeve të kursimit të energjisë dhe palëve përgjegjëse.</w:t>
            </w:r>
          </w:p>
          <w:p w14:paraId="46E6847C" w14:textId="77777777" w:rsidR="00C539A0" w:rsidRPr="004A64EF" w:rsidRDefault="00C539A0" w:rsidP="00C539A0">
            <w:pPr>
              <w:numPr>
                <w:ilvl w:val="0"/>
                <w:numId w:val="85"/>
              </w:numPr>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rPr>
              <w:t>Metodat dhe parimet e zakonshme për llogaritjen e kursimeve të energjisë.</w:t>
            </w:r>
          </w:p>
          <w:p w14:paraId="147560B7" w14:textId="77777777" w:rsidR="00C539A0" w:rsidRPr="004A64EF" w:rsidRDefault="00C539A0" w:rsidP="00C539A0">
            <w:pPr>
              <w:numPr>
                <w:ilvl w:val="0"/>
                <w:numId w:val="85"/>
              </w:numPr>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rPr>
              <w:t>Krijimi i sistemeve të matjes, kontrollit dhe verifikimit për masat për përmirësimin e efiçiencës së energjisë.</w:t>
            </w:r>
          </w:p>
          <w:p w14:paraId="760C13E2" w14:textId="77777777" w:rsidR="00C539A0" w:rsidRPr="004A64EF" w:rsidRDefault="00C539A0" w:rsidP="00C539A0">
            <w:pPr>
              <w:numPr>
                <w:ilvl w:val="0"/>
                <w:numId w:val="85"/>
              </w:numPr>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rPr>
              <w:t>Marrja në konsideratë e kursimeve të certifikuara të energjisë të arritura nga ofruesit e shërbimeve të energjisë të palëve të treta.</w:t>
            </w:r>
          </w:p>
          <w:p w14:paraId="4863C946" w14:textId="77777777" w:rsidR="00C539A0" w:rsidRPr="004A64EF" w:rsidRDefault="00C539A0" w:rsidP="00C539A0">
            <w:pPr>
              <w:numPr>
                <w:ilvl w:val="0"/>
                <w:numId w:val="85"/>
              </w:numPr>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rPr>
              <w:t>Përshtatja e kursimeve të energjisë të marra në një vit të caktuar sikur të kishte ndodhur në vitet e mëparshme ose të mëvonshme.</w:t>
            </w:r>
          </w:p>
          <w:p w14:paraId="372D6C28" w14:textId="77777777" w:rsidR="00C539A0" w:rsidRPr="004A64EF" w:rsidRDefault="00C539A0" w:rsidP="00C539A0">
            <w:pPr>
              <w:numPr>
                <w:ilvl w:val="0"/>
                <w:numId w:val="85"/>
              </w:numPr>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rPr>
              <w:t>Publikimi i listës së palëve të obliguara dhe përcaktimi i kërkesave minimale të tyre dhe obligimet për raportim.</w:t>
            </w:r>
          </w:p>
          <w:p w14:paraId="63A211A5" w14:textId="77777777" w:rsidR="00C539A0" w:rsidRDefault="00C539A0" w:rsidP="00C539A0">
            <w:pPr>
              <w:numPr>
                <w:ilvl w:val="0"/>
                <w:numId w:val="85"/>
              </w:numPr>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rPr>
              <w:t>Kërkesat e raportimit vjetor për palët e obliguara, duke përfshirë publikimin e raporteve të dorëzuara të kursimit të energjisë nga Ministria.</w:t>
            </w:r>
          </w:p>
          <w:p w14:paraId="5728CB86" w14:textId="123A1E54" w:rsidR="000B4171" w:rsidRPr="000B4171" w:rsidRDefault="000B4171" w:rsidP="000B4171">
            <w:pPr>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rPr>
              <w:lastRenderedPageBreak/>
              <w:t>Masat alternative të politikave janë parashikuar në nenin 6 të Ligjit për EE. Kriteret për masat e politikave duhet të:</w:t>
            </w:r>
          </w:p>
          <w:p w14:paraId="5314C4E5" w14:textId="78D59DB3" w:rsidR="000B4171" w:rsidRPr="000B4171" w:rsidRDefault="000B4171" w:rsidP="000B4171">
            <w:pPr>
              <w:numPr>
                <w:ilvl w:val="0"/>
                <w:numId w:val="85"/>
              </w:numPr>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rPr>
              <w:t xml:space="preserve">Sigurojnë përputhshmërinë me caqet kombëtarë për kursimin e energjisë </w:t>
            </w:r>
          </w:p>
          <w:p w14:paraId="5ED270A3" w14:textId="360FD171" w:rsidR="000B4171" w:rsidRPr="000B4171" w:rsidRDefault="000B4171" w:rsidP="000B4171">
            <w:pPr>
              <w:numPr>
                <w:ilvl w:val="0"/>
                <w:numId w:val="85"/>
              </w:numPr>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rPr>
              <w:tab/>
              <w:t xml:space="preserve">Llogarisin kursimet e energjisë duke përdorur faktorët e konvertimit të publikuar nga Ministria </w:t>
            </w:r>
          </w:p>
          <w:p w14:paraId="3610190C" w14:textId="17E2A7CE" w:rsidR="000B4171" w:rsidRPr="004A64EF" w:rsidRDefault="000B4171" w:rsidP="000B4171">
            <w:pPr>
              <w:numPr>
                <w:ilvl w:val="0"/>
                <w:numId w:val="85"/>
              </w:numPr>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rPr>
              <w:tab/>
              <w:t>Përdorin metoda dhe parime standarde nga legjislacioni i Ministrisë</w:t>
            </w:r>
          </w:p>
        </w:tc>
      </w:tr>
      <w:tr w:rsidR="00C539A0" w:rsidRPr="004A64EF" w14:paraId="0FBCF6AD" w14:textId="77777777" w:rsidTr="7A23FCD7">
        <w:tc>
          <w:tcPr>
            <w:cnfStyle w:val="001000000000" w:firstRow="0" w:lastRow="0" w:firstColumn="1" w:lastColumn="0" w:oddVBand="0" w:evenVBand="0" w:oddHBand="0" w:evenHBand="0" w:firstRowFirstColumn="0" w:firstRowLastColumn="0" w:lastRowFirstColumn="0" w:lastRowLastColumn="0"/>
            <w:tcW w:w="2425" w:type="dxa"/>
            <w:vAlign w:val="center"/>
          </w:tcPr>
          <w:p w14:paraId="153526F5" w14:textId="77777777" w:rsidR="00C539A0" w:rsidRPr="004A64EF" w:rsidRDefault="00C539A0" w:rsidP="00C539A0">
            <w:pPr>
              <w:spacing w:before="20" w:after="20"/>
              <w:jc w:val="left"/>
              <w:rPr>
                <w:rFonts w:cs="Arial"/>
                <w:color w:val="FFFFFF" w:themeColor="background1"/>
                <w:sz w:val="18"/>
                <w:szCs w:val="18"/>
              </w:rPr>
            </w:pPr>
            <w:r>
              <w:rPr>
                <w:color w:val="FFFFFF" w:themeColor="background1"/>
                <w:sz w:val="18"/>
              </w:rPr>
              <w:lastRenderedPageBreak/>
              <w:t>Efektet kuantitative</w:t>
            </w:r>
          </w:p>
        </w:tc>
        <w:tc>
          <w:tcPr>
            <w:tcW w:w="7139" w:type="dxa"/>
            <w:vAlign w:val="center"/>
          </w:tcPr>
          <w:p w14:paraId="30E41004" w14:textId="2D84912B" w:rsidR="003B478D" w:rsidRPr="004A64EF" w:rsidRDefault="008B358C" w:rsidP="00C539A0">
            <w:pPr>
              <w:spacing w:before="20" w:after="2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rPr>
              <w:t>Kursimet kumulative të energjisë finale prej 266.4 ktoe nga viti 2024 deri në vitin 2030 (duke përfshirë ato nga masat e veprimit të hershëm). Shih gjithashtu masat e politikave për klasat e ndërtimit përkatëse më poshtë (PM 24-25 dhe 32-33).</w:t>
            </w:r>
          </w:p>
          <w:p w14:paraId="33243974" w14:textId="3234138C" w:rsidR="00C539A0" w:rsidRPr="004A64EF" w:rsidRDefault="00024B71" w:rsidP="00C539A0">
            <w:pPr>
              <w:spacing w:before="20" w:after="2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rPr>
              <w:t xml:space="preserve">Burimi: vlerësimet e ekspertëve bazuar në Strategjinë e Energjisë dhe projektin e BRE  </w:t>
            </w:r>
          </w:p>
        </w:tc>
      </w:tr>
      <w:tr w:rsidR="00C539A0" w:rsidRPr="004A64EF" w14:paraId="1EAAD7EA" w14:textId="77777777" w:rsidTr="7A23F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F501506" w14:textId="77777777" w:rsidR="00C539A0" w:rsidRPr="004A64EF" w:rsidRDefault="00C539A0" w:rsidP="00C539A0">
            <w:pPr>
              <w:spacing w:before="20" w:after="20"/>
              <w:jc w:val="left"/>
              <w:rPr>
                <w:rFonts w:cs="Arial"/>
                <w:color w:val="FFFFFF" w:themeColor="background1"/>
                <w:sz w:val="18"/>
                <w:szCs w:val="18"/>
              </w:rPr>
            </w:pPr>
            <w:r>
              <w:rPr>
                <w:color w:val="FFFFFF" w:themeColor="background1"/>
                <w:sz w:val="18"/>
              </w:rPr>
              <w:t>Investimet</w:t>
            </w:r>
          </w:p>
        </w:tc>
        <w:tc>
          <w:tcPr>
            <w:tcW w:w="7139" w:type="dxa"/>
            <w:vAlign w:val="center"/>
          </w:tcPr>
          <w:p w14:paraId="1E4380A4" w14:textId="0ACAB564" w:rsidR="00C539A0" w:rsidRPr="004A64EF" w:rsidRDefault="00F07CA0" w:rsidP="00C539A0">
            <w:pPr>
              <w:spacing w:before="20" w:after="2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rPr>
              <w:t>Shih kostot e investimeve për klasat përkatëse të ndërtimit më poshtë (PM 24-25 dhe 32-33).</w:t>
            </w:r>
          </w:p>
        </w:tc>
      </w:tr>
      <w:tr w:rsidR="00C539A0" w:rsidRPr="004A64EF" w14:paraId="270952EB" w14:textId="77777777" w:rsidTr="7A23FCD7">
        <w:tc>
          <w:tcPr>
            <w:cnfStyle w:val="001000000000" w:firstRow="0" w:lastRow="0" w:firstColumn="1" w:lastColumn="0" w:oddVBand="0" w:evenVBand="0" w:oddHBand="0" w:evenHBand="0" w:firstRowFirstColumn="0" w:firstRowLastColumn="0" w:lastRowFirstColumn="0" w:lastRowLastColumn="0"/>
            <w:tcW w:w="2425" w:type="dxa"/>
            <w:vAlign w:val="center"/>
          </w:tcPr>
          <w:p w14:paraId="1B29F8A9" w14:textId="77777777" w:rsidR="00C539A0" w:rsidRPr="004A64EF" w:rsidRDefault="00C539A0" w:rsidP="00C539A0">
            <w:pPr>
              <w:spacing w:before="20" w:after="20"/>
              <w:jc w:val="left"/>
              <w:rPr>
                <w:rFonts w:cs="Arial"/>
                <w:color w:val="FFFFFF" w:themeColor="background1"/>
                <w:sz w:val="18"/>
                <w:szCs w:val="18"/>
              </w:rPr>
            </w:pPr>
            <w:r>
              <w:rPr>
                <w:color w:val="FFFFFF" w:themeColor="background1"/>
                <w:sz w:val="18"/>
              </w:rPr>
              <w:t>Institucioni përgjegjës</w:t>
            </w:r>
          </w:p>
        </w:tc>
        <w:tc>
          <w:tcPr>
            <w:tcW w:w="7139" w:type="dxa"/>
            <w:vAlign w:val="center"/>
          </w:tcPr>
          <w:p w14:paraId="6BF4BD26" w14:textId="65DEF105" w:rsidR="00C539A0" w:rsidRPr="004A64EF" w:rsidRDefault="00C539A0" w:rsidP="00C539A0">
            <w:pPr>
              <w:tabs>
                <w:tab w:val="left" w:pos="295"/>
              </w:tabs>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rPr>
              <w:t>Sipas nenit 43 (3) të Ligjit për EE, ME, brenda 12 muajve nga hyrja në fuqi e këtij ligji, i propozon Qeverisë miratimin e akteve nënligjore për skemën e obligimeve për efiçiencë të energjisë</w:t>
            </w:r>
            <w:r>
              <w:rPr>
                <w:sz w:val="18"/>
                <w:u w:val="single"/>
              </w:rPr>
              <w:t> </w:t>
            </w:r>
            <w:r>
              <w:rPr>
                <w:sz w:val="18"/>
              </w:rPr>
              <w:t>dhe metodologjinë e saj dhe/ose masat alternative të politikave, në koherencë me masat e planifikuara të PKEK-së, duke përfshirë procedurën për raportimin për implementimin e cakut kombëtar të efiçiencës së energjisë dhe për përcaktimin e kontributit të efiçiencës së energjisë për Sekretariatin e EnC-së. </w:t>
            </w:r>
          </w:p>
        </w:tc>
      </w:tr>
      <w:tr w:rsidR="00C539A0" w:rsidRPr="004A64EF" w14:paraId="0D3026A2" w14:textId="77777777" w:rsidTr="7A23F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2BBEBB71" w14:textId="77777777" w:rsidR="00C539A0" w:rsidRPr="004A64EF" w:rsidRDefault="00C539A0" w:rsidP="00C539A0">
            <w:pPr>
              <w:spacing w:before="20" w:after="20"/>
              <w:jc w:val="left"/>
              <w:rPr>
                <w:rFonts w:cs="Arial"/>
                <w:color w:val="FFFFFF" w:themeColor="background1"/>
                <w:sz w:val="18"/>
                <w:szCs w:val="18"/>
              </w:rPr>
            </w:pPr>
            <w:r>
              <w:rPr>
                <w:color w:val="FFFFFF" w:themeColor="background1"/>
                <w:sz w:val="18"/>
              </w:rPr>
              <w:t>Treguesit e progresit</w:t>
            </w:r>
          </w:p>
        </w:tc>
        <w:tc>
          <w:tcPr>
            <w:tcW w:w="7139" w:type="dxa"/>
            <w:vAlign w:val="center"/>
          </w:tcPr>
          <w:p w14:paraId="4F29AF1F" w14:textId="77777777" w:rsidR="00C539A0" w:rsidRPr="004A64EF" w:rsidRDefault="00C539A0" w:rsidP="00C539A0">
            <w:pPr>
              <w:spacing w:before="20" w:after="2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rPr>
              <w:t>Kursimet përfundimtare të energjisë (ktoe); kursimet primare të energjisë (ktoe)</w:t>
            </w:r>
          </w:p>
        </w:tc>
      </w:tr>
      <w:tr w:rsidR="00C539A0" w:rsidRPr="00976D33" w14:paraId="515DBDAA" w14:textId="77777777" w:rsidTr="7A23FCD7">
        <w:tc>
          <w:tcPr>
            <w:cnfStyle w:val="001000000000" w:firstRow="0" w:lastRow="0" w:firstColumn="1" w:lastColumn="0" w:oddVBand="0" w:evenVBand="0" w:oddHBand="0" w:evenHBand="0" w:firstRowFirstColumn="0" w:firstRowLastColumn="0" w:lastRowFirstColumn="0" w:lastRowLastColumn="0"/>
            <w:tcW w:w="2425" w:type="dxa"/>
          </w:tcPr>
          <w:p w14:paraId="0B46DDAF" w14:textId="751F65CF" w:rsidR="00C539A0" w:rsidRPr="004A64EF" w:rsidRDefault="00C539A0" w:rsidP="00C539A0">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39" w:type="dxa"/>
          </w:tcPr>
          <w:p w14:paraId="38B34B55" w14:textId="77777777" w:rsidR="00C539A0" w:rsidRPr="00976D33" w:rsidRDefault="00C539A0" w:rsidP="00C539A0">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Dekarbonizimi, siguria energjetike</w:t>
            </w:r>
          </w:p>
        </w:tc>
      </w:tr>
    </w:tbl>
    <w:p w14:paraId="14420F08" w14:textId="77777777" w:rsidR="005C57AD" w:rsidRPr="00976D33" w:rsidRDefault="005C57AD" w:rsidP="005C57AD"/>
    <w:p w14:paraId="45476B71" w14:textId="6561D219" w:rsidR="005C57AD" w:rsidRPr="00976D33" w:rsidRDefault="005C57AD" w:rsidP="005C57AD">
      <w:pPr>
        <w:pStyle w:val="Heading3"/>
      </w:pPr>
      <w:bookmarkStart w:id="209" w:name="_Toc71271818"/>
      <w:bookmarkStart w:id="210" w:name="_Toc182302290"/>
      <w:r>
        <w:t>Strategjia afatgjatë e rinovimit për rinovimin e stokut kombëtar të ndërtesave rezidenciale dhe jorezidenciale</w:t>
      </w:r>
      <w:bookmarkEnd w:id="209"/>
      <w:bookmarkEnd w:id="210"/>
    </w:p>
    <w:tbl>
      <w:tblPr>
        <w:tblStyle w:val="GridTable5Dark-Accent1"/>
        <w:tblW w:w="0" w:type="auto"/>
        <w:tblLook w:val="04A0" w:firstRow="1" w:lastRow="0" w:firstColumn="1" w:lastColumn="0" w:noHBand="0" w:noVBand="1"/>
      </w:tblPr>
      <w:tblGrid>
        <w:gridCol w:w="2425"/>
        <w:gridCol w:w="7139"/>
      </w:tblGrid>
      <w:tr w:rsidR="005C57AD" w:rsidRPr="004A64EF" w14:paraId="523EC47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5FF1971B" w14:textId="4878515C" w:rsidR="005C57AD" w:rsidRPr="004A64EF" w:rsidRDefault="0061575E">
            <w:pPr>
              <w:spacing w:before="20" w:after="20"/>
              <w:jc w:val="left"/>
              <w:rPr>
                <w:color w:val="FFFFFF" w:themeColor="background1"/>
                <w:sz w:val="18"/>
                <w:szCs w:val="18"/>
              </w:rPr>
            </w:pPr>
            <w:bookmarkStart w:id="211" w:name="_Toc71247185"/>
            <w:bookmarkStart w:id="212" w:name="_Toc138210162"/>
            <w:bookmarkStart w:id="213" w:name="_Toc138998463"/>
            <w:r>
              <w:rPr>
                <w:color w:val="FFFFFF" w:themeColor="background1"/>
                <w:sz w:val="18"/>
              </w:rPr>
              <w:t xml:space="preserve"> PM 23: Strategjia Kombëtare për Rinovimin e Ndërtesave</w:t>
            </w:r>
            <w:bookmarkEnd w:id="211"/>
            <w:bookmarkEnd w:id="212"/>
            <w:bookmarkEnd w:id="213"/>
          </w:p>
        </w:tc>
      </w:tr>
      <w:tr w:rsidR="005C57AD" w:rsidRPr="004A64EF" w14:paraId="177C08A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4D040B61" w14:textId="69B694A7" w:rsidR="005C57AD" w:rsidRPr="004A64EF" w:rsidRDefault="005C57AD">
            <w:pPr>
              <w:spacing w:before="20" w:after="20"/>
              <w:jc w:val="left"/>
              <w:rPr>
                <w:b w:val="0"/>
                <w:bCs w:val="0"/>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Ligji i ri për Performancën Energjetike në Ndërtesa në nenin 7 mandaton MMPHI-në, me mbështetjen e Ministrisë përgjegjëse për energji, që të zhvillojë një strategji afatgjatë për rinovimin e ndërtesave (SRN). Qëllimi i strategjisë është të mobilizojë investimin në rinovimin e stokut të ndërtesave kombëtare për të lehtësuar transformimin me kosto efektive të ndërtesave ekzistuese në ndërtesa me konsum afër zero energji. SRN do të përfshijë së paku elementet e mëposhtme tematike:</w:t>
            </w:r>
            <w:r>
              <w:rPr>
                <w:color w:val="FFFFFF" w:themeColor="background1"/>
                <w:sz w:val="18"/>
              </w:rPr>
              <w:t xml:space="preserve"> </w:t>
            </w:r>
          </w:p>
          <w:p w14:paraId="2F3575A3" w14:textId="10802C08" w:rsidR="005C57AD" w:rsidRPr="004A64EF" w:rsidRDefault="005C57AD" w:rsidP="00AF7BBF">
            <w:pPr>
              <w:pStyle w:val="ListParagraph"/>
              <w:numPr>
                <w:ilvl w:val="0"/>
                <w:numId w:val="34"/>
              </w:numPr>
              <w:spacing w:before="20" w:after="20"/>
              <w:rPr>
                <w:b w:val="0"/>
                <w:bCs w:val="0"/>
                <w:color w:val="FFFFFF" w:themeColor="background1"/>
                <w:sz w:val="18"/>
                <w:szCs w:val="18"/>
              </w:rPr>
            </w:pPr>
            <w:r>
              <w:rPr>
                <w:b w:val="0"/>
                <w:color w:val="FFFFFF" w:themeColor="background1"/>
                <w:sz w:val="18"/>
              </w:rPr>
              <w:t>Një përmbledhje e stokut kombëtar të ndërtesave duke përdorur të dhëna statistikore ose metoda të përshtatshme mostrimi për kategoritë e ndërtesave.</w:t>
            </w:r>
          </w:p>
          <w:p w14:paraId="30EEA92F" w14:textId="436CE5CE" w:rsidR="005C57AD" w:rsidRPr="004A64EF" w:rsidRDefault="005C57AD" w:rsidP="00AF7BBF">
            <w:pPr>
              <w:pStyle w:val="ListParagraph"/>
              <w:numPr>
                <w:ilvl w:val="0"/>
                <w:numId w:val="34"/>
              </w:numPr>
              <w:spacing w:before="20" w:after="20"/>
              <w:jc w:val="left"/>
              <w:rPr>
                <w:b w:val="0"/>
                <w:bCs w:val="0"/>
                <w:color w:val="FFFFFF" w:themeColor="background1"/>
                <w:sz w:val="18"/>
                <w:szCs w:val="18"/>
              </w:rPr>
            </w:pPr>
            <w:r>
              <w:rPr>
                <w:b w:val="0"/>
                <w:color w:val="FFFFFF" w:themeColor="background1"/>
                <w:sz w:val="18"/>
              </w:rPr>
              <w:t>Identifikimin e qasjeve me kosto efektive për rinovimet specifike për llojet e ndërtesave.</w:t>
            </w:r>
          </w:p>
          <w:p w14:paraId="4EDD480A" w14:textId="18A7B7D0" w:rsidR="005C57AD" w:rsidRPr="004A64EF" w:rsidRDefault="005C57AD" w:rsidP="00AF7BBF">
            <w:pPr>
              <w:pStyle w:val="ListParagraph"/>
              <w:numPr>
                <w:ilvl w:val="0"/>
                <w:numId w:val="34"/>
              </w:numPr>
              <w:spacing w:before="20" w:after="20"/>
              <w:jc w:val="left"/>
              <w:rPr>
                <w:b w:val="0"/>
                <w:bCs w:val="0"/>
                <w:color w:val="FFFFFF" w:themeColor="background1"/>
                <w:sz w:val="18"/>
                <w:szCs w:val="18"/>
              </w:rPr>
            </w:pPr>
            <w:r>
              <w:rPr>
                <w:b w:val="0"/>
                <w:color w:val="FFFFFF" w:themeColor="background1"/>
                <w:sz w:val="18"/>
              </w:rPr>
              <w:t>Politikat dhe masat për të stimuluar rinovimet e mëdha me kosto efektive, duke përfshirë qasjet me faza, dhe për të mbështetur masat dhe rinovimet e synuara</w:t>
            </w:r>
            <w:r>
              <w:rPr>
                <w:color w:val="FFFFFF" w:themeColor="background1"/>
                <w:sz w:val="18"/>
              </w:rPr>
              <w:t xml:space="preserve"> gjithëpërfshirëse me kosto efektive.</w:t>
            </w:r>
            <w:r>
              <w:rPr>
                <w:b w:val="0"/>
                <w:color w:val="FFFFFF" w:themeColor="background1"/>
                <w:sz w:val="18"/>
              </w:rPr>
              <w:t xml:space="preserve"> </w:t>
            </w:r>
          </w:p>
          <w:p w14:paraId="1A218AEA" w14:textId="1AF0DB35" w:rsidR="005C57AD" w:rsidRPr="004A64EF" w:rsidRDefault="005C57AD" w:rsidP="00AF7BBF">
            <w:pPr>
              <w:pStyle w:val="ListParagraph"/>
              <w:numPr>
                <w:ilvl w:val="0"/>
                <w:numId w:val="34"/>
              </w:numPr>
              <w:spacing w:before="20" w:after="20"/>
              <w:jc w:val="left"/>
              <w:rPr>
                <w:b w:val="0"/>
                <w:bCs w:val="0"/>
                <w:color w:val="FFFFFF" w:themeColor="background1"/>
                <w:sz w:val="18"/>
                <w:szCs w:val="18"/>
              </w:rPr>
            </w:pPr>
            <w:r>
              <w:rPr>
                <w:b w:val="0"/>
                <w:color w:val="FFFFFF" w:themeColor="background1"/>
                <w:sz w:val="18"/>
              </w:rPr>
              <w:t xml:space="preserve">Perspektiva e ardhshme për të udhëhequr vendimet e investimeve të individëve, industrisë ndërtimore dhe institucioneve financiare. </w:t>
            </w:r>
          </w:p>
          <w:p w14:paraId="13DB0056" w14:textId="61B234F0" w:rsidR="005C57AD" w:rsidRPr="004A64EF" w:rsidRDefault="005C57AD" w:rsidP="00AF7BBF">
            <w:pPr>
              <w:pStyle w:val="ListParagraph"/>
              <w:numPr>
                <w:ilvl w:val="0"/>
                <w:numId w:val="34"/>
              </w:numPr>
              <w:spacing w:before="20" w:after="20"/>
              <w:jc w:val="left"/>
              <w:rPr>
                <w:b w:val="0"/>
                <w:bCs w:val="0"/>
                <w:color w:val="FFFFFF" w:themeColor="background1"/>
                <w:sz w:val="18"/>
                <w:szCs w:val="18"/>
              </w:rPr>
            </w:pPr>
            <w:r>
              <w:rPr>
                <w:b w:val="0"/>
                <w:color w:val="FFFFFF" w:themeColor="background1"/>
                <w:sz w:val="18"/>
              </w:rPr>
              <w:t>Politikat dhe veprimet për të synuar të gjitha ndërtesat publike.</w:t>
            </w:r>
          </w:p>
          <w:p w14:paraId="7BF06F27" w14:textId="69184151" w:rsidR="005C57AD" w:rsidRPr="004A64EF" w:rsidRDefault="005C57AD" w:rsidP="00AF7BBF">
            <w:pPr>
              <w:pStyle w:val="ListParagraph"/>
              <w:numPr>
                <w:ilvl w:val="0"/>
                <w:numId w:val="34"/>
              </w:numPr>
              <w:spacing w:before="20" w:after="20"/>
              <w:jc w:val="left"/>
              <w:rPr>
                <w:b w:val="0"/>
                <w:color w:val="FFFFFF" w:themeColor="background1"/>
                <w:sz w:val="18"/>
                <w:szCs w:val="18"/>
              </w:rPr>
            </w:pPr>
            <w:r>
              <w:rPr>
                <w:b w:val="0"/>
                <w:color w:val="FFFFFF" w:themeColor="background1"/>
                <w:sz w:val="18"/>
              </w:rPr>
              <w:t>Vlerësimet e bazuara në dëshmi të kursimeve të pritshme të energjisë dhe përfitimeve më të gjera, duke përfshirë ato që lidhen me shëndetin, sigurinë dhe cilësinë e ajrit.</w:t>
            </w:r>
          </w:p>
          <w:p w14:paraId="4A25640C" w14:textId="3DB46DD6" w:rsidR="005C57AD" w:rsidRPr="004A64EF" w:rsidRDefault="005C57AD" w:rsidP="3F2FBDBF">
            <w:pPr>
              <w:spacing w:before="20" w:after="20"/>
              <w:jc w:val="left"/>
              <w:rPr>
                <w:b w:val="0"/>
                <w:color w:val="FFFFFF" w:themeColor="background1"/>
                <w:sz w:val="18"/>
                <w:szCs w:val="18"/>
              </w:rPr>
            </w:pPr>
          </w:p>
        </w:tc>
      </w:tr>
      <w:tr w:rsidR="005C57AD" w:rsidRPr="004A64EF" w14:paraId="3FA26DBB"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0C650F3E" w14:textId="77777777" w:rsidR="005C57AD" w:rsidRPr="004A64EF" w:rsidRDefault="005C57AD">
            <w:pPr>
              <w:spacing w:before="20" w:after="20"/>
              <w:jc w:val="left"/>
              <w:rPr>
                <w:color w:val="FFFFFF" w:themeColor="background1"/>
                <w:sz w:val="18"/>
                <w:szCs w:val="18"/>
              </w:rPr>
            </w:pPr>
            <w:r>
              <w:rPr>
                <w:color w:val="FFFFFF" w:themeColor="background1"/>
                <w:sz w:val="18"/>
              </w:rPr>
              <w:t>Sektori/lloji</w:t>
            </w:r>
          </w:p>
        </w:tc>
        <w:tc>
          <w:tcPr>
            <w:tcW w:w="7139" w:type="dxa"/>
            <w:vAlign w:val="center"/>
          </w:tcPr>
          <w:p w14:paraId="1C067AD1" w14:textId="77777777"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Energjetik/rregullator, teknik</w:t>
            </w:r>
          </w:p>
        </w:tc>
      </w:tr>
      <w:tr w:rsidR="005C57AD" w:rsidRPr="004A64EF" w14:paraId="64A2CEB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558758D" w14:textId="77777777" w:rsidR="005C57AD" w:rsidRPr="004A64EF" w:rsidRDefault="005C57AD">
            <w:pPr>
              <w:spacing w:before="20" w:after="20"/>
              <w:jc w:val="left"/>
              <w:rPr>
                <w:color w:val="FFFFFF" w:themeColor="background1"/>
                <w:sz w:val="18"/>
                <w:szCs w:val="18"/>
              </w:rPr>
            </w:pPr>
            <w:r>
              <w:rPr>
                <w:color w:val="FFFFFF" w:themeColor="background1"/>
                <w:sz w:val="18"/>
              </w:rPr>
              <w:t>Statusi i implementimit</w:t>
            </w:r>
          </w:p>
        </w:tc>
        <w:tc>
          <w:tcPr>
            <w:tcW w:w="7139" w:type="dxa"/>
            <w:vAlign w:val="center"/>
          </w:tcPr>
          <w:p w14:paraId="3DA27B2A" w14:textId="6DBCD0F0"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color w:val="auto"/>
                <w:sz w:val="18"/>
                <w:szCs w:val="18"/>
              </w:rPr>
            </w:pPr>
            <w:r>
              <w:rPr>
                <w:sz w:val="18"/>
              </w:rPr>
              <w:t xml:space="preserve">Në vitin 2020 u zhvillua një projekt SRN me ndihmën ndërkombëtare nga Banka Evropiane </w:t>
            </w:r>
            <w:r>
              <w:rPr>
                <w:color w:val="auto"/>
                <w:sz w:val="18"/>
              </w:rPr>
              <w:t>për Rindërtim dhe Zhvillim (BERZH) nën programin REEP Plus, por nuk u miratua nga Qeveria.</w:t>
            </w:r>
          </w:p>
          <w:p w14:paraId="1D5BC50A"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color w:val="auto"/>
                <w:sz w:val="18"/>
              </w:rPr>
              <w:t>Brenda 12 muajve nga hyrja në fuqi e ligjit, MMPHI duhet të propozojë SRN-në për miratim nga Qeveria.</w:t>
            </w:r>
          </w:p>
        </w:tc>
      </w:tr>
      <w:tr w:rsidR="005C57AD" w:rsidRPr="004A64EF" w14:paraId="3DF96CF1"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54E2657A" w14:textId="77777777" w:rsidR="005C57AD" w:rsidRPr="004A64EF" w:rsidRDefault="005C57AD">
            <w:pPr>
              <w:spacing w:before="20" w:after="20"/>
              <w:jc w:val="left"/>
              <w:rPr>
                <w:color w:val="FFFFFF" w:themeColor="background1"/>
                <w:sz w:val="18"/>
                <w:szCs w:val="18"/>
              </w:rPr>
            </w:pPr>
            <w:r>
              <w:rPr>
                <w:color w:val="FFFFFF" w:themeColor="background1"/>
                <w:sz w:val="18"/>
              </w:rPr>
              <w:t>Efektet kuantitative</w:t>
            </w:r>
          </w:p>
        </w:tc>
        <w:tc>
          <w:tcPr>
            <w:tcW w:w="7139" w:type="dxa"/>
            <w:vAlign w:val="center"/>
          </w:tcPr>
          <w:p w14:paraId="0C5BEF56" w14:textId="77777777"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Shih kursimet për klasat përkatëse të ndërtesave më poshtë</w:t>
            </w:r>
          </w:p>
        </w:tc>
      </w:tr>
      <w:tr w:rsidR="005C57AD" w:rsidRPr="004A64EF" w14:paraId="371D84E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24D523F5" w14:textId="77777777" w:rsidR="005C57AD" w:rsidRPr="004A64EF" w:rsidRDefault="005C57AD">
            <w:pPr>
              <w:spacing w:before="20" w:after="20"/>
              <w:jc w:val="left"/>
              <w:rPr>
                <w:color w:val="FFFFFF" w:themeColor="background1"/>
                <w:sz w:val="18"/>
                <w:szCs w:val="18"/>
              </w:rPr>
            </w:pPr>
            <w:r>
              <w:rPr>
                <w:color w:val="FFFFFF" w:themeColor="background1"/>
                <w:sz w:val="18"/>
              </w:rPr>
              <w:t>Investimet</w:t>
            </w:r>
          </w:p>
        </w:tc>
        <w:tc>
          <w:tcPr>
            <w:tcW w:w="7139" w:type="dxa"/>
            <w:vAlign w:val="center"/>
          </w:tcPr>
          <w:p w14:paraId="1FD12FA5" w14:textId="725459DC"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Shih kostot e investimit për klasat përkatëse të ndërtesave më poshtë. Për zhvillimin e strategjisë, pritet të ndahen 0.9 mil. euro për aktivitete mbështetëse, të financuara nga donatorët.  </w:t>
            </w:r>
            <w:r>
              <w:rPr>
                <w:sz w:val="18"/>
              </w:rPr>
              <w:cr/>
            </w:r>
            <w:r>
              <w:rPr>
                <w:sz w:val="18"/>
              </w:rPr>
              <w:br/>
              <w:t xml:space="preserve"> (Burimi: vlerësimet nga ekspertët)</w:t>
            </w:r>
          </w:p>
        </w:tc>
      </w:tr>
      <w:tr w:rsidR="005C57AD" w:rsidRPr="004A64EF" w14:paraId="182821DC"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0280D2CA" w14:textId="77777777" w:rsidR="005C57AD" w:rsidRPr="004A64EF" w:rsidRDefault="005C57AD">
            <w:pPr>
              <w:spacing w:before="20" w:after="20"/>
              <w:jc w:val="left"/>
              <w:rPr>
                <w:color w:val="FFFFFF" w:themeColor="background1"/>
                <w:sz w:val="18"/>
                <w:szCs w:val="18"/>
              </w:rPr>
            </w:pPr>
            <w:r>
              <w:rPr>
                <w:color w:val="FFFFFF" w:themeColor="background1"/>
                <w:sz w:val="18"/>
              </w:rPr>
              <w:t>Institucioni përgjegjës</w:t>
            </w:r>
          </w:p>
        </w:tc>
        <w:tc>
          <w:tcPr>
            <w:tcW w:w="7139" w:type="dxa"/>
            <w:vAlign w:val="center"/>
          </w:tcPr>
          <w:p w14:paraId="23233154" w14:textId="2BF2695A"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MMPHI</w:t>
            </w:r>
          </w:p>
        </w:tc>
      </w:tr>
      <w:tr w:rsidR="005C57AD" w:rsidRPr="004A64EF" w14:paraId="5EAD70D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6A7C432" w14:textId="77777777" w:rsidR="005C57AD" w:rsidRPr="004A64EF" w:rsidRDefault="005C57AD">
            <w:pPr>
              <w:spacing w:before="20" w:after="20"/>
              <w:jc w:val="left"/>
              <w:rPr>
                <w:color w:val="FFFFFF" w:themeColor="background1"/>
                <w:sz w:val="18"/>
                <w:szCs w:val="18"/>
              </w:rPr>
            </w:pPr>
            <w:r>
              <w:rPr>
                <w:color w:val="FFFFFF" w:themeColor="background1"/>
                <w:sz w:val="18"/>
              </w:rPr>
              <w:t>Treguesit e progresit</w:t>
            </w:r>
          </w:p>
        </w:tc>
        <w:tc>
          <w:tcPr>
            <w:tcW w:w="7139" w:type="dxa"/>
            <w:vAlign w:val="center"/>
          </w:tcPr>
          <w:p w14:paraId="7D1E92BE"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Strategjia e zhvilluar.</w:t>
            </w:r>
          </w:p>
          <w:p w14:paraId="18F08866"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Kursimet përfundimtare të energjisë (ktoe)</w:t>
            </w:r>
          </w:p>
        </w:tc>
      </w:tr>
      <w:tr w:rsidR="005C57AD" w:rsidRPr="00976D33" w14:paraId="7F15D382" w14:textId="77777777">
        <w:tc>
          <w:tcPr>
            <w:cnfStyle w:val="001000000000" w:firstRow="0" w:lastRow="0" w:firstColumn="1" w:lastColumn="0" w:oddVBand="0" w:evenVBand="0" w:oddHBand="0" w:evenHBand="0" w:firstRowFirstColumn="0" w:firstRowLastColumn="0" w:lastRowFirstColumn="0" w:lastRowLastColumn="0"/>
            <w:tcW w:w="2425" w:type="dxa"/>
          </w:tcPr>
          <w:p w14:paraId="3ECDF1DE" w14:textId="00770619" w:rsidR="005C57AD" w:rsidRPr="004A64EF" w:rsidRDefault="005C57AD">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39" w:type="dxa"/>
          </w:tcPr>
          <w:p w14:paraId="7DC4B9B8" w14:textId="77777777" w:rsidR="005C57AD" w:rsidRPr="00976D33"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Dekarbonizimi, siguria energjetike, hulumtimi, inovacioni dhe konkurrueshmëria </w:t>
            </w:r>
          </w:p>
        </w:tc>
      </w:tr>
    </w:tbl>
    <w:p w14:paraId="33D3622A" w14:textId="77777777" w:rsidR="003775B0" w:rsidRDefault="003775B0" w:rsidP="005C57AD"/>
    <w:tbl>
      <w:tblPr>
        <w:tblStyle w:val="GridTable5Dark-Accent1"/>
        <w:tblW w:w="0" w:type="auto"/>
        <w:tblLook w:val="04A0" w:firstRow="1" w:lastRow="0" w:firstColumn="1" w:lastColumn="0" w:noHBand="0" w:noVBand="1"/>
      </w:tblPr>
      <w:tblGrid>
        <w:gridCol w:w="2425"/>
        <w:gridCol w:w="7139"/>
      </w:tblGrid>
      <w:tr w:rsidR="005C57AD" w:rsidRPr="004A64EF" w14:paraId="406652B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17A8C3A5" w14:textId="22EB2BB4" w:rsidR="005C57AD" w:rsidRPr="004A64EF" w:rsidRDefault="005C57AD">
            <w:pPr>
              <w:spacing w:before="20" w:after="20"/>
              <w:jc w:val="left"/>
              <w:rPr>
                <w:color w:val="FFFFFF" w:themeColor="background1"/>
                <w:sz w:val="18"/>
                <w:szCs w:val="18"/>
              </w:rPr>
            </w:pPr>
            <w:bookmarkStart w:id="214" w:name="_Toc138210163"/>
            <w:bookmarkStart w:id="215" w:name="_Toc138998464"/>
            <w:r>
              <w:rPr>
                <w:color w:val="FFFFFF" w:themeColor="background1"/>
                <w:sz w:val="18"/>
              </w:rPr>
              <w:lastRenderedPageBreak/>
              <w:t>PM 24: Rinovimi i ndërtesave rezidenciale</w:t>
            </w:r>
            <w:bookmarkEnd w:id="214"/>
            <w:bookmarkEnd w:id="215"/>
            <w:r>
              <w:rPr>
                <w:color w:val="FFFFFF" w:themeColor="background1"/>
                <w:sz w:val="18"/>
              </w:rPr>
              <w:t xml:space="preserve"> </w:t>
            </w:r>
          </w:p>
        </w:tc>
      </w:tr>
      <w:tr w:rsidR="005C57AD" w:rsidRPr="004A64EF" w14:paraId="2398871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308095D8" w14:textId="6E866E7B" w:rsidR="005C57AD" w:rsidRPr="004A64EF" w:rsidRDefault="005C57AD">
            <w:pPr>
              <w:spacing w:before="20" w:after="20"/>
              <w:jc w:val="left"/>
              <w:rPr>
                <w:b w:val="0"/>
                <w:bCs w:val="0"/>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Masa konsideron renovimin e ndërtesave ekzistuese rezidenciale, të iniciuar nga pronarët dhe/ose të mbështetura nga bankat dhe fondet komerciale. Riparimi i ndërtesave përfshin izolimin e mureve të jashtëm, bodrumeve, papafingos, termoizolimin e çatisë, ndërrimin e dritareve dhe dyerve të jashtme, etj. Masa do të sigurojë lëshimin e certifikatave për performancën energjetike në ndërtesa si parakusht për vënien në punë të rindërtimeve.</w:t>
            </w:r>
          </w:p>
          <w:p w14:paraId="50014500" w14:textId="77777777" w:rsidR="005C57AD" w:rsidRPr="004A64EF" w:rsidRDefault="005C57AD">
            <w:pPr>
              <w:spacing w:before="20" w:after="20"/>
              <w:jc w:val="left"/>
              <w:rPr>
                <w:color w:val="FFFFFF" w:themeColor="background1"/>
                <w:sz w:val="18"/>
                <w:szCs w:val="18"/>
              </w:rPr>
            </w:pPr>
            <w:r>
              <w:rPr>
                <w:b w:val="0"/>
                <w:color w:val="FFFFFF" w:themeColor="background1"/>
                <w:sz w:val="18"/>
              </w:rPr>
              <w:t>Sipas projekt SRN-së, ndërtesat rezidenciale përbëjnë 247680 ndërtesa, me një sipërfaqe totale prej 34.42 milionë m</w:t>
            </w:r>
            <w:r>
              <w:rPr>
                <w:b w:val="0"/>
                <w:color w:val="FFFFFF" w:themeColor="background1"/>
                <w:sz w:val="18"/>
                <w:vertAlign w:val="superscript"/>
              </w:rPr>
              <w:t>2</w:t>
            </w:r>
            <w:r>
              <w:rPr>
                <w:b w:val="0"/>
                <w:color w:val="FFFFFF" w:themeColor="background1"/>
                <w:sz w:val="18"/>
              </w:rPr>
              <w:t>, të cilat përfaqësojnë 73% të totalit të stokut të ndërtesave. Cak është rinovimi i 1.1% (WEM) dhe 1.2% (WAM) të sipërfaqes totale të ndërtesave rezidenciale (me përjashtim të apartamenteve) në vit.</w:t>
            </w:r>
          </w:p>
          <w:p w14:paraId="51DF81A3" w14:textId="77777777" w:rsidR="005F3A97" w:rsidRPr="00A02334" w:rsidRDefault="005F3A97">
            <w:pPr>
              <w:spacing w:before="20" w:after="20"/>
              <w:jc w:val="left"/>
              <w:rPr>
                <w:b w:val="0"/>
                <w:bCs w:val="0"/>
                <w:color w:val="FFFFFF" w:themeColor="background1"/>
                <w:sz w:val="18"/>
                <w:szCs w:val="18"/>
              </w:rPr>
            </w:pPr>
          </w:p>
          <w:p w14:paraId="308E42DD" w14:textId="77777777" w:rsidR="005F3A97" w:rsidRPr="00A02334" w:rsidRDefault="005F3A97" w:rsidP="005F3A97">
            <w:pPr>
              <w:spacing w:before="20" w:after="20"/>
              <w:jc w:val="left"/>
              <w:rPr>
                <w:b w:val="0"/>
                <w:bCs w:val="0"/>
                <w:color w:val="FFFFFF" w:themeColor="background1"/>
                <w:sz w:val="18"/>
                <w:szCs w:val="18"/>
              </w:rPr>
            </w:pPr>
            <w:r>
              <w:rPr>
                <w:b w:val="0"/>
                <w:color w:val="FFFFFF" w:themeColor="background1"/>
                <w:sz w:val="18"/>
              </w:rPr>
              <w:t>Në vitin 2023, Fondi i Kosovës për Efiçiencë të Energjisë lansoi për herë të parë një program të efiçiencës së energjisë për sektorin rezidencial, duke përfshirë shtëpitë individuale dhe ndërtesat sociale me shumë apartamente, me një buxhet të ndarë prej 20 milionë euro, të mbështetur nga Komisioni Evropian në kuadër të Pakos për Mbështetje të Energjisë - Planit të Veprimit. Programi i efiçiencës së energjisë është ndarë në dy komponentë:</w:t>
            </w:r>
          </w:p>
          <w:p w14:paraId="5CA7D4D3" w14:textId="77777777" w:rsidR="005F3A97" w:rsidRPr="00A02334" w:rsidRDefault="005F3A97" w:rsidP="005F3A97">
            <w:pPr>
              <w:numPr>
                <w:ilvl w:val="0"/>
                <w:numId w:val="86"/>
              </w:numPr>
              <w:spacing w:before="20" w:after="20"/>
              <w:jc w:val="left"/>
              <w:rPr>
                <w:b w:val="0"/>
                <w:bCs w:val="0"/>
                <w:color w:val="FFFFFF" w:themeColor="background1"/>
                <w:sz w:val="18"/>
                <w:szCs w:val="18"/>
              </w:rPr>
            </w:pPr>
            <w:r>
              <w:rPr>
                <w:b w:val="0"/>
                <w:color w:val="FFFFFF" w:themeColor="background1"/>
                <w:sz w:val="18"/>
              </w:rPr>
              <w:t>Implementimi i masave të efiçiencës së energjisë në shtëpitë individuale, dhe</w:t>
            </w:r>
          </w:p>
          <w:p w14:paraId="2D9C99DD" w14:textId="77777777" w:rsidR="005F3A97" w:rsidRPr="00A02334" w:rsidRDefault="005F3A97" w:rsidP="005F3A97">
            <w:pPr>
              <w:numPr>
                <w:ilvl w:val="0"/>
                <w:numId w:val="86"/>
              </w:numPr>
              <w:spacing w:before="20" w:after="20"/>
              <w:jc w:val="left"/>
              <w:rPr>
                <w:b w:val="0"/>
                <w:bCs w:val="0"/>
                <w:color w:val="FFFFFF" w:themeColor="background1"/>
                <w:sz w:val="18"/>
                <w:szCs w:val="18"/>
              </w:rPr>
            </w:pPr>
            <w:r>
              <w:rPr>
                <w:b w:val="0"/>
                <w:color w:val="FFFFFF" w:themeColor="background1"/>
                <w:sz w:val="18"/>
              </w:rPr>
              <w:t>Zbatimi i masave të efiçiencës së energjisë në ndërtesat sociale me shumë apartamente</w:t>
            </w:r>
          </w:p>
          <w:p w14:paraId="5BC1006B" w14:textId="77777777" w:rsidR="005C57AD" w:rsidRPr="004A64EF" w:rsidRDefault="005C57AD">
            <w:pPr>
              <w:spacing w:before="20" w:after="20"/>
              <w:jc w:val="left"/>
              <w:rPr>
                <w:b w:val="0"/>
                <w:bCs w:val="0"/>
                <w:color w:val="FFFFFF" w:themeColor="background1"/>
                <w:sz w:val="18"/>
                <w:szCs w:val="18"/>
              </w:rPr>
            </w:pPr>
          </w:p>
          <w:p w14:paraId="03E7B254" w14:textId="6002BDB7" w:rsidR="004830B4" w:rsidRPr="00F853C3" w:rsidRDefault="004830B4">
            <w:pPr>
              <w:spacing w:before="20" w:after="20"/>
              <w:jc w:val="left"/>
              <w:rPr>
                <w:color w:val="FFFFFF" w:themeColor="background1"/>
                <w:sz w:val="18"/>
                <w:szCs w:val="18"/>
              </w:rPr>
            </w:pPr>
            <w:r>
              <w:rPr>
                <w:b w:val="0"/>
                <w:color w:val="FFFFFF" w:themeColor="background1"/>
                <w:sz w:val="18"/>
              </w:rPr>
              <w:t>Sipas projeksioneve të investimeve të FKEE-së, gjatë periudhës 2025-2029, përmes kombinimit të granteve dhe linjave kreditore, do të financohen masat e efiçiencës së energjisë në ndërtesat e banimit në vlerë prej 17.48 milionë euro, të planifikuara për 9000 shtëpi individuale. Nevojiten investime shtesë nga burime private dhe/ose publike/donatorë për të arritur normën e synuar të renovimeve.</w:t>
            </w:r>
          </w:p>
          <w:p w14:paraId="1389D2C2" w14:textId="77777777" w:rsidR="005C57AD" w:rsidRDefault="00D25432">
            <w:pPr>
              <w:spacing w:before="20" w:after="20"/>
              <w:jc w:val="left"/>
              <w:rPr>
                <w:color w:val="FFFFFF" w:themeColor="background1"/>
                <w:sz w:val="18"/>
                <w:szCs w:val="18"/>
              </w:rPr>
            </w:pPr>
            <w:r>
              <w:rPr>
                <w:b w:val="0"/>
                <w:color w:val="FFFFFF" w:themeColor="background1"/>
                <w:sz w:val="18"/>
              </w:rPr>
              <w:t>Për të maksimizuar ndikimin socio-ekonomik të kësaj mase të politikave, do të ofrohet një program gjithëpërfshirës mbështetës, duke marrë parasysh grupet e ndjeshme, aspektet sociale dhe gjinore. Përcaktimi i prioriteteve dhe kriteret e financimit të synuar do të forcojnë më tej investimin.</w:t>
            </w:r>
          </w:p>
          <w:p w14:paraId="0AA2D380" w14:textId="6C204BE3" w:rsidR="00CE2FE4" w:rsidRPr="004A64EF" w:rsidRDefault="00CE2FE4">
            <w:pPr>
              <w:spacing w:before="20" w:after="20"/>
              <w:jc w:val="left"/>
              <w:rPr>
                <w:b w:val="0"/>
                <w:color w:val="FFFFFF" w:themeColor="background1"/>
                <w:sz w:val="18"/>
                <w:szCs w:val="18"/>
              </w:rPr>
            </w:pPr>
          </w:p>
        </w:tc>
      </w:tr>
      <w:tr w:rsidR="005C57AD" w:rsidRPr="004A64EF" w14:paraId="7EC56369"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2D83D3BA" w14:textId="77777777" w:rsidR="005C57AD" w:rsidRPr="004A64EF" w:rsidRDefault="005C57AD">
            <w:pPr>
              <w:spacing w:before="20" w:after="20"/>
              <w:jc w:val="left"/>
              <w:rPr>
                <w:color w:val="FFFFFF" w:themeColor="background1"/>
                <w:sz w:val="18"/>
                <w:szCs w:val="18"/>
              </w:rPr>
            </w:pPr>
            <w:r>
              <w:rPr>
                <w:color w:val="FFFFFF" w:themeColor="background1"/>
                <w:sz w:val="18"/>
              </w:rPr>
              <w:t>Sektori/lloji</w:t>
            </w:r>
          </w:p>
        </w:tc>
        <w:tc>
          <w:tcPr>
            <w:tcW w:w="7139" w:type="dxa"/>
            <w:vAlign w:val="center"/>
          </w:tcPr>
          <w:p w14:paraId="355E53E6" w14:textId="77777777"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Energjetik/teknik</w:t>
            </w:r>
          </w:p>
        </w:tc>
      </w:tr>
      <w:tr w:rsidR="005C57AD" w:rsidRPr="004A64EF" w14:paraId="7D42732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7583B092" w14:textId="77777777" w:rsidR="005C57AD" w:rsidRPr="004A64EF" w:rsidRDefault="005C57AD">
            <w:pPr>
              <w:spacing w:before="20" w:after="20"/>
              <w:jc w:val="left"/>
              <w:rPr>
                <w:color w:val="FFFFFF" w:themeColor="background1"/>
                <w:sz w:val="18"/>
                <w:szCs w:val="18"/>
              </w:rPr>
            </w:pPr>
            <w:r>
              <w:rPr>
                <w:color w:val="FFFFFF" w:themeColor="background1"/>
                <w:sz w:val="18"/>
              </w:rPr>
              <w:t>Statusi i implementimit</w:t>
            </w:r>
          </w:p>
        </w:tc>
        <w:tc>
          <w:tcPr>
            <w:tcW w:w="7139" w:type="dxa"/>
            <w:vAlign w:val="center"/>
          </w:tcPr>
          <w:p w14:paraId="5819D3F0"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b/>
                <w:bCs/>
                <w:sz w:val="18"/>
                <w:szCs w:val="18"/>
              </w:rPr>
            </w:pPr>
            <w:r>
              <w:rPr>
                <w:b/>
                <w:sz w:val="18"/>
              </w:rPr>
              <w:t>Në implementim/i planifikuar</w:t>
            </w:r>
          </w:p>
          <w:p w14:paraId="4A915903" w14:textId="77777777" w:rsidR="005C57AD" w:rsidRPr="004A64EF" w:rsidRDefault="005C57AD" w:rsidP="00AF7BBF">
            <w:pPr>
              <w:pStyle w:val="ListParagraph"/>
              <w:numPr>
                <w:ilvl w:val="0"/>
                <w:numId w:val="87"/>
              </w:num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Për komponentin 1, i cili u fokusua në kursimin e energjisë në shtëpitë njëfamiljarëshe, FKEE lansoi një thirrje publike dhe pranoi 3,321 kërkesa. Prej tyre, 2,148 janë miratuar paraprakisht, 1010 kërkesa janë në listë e pritjes dhe pjesa tjetër janë tërhequr ose refuzuar për shkak të gabimeve. Buxheti i përgjithshëm për kërkesat e miratuara paraprakisht, përfshirë pagesat për auditorët dhe kompanitë e verifikimit, arrin në 9.3 milionë euro. Që nga janari i vitit 2024, FKEE ka pranuar afërsisht 1,152 kërkesa për disbursim, që tregon se progresi i implementimit të masave të Efiçiencës së Energjisë në shtëpitë individuale tejkalon 50% të totalit të kërkesave të miratuara paraprakisht.</w:t>
            </w:r>
          </w:p>
          <w:p w14:paraId="66C0607C" w14:textId="77777777" w:rsidR="005C57AD" w:rsidRPr="004A64EF" w:rsidRDefault="005C57AD" w:rsidP="00AF7BBF">
            <w:pPr>
              <w:pStyle w:val="ListParagraph"/>
              <w:numPr>
                <w:ilvl w:val="0"/>
                <w:numId w:val="87"/>
              </w:num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Për Komponentin 2, i cili fokusohet në implementimin e masave të efiçiencës së energjisë në ndërtesat sociale me shumë apartamente në pronësi të komunave, FKEE ka pranuar kërkesa nga 15 komuna për 39 ndërtesa. Nga këto, 28 ndërtesa nga 13 komuna janë miratuar për financim. FKEE do të sigurojë 90% të financimit si grant, ku komunat do të kontribuojnë me 10% të mbetur. Nga 10 milionë euro të ndara për këtë komponent, 6 milionë euro janë dedikuar për implementimin e masave për EE, konkretisht për aktivitete ndërtimore. 600,000 euro shtesë janë ndarë për kompanitë e projektimit dhe kërkesat e Njësisë për Implementimin e Projektit (NJIP). Pjesa e mbetur prej 3 milionë eurove do të rialokohet pasi të përfundojnë punimet e kontraktuara dhe të përcaktohet vlera përfundimtare e projektit.</w:t>
            </w:r>
          </w:p>
        </w:tc>
      </w:tr>
      <w:tr w:rsidR="005C57AD" w:rsidRPr="004A64EF" w14:paraId="7B807FFC"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79486D8A" w14:textId="77777777" w:rsidR="005C57AD" w:rsidRPr="004A64EF" w:rsidRDefault="005C57AD">
            <w:pPr>
              <w:spacing w:before="20" w:after="20"/>
              <w:jc w:val="left"/>
              <w:rPr>
                <w:color w:val="FFFFFF" w:themeColor="background1"/>
                <w:sz w:val="18"/>
                <w:szCs w:val="18"/>
              </w:rPr>
            </w:pPr>
            <w:r>
              <w:rPr>
                <w:color w:val="FFFFFF" w:themeColor="background1"/>
                <w:sz w:val="18"/>
              </w:rPr>
              <w:t>Efektet kuantitative</w:t>
            </w:r>
          </w:p>
        </w:tc>
        <w:tc>
          <w:tcPr>
            <w:tcW w:w="7139" w:type="dxa"/>
            <w:vAlign w:val="center"/>
          </w:tcPr>
          <w:p w14:paraId="24E2FC6F" w14:textId="44229B63"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b/>
                <w:sz w:val="18"/>
              </w:rPr>
              <w:t>WEM:</w:t>
            </w:r>
            <w:r>
              <w:rPr>
                <w:sz w:val="18"/>
              </w:rPr>
              <w:t xml:space="preserve"> 2024-2030</w:t>
            </w:r>
            <w:r w:rsidR="00D53DC7" w:rsidRPr="004A64EF">
              <w:rPr>
                <w:rStyle w:val="FootnoteReference"/>
                <w:sz w:val="18"/>
                <w:szCs w:val="18"/>
                <w:lang w:val="nl-NL"/>
              </w:rPr>
              <w:footnoteReference w:id="14"/>
            </w:r>
            <w:r>
              <w:rPr>
                <w:sz w:val="18"/>
              </w:rPr>
              <w:t xml:space="preserve">: 2.79 ktoe / </w:t>
            </w:r>
            <w:r>
              <w:rPr>
                <w:b/>
                <w:sz w:val="18"/>
              </w:rPr>
              <w:t>WAM:</w:t>
            </w:r>
            <w:r>
              <w:rPr>
                <w:sz w:val="18"/>
              </w:rPr>
              <w:t xml:space="preserve"> 4.26 ktoe në vit</w:t>
            </w:r>
          </w:p>
          <w:p w14:paraId="6A9F4755" w14:textId="60BA96D4" w:rsidR="005C57AD" w:rsidRPr="004A64EF" w:rsidRDefault="00F238EC">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Burimi: vlerësimet e ekspertëve bazuar në Strategjinë e Energjisë dhe projekt SRN</w:t>
            </w:r>
          </w:p>
        </w:tc>
      </w:tr>
      <w:tr w:rsidR="005C57AD" w:rsidRPr="004A64EF" w14:paraId="6B2335D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BBAED45" w14:textId="77777777" w:rsidR="005C57AD" w:rsidRPr="004A64EF" w:rsidRDefault="005C57AD">
            <w:pPr>
              <w:spacing w:before="20" w:after="20"/>
              <w:jc w:val="left"/>
              <w:rPr>
                <w:color w:val="FFFFFF" w:themeColor="background1"/>
                <w:sz w:val="18"/>
                <w:szCs w:val="18"/>
              </w:rPr>
            </w:pPr>
            <w:r>
              <w:rPr>
                <w:color w:val="FFFFFF" w:themeColor="background1"/>
                <w:sz w:val="18"/>
              </w:rPr>
              <w:t>Investimet</w:t>
            </w:r>
          </w:p>
        </w:tc>
        <w:tc>
          <w:tcPr>
            <w:tcW w:w="7139" w:type="dxa"/>
            <w:vAlign w:val="center"/>
          </w:tcPr>
          <w:p w14:paraId="1D2D3A53" w14:textId="18682AD5" w:rsidR="005C57AD" w:rsidRPr="004A64EF" w:rsidRDefault="00F87F57">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rFonts w:asciiTheme="majorHAnsi" w:hAnsiTheme="majorHAnsi"/>
                <w:b/>
                <w:color w:val="000000"/>
                <w:sz w:val="18"/>
              </w:rPr>
              <w:t>WEM:</w:t>
            </w:r>
            <w:r>
              <w:rPr>
                <w:rFonts w:asciiTheme="majorHAnsi" w:hAnsiTheme="majorHAnsi"/>
                <w:color w:val="000000"/>
                <w:sz w:val="18"/>
              </w:rPr>
              <w:t xml:space="preserve"> 31,79 mil. euro në vit (2024-2030)</w:t>
            </w:r>
            <w:r>
              <w:rPr>
                <w:rFonts w:asciiTheme="majorHAnsi" w:hAnsiTheme="majorHAnsi"/>
                <w:color w:val="000000"/>
                <w:sz w:val="18"/>
              </w:rPr>
              <w:br/>
            </w:r>
            <w:r>
              <w:rPr>
                <w:rFonts w:asciiTheme="majorHAnsi" w:hAnsiTheme="majorHAnsi"/>
                <w:b/>
                <w:sz w:val="18"/>
              </w:rPr>
              <w:t>WAM:</w:t>
            </w:r>
            <w:r>
              <w:rPr>
                <w:rFonts w:asciiTheme="majorHAnsi" w:hAnsiTheme="majorHAnsi"/>
                <w:sz w:val="18"/>
              </w:rPr>
              <w:t xml:space="preserve"> 48.65 milionë euro në vit (përfshin investimet publike dhe private)</w:t>
            </w:r>
            <w:r>
              <w:rPr>
                <w:rFonts w:asciiTheme="majorHAnsi" w:hAnsiTheme="majorHAnsi"/>
                <w:sz w:val="18"/>
              </w:rPr>
              <w:br/>
            </w:r>
            <w:r>
              <w:rPr>
                <w:sz w:val="18"/>
              </w:rPr>
              <w:t>Burimi: vlerësimet e ekspertëve bazuar në Strategjinë e Energjisë dhe projekt SRN</w:t>
            </w:r>
          </w:p>
        </w:tc>
      </w:tr>
      <w:tr w:rsidR="005C57AD" w:rsidRPr="004A64EF" w14:paraId="395DE039"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40D5D2C6" w14:textId="77777777" w:rsidR="005C57AD" w:rsidRPr="004A64EF" w:rsidRDefault="005C57AD">
            <w:pPr>
              <w:spacing w:before="20" w:after="20"/>
              <w:jc w:val="left"/>
              <w:rPr>
                <w:color w:val="FFFFFF" w:themeColor="background1"/>
                <w:sz w:val="18"/>
                <w:szCs w:val="18"/>
              </w:rPr>
            </w:pPr>
            <w:r>
              <w:rPr>
                <w:color w:val="FFFFFF" w:themeColor="background1"/>
                <w:sz w:val="18"/>
              </w:rPr>
              <w:t>Institucioni përgjegjës</w:t>
            </w:r>
          </w:p>
        </w:tc>
        <w:tc>
          <w:tcPr>
            <w:tcW w:w="7139" w:type="dxa"/>
            <w:vAlign w:val="center"/>
          </w:tcPr>
          <w:p w14:paraId="6603C307" w14:textId="0F704590"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MMPHI, ME, FKEE</w:t>
            </w:r>
          </w:p>
        </w:tc>
      </w:tr>
      <w:tr w:rsidR="005C57AD" w:rsidRPr="004A64EF" w14:paraId="5E5A2CC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16FCE23" w14:textId="77777777" w:rsidR="005C57AD" w:rsidRPr="004A64EF" w:rsidRDefault="005C57AD">
            <w:pPr>
              <w:spacing w:before="20" w:after="20"/>
              <w:jc w:val="left"/>
              <w:rPr>
                <w:color w:val="FFFFFF" w:themeColor="background1"/>
                <w:sz w:val="18"/>
                <w:szCs w:val="18"/>
              </w:rPr>
            </w:pPr>
            <w:r>
              <w:rPr>
                <w:color w:val="FFFFFF" w:themeColor="background1"/>
                <w:sz w:val="18"/>
              </w:rPr>
              <w:t>Treguesit e progresit</w:t>
            </w:r>
          </w:p>
        </w:tc>
        <w:tc>
          <w:tcPr>
            <w:tcW w:w="7139" w:type="dxa"/>
            <w:vAlign w:val="center"/>
          </w:tcPr>
          <w:p w14:paraId="1943EFFB"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e sipërfaqes së ndërtesave rezidenciale të rinovuara; kursimet përfundimtare të energjisë (ktoe); kursimet primare të energjisë (ktoe)</w:t>
            </w:r>
          </w:p>
        </w:tc>
      </w:tr>
      <w:tr w:rsidR="005C57AD" w:rsidRPr="00976D33" w14:paraId="7C752EA3" w14:textId="77777777">
        <w:tc>
          <w:tcPr>
            <w:cnfStyle w:val="001000000000" w:firstRow="0" w:lastRow="0" w:firstColumn="1" w:lastColumn="0" w:oddVBand="0" w:evenVBand="0" w:oddHBand="0" w:evenHBand="0" w:firstRowFirstColumn="0" w:firstRowLastColumn="0" w:lastRowFirstColumn="0" w:lastRowLastColumn="0"/>
            <w:tcW w:w="2425" w:type="dxa"/>
          </w:tcPr>
          <w:p w14:paraId="44758C4A" w14:textId="182B7CA7" w:rsidR="005C57AD" w:rsidRPr="004A64EF" w:rsidRDefault="005C57AD">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39" w:type="dxa"/>
          </w:tcPr>
          <w:p w14:paraId="6C93C839" w14:textId="77777777" w:rsidR="005C57AD" w:rsidRPr="00976D33"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Dekarbonizimi, siguria energjetike, hulumtimi, inovacioni dhe konkurrueshmëria </w:t>
            </w:r>
          </w:p>
        </w:tc>
      </w:tr>
    </w:tbl>
    <w:p w14:paraId="0F9EB6DE" w14:textId="3831AFE7" w:rsidR="005C57AD" w:rsidRDefault="005C57AD" w:rsidP="005C57AD">
      <w:pPr>
        <w:spacing w:before="0" w:after="200"/>
        <w:jc w:val="left"/>
      </w:pPr>
    </w:p>
    <w:tbl>
      <w:tblPr>
        <w:tblStyle w:val="GridTable5Dark-Accent1"/>
        <w:tblW w:w="0" w:type="auto"/>
        <w:tblLook w:val="04A0" w:firstRow="1" w:lastRow="0" w:firstColumn="1" w:lastColumn="0" w:noHBand="0" w:noVBand="1"/>
      </w:tblPr>
      <w:tblGrid>
        <w:gridCol w:w="2425"/>
        <w:gridCol w:w="7139"/>
      </w:tblGrid>
      <w:tr w:rsidR="005C57AD" w:rsidRPr="004A64EF" w14:paraId="082DB4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56DA1A3F" w14:textId="1A448F1F" w:rsidR="005C57AD" w:rsidRPr="004A64EF" w:rsidRDefault="005C57AD">
            <w:pPr>
              <w:spacing w:before="20" w:after="20"/>
              <w:jc w:val="left"/>
              <w:rPr>
                <w:color w:val="FFFFFF" w:themeColor="background1"/>
                <w:sz w:val="18"/>
                <w:szCs w:val="18"/>
              </w:rPr>
            </w:pPr>
            <w:bookmarkStart w:id="216" w:name="_Toc138210164"/>
            <w:bookmarkStart w:id="217" w:name="_Toc138998465"/>
            <w:r>
              <w:rPr>
                <w:color w:val="FFFFFF" w:themeColor="background1"/>
                <w:sz w:val="18"/>
              </w:rPr>
              <w:lastRenderedPageBreak/>
              <w:t xml:space="preserve">PM 25: Rinovimi i </w:t>
            </w:r>
            <w:r w:rsidR="005464B9" w:rsidRPr="00817199">
              <w:rPr>
                <w:color w:val="FFFFFF" w:themeColor="background1"/>
                <w:sz w:val="18"/>
              </w:rPr>
              <w:t>ndë</w:t>
            </w:r>
            <w:r w:rsidR="00817199" w:rsidRPr="00817199">
              <w:rPr>
                <w:color w:val="FFFFFF" w:themeColor="background1"/>
                <w:sz w:val="18"/>
              </w:rPr>
              <w:t>rtesa</w:t>
            </w:r>
            <w:r w:rsidRPr="00817199">
              <w:rPr>
                <w:color w:val="FFFFFF" w:themeColor="background1"/>
                <w:sz w:val="18"/>
              </w:rPr>
              <w:t>ve afariste</w:t>
            </w:r>
            <w:bookmarkEnd w:id="216"/>
            <w:bookmarkEnd w:id="217"/>
            <w:r>
              <w:rPr>
                <w:color w:val="FFFFFF" w:themeColor="background1"/>
                <w:sz w:val="18"/>
              </w:rPr>
              <w:t xml:space="preserve"> </w:t>
            </w:r>
          </w:p>
        </w:tc>
      </w:tr>
      <w:tr w:rsidR="005C57AD" w:rsidRPr="004A64EF" w14:paraId="07D5841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5C664BFC" w14:textId="3C158DD1" w:rsidR="005C57AD" w:rsidRPr="004A64EF" w:rsidRDefault="005C57AD">
            <w:pPr>
              <w:spacing w:before="20" w:after="20"/>
              <w:jc w:val="left"/>
              <w:rPr>
                <w:b w:val="0"/>
                <w:bCs w:val="0"/>
                <w:color w:val="FFFFFF" w:themeColor="background1"/>
                <w:sz w:val="18"/>
                <w:szCs w:val="18"/>
              </w:rPr>
            </w:pPr>
            <w:r>
              <w:rPr>
                <w:b w:val="0"/>
                <w:color w:val="FFFFFF" w:themeColor="background1"/>
                <w:sz w:val="18"/>
              </w:rPr>
              <w:t>Përshkrimi i shkurtër dhe objektivi: Masa konsideron rinovimin ndërtesave ekzistuese komerciale, të iniciuar nga pronarët dhe/ose të mbështetura nga bankat dhe fondet komerciale. Riparimi i ndërtesave përfshin izolimin e mureve të jashtëm, bodrumeve, papafingos, termoizolimin e çatisë, ndërrimin e dritareve dhe dyerve të jashtme, etj. Masa do të sigurojë lëshimin e certifikatave për performancën energjetike në ndërtesa si parakusht për vënien në punë të rindërtimeve.</w:t>
            </w:r>
          </w:p>
          <w:p w14:paraId="03069CE9" w14:textId="77777777" w:rsidR="005C57AD" w:rsidRDefault="005C57AD">
            <w:pPr>
              <w:spacing w:before="20" w:after="20"/>
              <w:jc w:val="left"/>
              <w:rPr>
                <w:color w:val="FFFFFF" w:themeColor="background1"/>
                <w:sz w:val="18"/>
                <w:szCs w:val="18"/>
              </w:rPr>
            </w:pPr>
            <w:r>
              <w:rPr>
                <w:b w:val="0"/>
                <w:color w:val="FFFFFF" w:themeColor="background1"/>
                <w:sz w:val="18"/>
              </w:rPr>
              <w:t>Sipas projekt SRN-së, ndërtesat rezidenciale përbëjnë 50,452 ndërtesa, me një sipërfaqe totale prej 9.41 milionë m</w:t>
            </w:r>
            <w:r>
              <w:rPr>
                <w:b w:val="0"/>
                <w:color w:val="FFFFFF" w:themeColor="background1"/>
                <w:sz w:val="18"/>
                <w:vertAlign w:val="superscript"/>
              </w:rPr>
              <w:t>2</w:t>
            </w:r>
            <w:r>
              <w:rPr>
                <w:b w:val="0"/>
                <w:color w:val="FFFFFF" w:themeColor="background1"/>
                <w:sz w:val="18"/>
              </w:rPr>
              <w:t>, të cilat përfaqësojnë 20% të totalit të stokut të ndërtesave. Cak është rinovimi i 0.3% (WEM) dhe 1% (WAM) të sipërfaqes totale të ndërtesave komerciale.</w:t>
            </w:r>
          </w:p>
          <w:p w14:paraId="5B7DE560" w14:textId="04FFD0E9" w:rsidR="008D00C3" w:rsidRPr="004A64EF" w:rsidRDefault="008D00C3">
            <w:pPr>
              <w:spacing w:before="20" w:after="20"/>
              <w:jc w:val="left"/>
              <w:rPr>
                <w:b w:val="0"/>
                <w:bCs w:val="0"/>
                <w:color w:val="FFFFFF" w:themeColor="background1"/>
                <w:sz w:val="18"/>
                <w:szCs w:val="18"/>
              </w:rPr>
            </w:pPr>
            <w:r>
              <w:rPr>
                <w:b w:val="0"/>
                <w:color w:val="E7E6E6" w:themeColor="background2"/>
                <w:sz w:val="18"/>
              </w:rPr>
              <w:t>Sipas projeksioneve të investimeve të FKEE-së, gjatë periudhës 2025-2029, përmes kombinimit të granteve dhe linjave kreditore, do të financohen masat e efiçiencës së energjisë në ndërtesat komerciale  në vlerë prej 12.52 milionë euro, të planifikuara për 494 NMV.</w:t>
            </w:r>
            <w:r>
              <w:rPr>
                <w:b w:val="0"/>
                <w:color w:val="00B050"/>
                <w:sz w:val="18"/>
              </w:rPr>
              <w:t xml:space="preserve"> </w:t>
            </w:r>
            <w:r>
              <w:rPr>
                <w:b w:val="0"/>
                <w:color w:val="E7E6E6" w:themeColor="background2"/>
                <w:sz w:val="18"/>
              </w:rPr>
              <w:t>Nevojiten investime shtesë nga burime private dhe/ose publike/donatorë për të arritur normën e synuar të renovimeve.</w:t>
            </w:r>
          </w:p>
        </w:tc>
      </w:tr>
      <w:tr w:rsidR="005C57AD" w:rsidRPr="004A64EF" w14:paraId="170604CE"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253A507C" w14:textId="77777777" w:rsidR="005C57AD" w:rsidRPr="004A64EF" w:rsidRDefault="005C57AD">
            <w:pPr>
              <w:spacing w:before="20" w:after="20"/>
              <w:jc w:val="left"/>
              <w:rPr>
                <w:color w:val="FFFFFF" w:themeColor="background1"/>
                <w:sz w:val="18"/>
                <w:szCs w:val="18"/>
              </w:rPr>
            </w:pPr>
            <w:r>
              <w:rPr>
                <w:color w:val="FFFFFF" w:themeColor="background1"/>
                <w:sz w:val="18"/>
              </w:rPr>
              <w:t>Sektori/lloji</w:t>
            </w:r>
          </w:p>
        </w:tc>
        <w:tc>
          <w:tcPr>
            <w:tcW w:w="7139" w:type="dxa"/>
            <w:vAlign w:val="center"/>
          </w:tcPr>
          <w:p w14:paraId="492E79DE" w14:textId="77777777"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Energjetik/teknik</w:t>
            </w:r>
          </w:p>
        </w:tc>
      </w:tr>
      <w:tr w:rsidR="005C57AD" w:rsidRPr="004A64EF" w14:paraId="6E1EDD4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CF30D6E" w14:textId="77777777" w:rsidR="005C57AD" w:rsidRPr="004A64EF" w:rsidRDefault="005C57AD">
            <w:pPr>
              <w:spacing w:before="20" w:after="20"/>
              <w:jc w:val="left"/>
              <w:rPr>
                <w:color w:val="FFFFFF" w:themeColor="background1"/>
                <w:sz w:val="18"/>
                <w:szCs w:val="18"/>
              </w:rPr>
            </w:pPr>
            <w:r>
              <w:rPr>
                <w:color w:val="FFFFFF" w:themeColor="background1"/>
                <w:sz w:val="18"/>
              </w:rPr>
              <w:t>Statusi i implementimit</w:t>
            </w:r>
          </w:p>
        </w:tc>
        <w:tc>
          <w:tcPr>
            <w:tcW w:w="7139" w:type="dxa"/>
            <w:vAlign w:val="center"/>
          </w:tcPr>
          <w:p w14:paraId="73571072"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Në implementim/i planifikuar</w:t>
            </w:r>
          </w:p>
        </w:tc>
      </w:tr>
      <w:tr w:rsidR="005C57AD" w:rsidRPr="004A64EF" w14:paraId="5B51410C"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311C9E6D" w14:textId="77777777" w:rsidR="005C57AD" w:rsidRPr="004A64EF" w:rsidRDefault="005C57AD">
            <w:pPr>
              <w:spacing w:before="20" w:after="20"/>
              <w:jc w:val="left"/>
              <w:rPr>
                <w:color w:val="FFFFFF" w:themeColor="background1"/>
                <w:sz w:val="18"/>
                <w:szCs w:val="18"/>
              </w:rPr>
            </w:pPr>
            <w:r>
              <w:rPr>
                <w:color w:val="FFFFFF" w:themeColor="background1"/>
                <w:sz w:val="18"/>
              </w:rPr>
              <w:t>Efektet kuantitative</w:t>
            </w:r>
          </w:p>
        </w:tc>
        <w:tc>
          <w:tcPr>
            <w:tcW w:w="7139" w:type="dxa"/>
            <w:vAlign w:val="center"/>
          </w:tcPr>
          <w:p w14:paraId="31F69224" w14:textId="758BB50C"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Kursimet vjetore:</w:t>
            </w:r>
            <w:r>
              <w:rPr>
                <w:b/>
                <w:sz w:val="18"/>
              </w:rPr>
              <w:t xml:space="preserve"> WEM</w:t>
            </w:r>
            <w:r>
              <w:rPr>
                <w:sz w:val="18"/>
              </w:rPr>
              <w:t>: 2024-2030</w:t>
            </w:r>
            <w:r w:rsidR="00FC6623" w:rsidRPr="004A64EF">
              <w:rPr>
                <w:rStyle w:val="FootnoteReference"/>
                <w:sz w:val="18"/>
                <w:szCs w:val="18"/>
              </w:rPr>
              <w:footnoteReference w:id="15"/>
            </w:r>
            <w:r>
              <w:rPr>
                <w:sz w:val="18"/>
              </w:rPr>
              <w:t xml:space="preserve">: 0.47 ktoe / </w:t>
            </w:r>
            <w:r>
              <w:rPr>
                <w:b/>
                <w:sz w:val="18"/>
              </w:rPr>
              <w:t>WAM</w:t>
            </w:r>
            <w:r>
              <w:rPr>
                <w:sz w:val="18"/>
              </w:rPr>
              <w:t xml:space="preserve">: 2.5 ktoe </w:t>
            </w:r>
            <w:r>
              <w:rPr>
                <w:sz w:val="18"/>
              </w:rPr>
              <w:br/>
              <w:t>Burimi: vlerësimet e ekspertëve bazuar në Strategjinë e Energjisë dhe projekt BRE</w:t>
            </w:r>
          </w:p>
        </w:tc>
      </w:tr>
      <w:tr w:rsidR="005C57AD" w:rsidRPr="004A64EF" w14:paraId="631F5AE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7395E9F" w14:textId="77777777" w:rsidR="005C57AD" w:rsidRPr="004A64EF" w:rsidRDefault="005C57AD">
            <w:pPr>
              <w:spacing w:before="20" w:after="20"/>
              <w:jc w:val="left"/>
              <w:rPr>
                <w:color w:val="FFFFFF" w:themeColor="background1"/>
                <w:sz w:val="18"/>
                <w:szCs w:val="18"/>
              </w:rPr>
            </w:pPr>
            <w:r>
              <w:rPr>
                <w:color w:val="FFFFFF" w:themeColor="background1"/>
                <w:sz w:val="18"/>
              </w:rPr>
              <w:t>Investimet</w:t>
            </w:r>
          </w:p>
        </w:tc>
        <w:tc>
          <w:tcPr>
            <w:tcW w:w="7139" w:type="dxa"/>
            <w:vAlign w:val="center"/>
          </w:tcPr>
          <w:p w14:paraId="4EEFDDDE" w14:textId="2347CD37" w:rsidR="005C57AD" w:rsidRPr="004A64EF" w:rsidRDefault="002429B9">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rFonts w:asciiTheme="majorHAnsi" w:hAnsiTheme="majorHAnsi"/>
                <w:b/>
                <w:color w:val="000000"/>
                <w:sz w:val="18"/>
              </w:rPr>
              <w:t>WEM:</w:t>
            </w:r>
            <w:r>
              <w:rPr>
                <w:rFonts w:asciiTheme="majorHAnsi" w:hAnsiTheme="majorHAnsi"/>
                <w:color w:val="000000"/>
                <w:sz w:val="18"/>
              </w:rPr>
              <w:t xml:space="preserve"> 14,74 mil. euro në vit (2024-2030) /</w:t>
            </w:r>
            <w:r>
              <w:rPr>
                <w:rFonts w:asciiTheme="majorHAnsi" w:hAnsiTheme="majorHAnsi"/>
                <w:color w:val="000000"/>
                <w:sz w:val="18"/>
              </w:rPr>
              <w:br/>
            </w:r>
            <w:r>
              <w:rPr>
                <w:rFonts w:asciiTheme="majorHAnsi" w:hAnsiTheme="majorHAnsi"/>
                <w:b/>
                <w:sz w:val="18"/>
              </w:rPr>
              <w:t>WAM:</w:t>
            </w:r>
            <w:r>
              <w:rPr>
                <w:rFonts w:asciiTheme="majorHAnsi" w:hAnsiTheme="majorHAnsi"/>
                <w:sz w:val="18"/>
              </w:rPr>
              <w:t xml:space="preserve"> 78.97 milionë euro në vit (përfshin investimet publike dhe private)</w:t>
            </w:r>
            <w:r>
              <w:rPr>
                <w:rFonts w:asciiTheme="majorHAnsi" w:hAnsiTheme="majorHAnsi"/>
                <w:sz w:val="18"/>
              </w:rPr>
              <w:br/>
            </w:r>
            <w:r>
              <w:rPr>
                <w:sz w:val="18"/>
              </w:rPr>
              <w:t>Burimi: vlerësimet e ekspertëve bazuar në Strategjinë e Energjisë dhe projekt SRN</w:t>
            </w:r>
          </w:p>
        </w:tc>
      </w:tr>
      <w:tr w:rsidR="005C57AD" w:rsidRPr="004A64EF" w14:paraId="4C9646FA"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44EF0DCF" w14:textId="77777777" w:rsidR="005C57AD" w:rsidRPr="004A64EF" w:rsidRDefault="005C57AD">
            <w:pPr>
              <w:spacing w:before="20" w:after="20"/>
              <w:jc w:val="left"/>
              <w:rPr>
                <w:color w:val="FFFFFF" w:themeColor="background1"/>
                <w:sz w:val="18"/>
                <w:szCs w:val="18"/>
              </w:rPr>
            </w:pPr>
            <w:r>
              <w:rPr>
                <w:color w:val="FFFFFF" w:themeColor="background1"/>
                <w:sz w:val="18"/>
              </w:rPr>
              <w:t>Institucioni përgjegjës</w:t>
            </w:r>
          </w:p>
        </w:tc>
        <w:tc>
          <w:tcPr>
            <w:tcW w:w="7139" w:type="dxa"/>
            <w:vAlign w:val="center"/>
          </w:tcPr>
          <w:p w14:paraId="21F19964" w14:textId="21E74CE1"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MMPHI, ME, FKEE</w:t>
            </w:r>
          </w:p>
        </w:tc>
      </w:tr>
      <w:tr w:rsidR="005C57AD" w:rsidRPr="004A64EF" w14:paraId="784C998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3C2DC0C2" w14:textId="77777777" w:rsidR="005C57AD" w:rsidRPr="004A64EF" w:rsidRDefault="005C57AD">
            <w:pPr>
              <w:spacing w:before="20" w:after="20"/>
              <w:jc w:val="left"/>
              <w:rPr>
                <w:color w:val="FFFFFF" w:themeColor="background1"/>
                <w:sz w:val="18"/>
                <w:szCs w:val="18"/>
              </w:rPr>
            </w:pPr>
            <w:r>
              <w:rPr>
                <w:color w:val="FFFFFF" w:themeColor="background1"/>
                <w:sz w:val="18"/>
              </w:rPr>
              <w:t>Treguesit e progresit</w:t>
            </w:r>
          </w:p>
        </w:tc>
        <w:tc>
          <w:tcPr>
            <w:tcW w:w="7139" w:type="dxa"/>
            <w:vAlign w:val="center"/>
          </w:tcPr>
          <w:p w14:paraId="4248A772"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e sipërfaqes së ndërtesave komerciale të rinovuara; kursimet përfundimtare të energjisë (ktoe); kursimet primare të energjisë (ktoe)</w:t>
            </w:r>
          </w:p>
        </w:tc>
      </w:tr>
      <w:tr w:rsidR="005C57AD" w:rsidRPr="00976D33" w14:paraId="16C6E4D8" w14:textId="77777777">
        <w:tc>
          <w:tcPr>
            <w:cnfStyle w:val="001000000000" w:firstRow="0" w:lastRow="0" w:firstColumn="1" w:lastColumn="0" w:oddVBand="0" w:evenVBand="0" w:oddHBand="0" w:evenHBand="0" w:firstRowFirstColumn="0" w:firstRowLastColumn="0" w:lastRowFirstColumn="0" w:lastRowLastColumn="0"/>
            <w:tcW w:w="2425" w:type="dxa"/>
          </w:tcPr>
          <w:p w14:paraId="2DA9C294" w14:textId="290AD703" w:rsidR="005C57AD" w:rsidRPr="004A64EF" w:rsidRDefault="005C57AD">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39" w:type="dxa"/>
          </w:tcPr>
          <w:p w14:paraId="649A8400" w14:textId="77777777" w:rsidR="005C57AD" w:rsidRPr="00976D33"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Dekarbonizimi, siguria energjetike, hulumtimi, inovacioni dhe konkurrueshmëria</w:t>
            </w:r>
          </w:p>
        </w:tc>
      </w:tr>
    </w:tbl>
    <w:p w14:paraId="165E70D3" w14:textId="77777777" w:rsidR="00AA7CDF" w:rsidRPr="00976D33" w:rsidRDefault="00AA7CDF" w:rsidP="005C57AD"/>
    <w:tbl>
      <w:tblPr>
        <w:tblStyle w:val="GridTable5Dark-Accent1"/>
        <w:tblW w:w="0" w:type="auto"/>
        <w:tblLook w:val="04A0" w:firstRow="1" w:lastRow="0" w:firstColumn="1" w:lastColumn="0" w:noHBand="0" w:noVBand="1"/>
      </w:tblPr>
      <w:tblGrid>
        <w:gridCol w:w="2425"/>
        <w:gridCol w:w="7139"/>
      </w:tblGrid>
      <w:tr w:rsidR="005C57AD" w:rsidRPr="004A64EF" w14:paraId="4998670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02BDE21F" w14:textId="7B413F3C" w:rsidR="005C57AD" w:rsidRPr="004A64EF" w:rsidRDefault="005C57AD">
            <w:pPr>
              <w:spacing w:before="20" w:after="20"/>
              <w:jc w:val="left"/>
              <w:rPr>
                <w:color w:val="FFFFFF" w:themeColor="background1"/>
                <w:sz w:val="18"/>
                <w:szCs w:val="18"/>
              </w:rPr>
            </w:pPr>
            <w:bookmarkStart w:id="218" w:name="_Toc138210165"/>
            <w:bookmarkStart w:id="219" w:name="_Toc138998466"/>
            <w:r>
              <w:rPr>
                <w:color w:val="FFFFFF" w:themeColor="background1"/>
                <w:sz w:val="18"/>
              </w:rPr>
              <w:t>PM 26: Instalimi i kolektorëve termikë solarë në sektorin rezidencial</w:t>
            </w:r>
            <w:bookmarkEnd w:id="218"/>
            <w:bookmarkEnd w:id="219"/>
            <w:r>
              <w:rPr>
                <w:color w:val="FFFFFF" w:themeColor="background1"/>
                <w:sz w:val="18"/>
              </w:rPr>
              <w:t xml:space="preserve"> </w:t>
            </w:r>
          </w:p>
        </w:tc>
      </w:tr>
      <w:tr w:rsidR="005C57AD" w:rsidRPr="004A64EF" w14:paraId="2E81C4D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76B62282" w14:textId="77777777" w:rsidR="005C57AD" w:rsidRPr="004A64EF" w:rsidRDefault="005C57AD">
            <w:pPr>
              <w:spacing w:before="20" w:after="20"/>
              <w:jc w:val="left"/>
              <w:rPr>
                <w:b w:val="0"/>
                <w:bCs w:val="0"/>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Qëllimi i masës është ulja e kostove të energjisë dhe përmirësimi i efiçiencës së sistemit për përgatitjen e ujit të ngrohtë.</w:t>
            </w:r>
          </w:p>
          <w:p w14:paraId="4456BC54" w14:textId="77777777" w:rsidR="005C57AD" w:rsidRPr="004A64EF" w:rsidRDefault="005C57AD">
            <w:pPr>
              <w:spacing w:before="20" w:after="20"/>
              <w:jc w:val="left"/>
              <w:rPr>
                <w:color w:val="FFFFFF" w:themeColor="background1"/>
                <w:sz w:val="18"/>
                <w:szCs w:val="18"/>
              </w:rPr>
            </w:pPr>
            <w:r>
              <w:rPr>
                <w:b w:val="0"/>
                <w:color w:val="FFFFFF" w:themeColor="background1"/>
                <w:sz w:val="18"/>
              </w:rPr>
              <w:t>Teknologjia e synuar është ngrohësi elektrik i ujit të ngrohtë, një nga shpenzuesit më të mëdhenj të energjisë, duke ndikuar ndjeshëm në fatura. Kolektorët termikë solarë janë një nga opsionet më të mira për zëvendësimin e këtyre ngrohëseve elektrikë. Kostoja më e ulët e investimit për instalimin e kolektorëve termikë solarë është thelbësore sepse mund të zvogëlojë faturat e konsumit për ujë të ngrohtë. Këto sisteme ofrojnë gjithashtu kursime të energjisë dhe mund të plotësojnë të paktën 50% të kërkesës në vit, varësisht nga nevojat për ujë të ngrohtë. Për më tepër, kolektorët termikë solarë mund të kombinohen me energji elektrike dhe sistemet e ngrohjes qendrore.</w:t>
            </w:r>
          </w:p>
          <w:p w14:paraId="58BC9817" w14:textId="44D5037D" w:rsidR="005C57AD" w:rsidRPr="004A64EF" w:rsidRDefault="005C57AD" w:rsidP="60EECF08">
            <w:pPr>
              <w:spacing w:before="20" w:after="20"/>
              <w:jc w:val="left"/>
              <w:rPr>
                <w:b w:val="0"/>
                <w:bCs w:val="0"/>
                <w:color w:val="FFFFFF" w:themeColor="background1"/>
                <w:sz w:val="18"/>
                <w:szCs w:val="18"/>
              </w:rPr>
            </w:pPr>
            <w:r>
              <w:rPr>
                <w:b w:val="0"/>
                <w:color w:val="FFFFFF" w:themeColor="background1"/>
                <w:sz w:val="18"/>
              </w:rPr>
              <w:t xml:space="preserve">Masat supozojnë instalimin e 417 sistemeve termike solare çdo vit (WAM), nga viti 2024 deri në vitin 2040. </w:t>
            </w:r>
          </w:p>
          <w:p w14:paraId="4E83B9F5" w14:textId="37AD1BAB" w:rsidR="005C57AD" w:rsidRPr="004A64EF" w:rsidRDefault="22F4349A">
            <w:pPr>
              <w:spacing w:before="20" w:after="20"/>
              <w:jc w:val="left"/>
              <w:rPr>
                <w:b w:val="0"/>
                <w:color w:val="FFFFFF" w:themeColor="background1"/>
                <w:sz w:val="18"/>
                <w:szCs w:val="18"/>
              </w:rPr>
            </w:pPr>
            <w:r>
              <w:rPr>
                <w:color w:val="FFFFFF" w:themeColor="background1"/>
                <w:sz w:val="18"/>
              </w:rPr>
              <w:t>Kjo masë politike ka përfitime të shumta, duke filluar nga ulja e faturave të energjisë elektrike deri te rritja e vendeve të punës dhe zhvillimi i bizneseve, dhe krijon mundësi punësimi për burrat dhe gratë.</w:t>
            </w:r>
          </w:p>
        </w:tc>
      </w:tr>
      <w:tr w:rsidR="005C57AD" w:rsidRPr="004A64EF" w14:paraId="276EC62F"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436A62D2" w14:textId="77777777" w:rsidR="005C57AD" w:rsidRPr="004A64EF" w:rsidRDefault="005C57AD">
            <w:pPr>
              <w:spacing w:before="20" w:after="20"/>
              <w:jc w:val="left"/>
              <w:rPr>
                <w:color w:val="FFFFFF" w:themeColor="background1"/>
                <w:sz w:val="18"/>
                <w:szCs w:val="18"/>
              </w:rPr>
            </w:pPr>
            <w:r>
              <w:rPr>
                <w:color w:val="FFFFFF" w:themeColor="background1"/>
                <w:sz w:val="18"/>
              </w:rPr>
              <w:t>Sektori/lloji</w:t>
            </w:r>
          </w:p>
        </w:tc>
        <w:tc>
          <w:tcPr>
            <w:tcW w:w="7139" w:type="dxa"/>
            <w:vAlign w:val="center"/>
          </w:tcPr>
          <w:p w14:paraId="635DFAE3" w14:textId="77777777"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Energjetik/teknik</w:t>
            </w:r>
          </w:p>
        </w:tc>
      </w:tr>
      <w:tr w:rsidR="005C57AD" w:rsidRPr="004A64EF" w14:paraId="5069185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FB5CC3E" w14:textId="77777777" w:rsidR="005C57AD" w:rsidRPr="004A64EF" w:rsidRDefault="005C57AD">
            <w:pPr>
              <w:spacing w:before="20" w:after="20"/>
              <w:jc w:val="left"/>
              <w:rPr>
                <w:color w:val="FFFFFF" w:themeColor="background1"/>
                <w:sz w:val="18"/>
                <w:szCs w:val="18"/>
              </w:rPr>
            </w:pPr>
            <w:r>
              <w:rPr>
                <w:color w:val="FFFFFF" w:themeColor="background1"/>
                <w:sz w:val="18"/>
              </w:rPr>
              <w:t>Statusi i implementimit</w:t>
            </w:r>
          </w:p>
        </w:tc>
        <w:tc>
          <w:tcPr>
            <w:tcW w:w="7139" w:type="dxa"/>
            <w:vAlign w:val="center"/>
          </w:tcPr>
          <w:p w14:paraId="5C695830"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Në implementim/i planifikuar</w:t>
            </w:r>
          </w:p>
        </w:tc>
      </w:tr>
      <w:tr w:rsidR="005C57AD" w:rsidRPr="004A64EF" w14:paraId="1912CD1E"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6AD7481F" w14:textId="77777777" w:rsidR="005C57AD" w:rsidRPr="004A64EF" w:rsidRDefault="005C57AD">
            <w:pPr>
              <w:spacing w:before="20" w:after="20"/>
              <w:jc w:val="left"/>
              <w:rPr>
                <w:color w:val="FFFFFF" w:themeColor="background1"/>
                <w:sz w:val="18"/>
                <w:szCs w:val="18"/>
              </w:rPr>
            </w:pPr>
            <w:r>
              <w:rPr>
                <w:color w:val="FFFFFF" w:themeColor="background1"/>
                <w:sz w:val="18"/>
              </w:rPr>
              <w:t>Efektet kuantitative</w:t>
            </w:r>
          </w:p>
        </w:tc>
        <w:tc>
          <w:tcPr>
            <w:tcW w:w="7139" w:type="dxa"/>
            <w:vAlign w:val="center"/>
          </w:tcPr>
          <w:p w14:paraId="5FF6C5E5" w14:textId="333F78CF" w:rsidR="005C57AD" w:rsidRPr="004A64EF" w:rsidRDefault="00747436">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Kursimet vjetore: </w:t>
            </w:r>
            <w:r>
              <w:rPr>
                <w:b/>
                <w:sz w:val="18"/>
              </w:rPr>
              <w:t>WEM</w:t>
            </w:r>
            <w:r>
              <w:rPr>
                <w:sz w:val="18"/>
              </w:rPr>
              <w:t xml:space="preserve">: 2024-2030: 0.197 ktoe në vit; </w:t>
            </w:r>
            <w:r>
              <w:rPr>
                <w:b/>
                <w:sz w:val="18"/>
              </w:rPr>
              <w:t>WAM</w:t>
            </w:r>
            <w:r>
              <w:rPr>
                <w:sz w:val="18"/>
              </w:rPr>
              <w:t>:  2024-2030: 0.32 ktoe në viti</w:t>
            </w:r>
            <w:r>
              <w:rPr>
                <w:sz w:val="18"/>
              </w:rPr>
              <w:br/>
              <w:t>Burimi: vlerësimet e ekspertëve</w:t>
            </w:r>
          </w:p>
        </w:tc>
      </w:tr>
      <w:tr w:rsidR="005C57AD" w:rsidRPr="004A64EF" w14:paraId="410095F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153B319" w14:textId="77777777" w:rsidR="005C57AD" w:rsidRPr="004A64EF" w:rsidRDefault="005C57AD">
            <w:pPr>
              <w:spacing w:before="20" w:after="20"/>
              <w:jc w:val="left"/>
              <w:rPr>
                <w:color w:val="FFFFFF" w:themeColor="background1"/>
                <w:sz w:val="18"/>
                <w:szCs w:val="18"/>
              </w:rPr>
            </w:pPr>
            <w:r>
              <w:rPr>
                <w:color w:val="FFFFFF" w:themeColor="background1"/>
                <w:sz w:val="18"/>
              </w:rPr>
              <w:t>Investimet</w:t>
            </w:r>
          </w:p>
        </w:tc>
        <w:tc>
          <w:tcPr>
            <w:tcW w:w="7139" w:type="dxa"/>
          </w:tcPr>
          <w:p w14:paraId="030A663B" w14:textId="26DA835F" w:rsidR="005C57AD" w:rsidRPr="004A64EF" w:rsidRDefault="00E566D3">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rFonts w:asciiTheme="majorHAnsi" w:hAnsiTheme="majorHAnsi"/>
                <w:b/>
                <w:color w:val="000000"/>
                <w:sz w:val="18"/>
              </w:rPr>
              <w:t>WEM:</w:t>
            </w:r>
            <w:r>
              <w:rPr>
                <w:rFonts w:asciiTheme="majorHAnsi" w:hAnsiTheme="majorHAnsi"/>
                <w:color w:val="000000"/>
                <w:sz w:val="18"/>
              </w:rPr>
              <w:t xml:space="preserve"> 2.28 mil. në vit (2024-2030)</w:t>
            </w:r>
            <w:r>
              <w:rPr>
                <w:rFonts w:asciiTheme="majorHAnsi" w:hAnsiTheme="majorHAnsi"/>
                <w:color w:val="000000"/>
                <w:sz w:val="18"/>
              </w:rPr>
              <w:br/>
            </w:r>
            <w:r>
              <w:rPr>
                <w:rFonts w:asciiTheme="majorHAnsi" w:hAnsiTheme="majorHAnsi"/>
                <w:b/>
                <w:sz w:val="18"/>
              </w:rPr>
              <w:t>WAM:</w:t>
            </w:r>
            <w:r>
              <w:rPr>
                <w:rFonts w:asciiTheme="majorHAnsi" w:hAnsiTheme="majorHAnsi"/>
                <w:sz w:val="18"/>
              </w:rPr>
              <w:t xml:space="preserve"> </w:t>
            </w:r>
            <w:r>
              <w:rPr>
                <w:rFonts w:asciiTheme="majorHAnsi" w:hAnsiTheme="majorHAnsi"/>
                <w:color w:val="000000"/>
                <w:sz w:val="18"/>
              </w:rPr>
              <w:t xml:space="preserve"> </w:t>
            </w:r>
            <w:r>
              <w:rPr>
                <w:color w:val="000000"/>
                <w:sz w:val="18"/>
              </w:rPr>
              <w:t>3.74 milionë euro në vit (2024-2030) (përfshin investimet publike dhe private)</w:t>
            </w:r>
            <w:r>
              <w:rPr>
                <w:color w:val="000000"/>
                <w:sz w:val="18"/>
              </w:rPr>
              <w:br/>
            </w:r>
            <w:r>
              <w:rPr>
                <w:sz w:val="18"/>
              </w:rPr>
              <w:t>Burimi: vlerësimet e ekspertëve bazuar në Strategjinë e Energjisë</w:t>
            </w:r>
          </w:p>
        </w:tc>
      </w:tr>
      <w:tr w:rsidR="005C57AD" w:rsidRPr="004A64EF" w14:paraId="21D87E1A"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4E86E4DC" w14:textId="77777777" w:rsidR="005C57AD" w:rsidRPr="004A64EF" w:rsidRDefault="005C57AD">
            <w:pPr>
              <w:spacing w:before="20" w:after="20"/>
              <w:jc w:val="left"/>
              <w:rPr>
                <w:color w:val="FFFFFF" w:themeColor="background1"/>
                <w:sz w:val="18"/>
                <w:szCs w:val="18"/>
              </w:rPr>
            </w:pPr>
            <w:r>
              <w:rPr>
                <w:color w:val="FFFFFF" w:themeColor="background1"/>
                <w:sz w:val="18"/>
              </w:rPr>
              <w:t>Institucioni përgjegjës</w:t>
            </w:r>
          </w:p>
        </w:tc>
        <w:tc>
          <w:tcPr>
            <w:tcW w:w="7139" w:type="dxa"/>
            <w:vAlign w:val="center"/>
          </w:tcPr>
          <w:p w14:paraId="2806A444" w14:textId="2AEACAD6"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ME, FKEE</w:t>
            </w:r>
          </w:p>
        </w:tc>
      </w:tr>
      <w:tr w:rsidR="005C57AD" w:rsidRPr="004A64EF" w14:paraId="57C2448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96A642B" w14:textId="77777777" w:rsidR="005C57AD" w:rsidRPr="004A64EF" w:rsidRDefault="005C57AD">
            <w:pPr>
              <w:spacing w:before="20" w:after="20"/>
              <w:jc w:val="left"/>
              <w:rPr>
                <w:color w:val="FFFFFF" w:themeColor="background1"/>
                <w:sz w:val="18"/>
                <w:szCs w:val="18"/>
              </w:rPr>
            </w:pPr>
            <w:r>
              <w:rPr>
                <w:color w:val="FFFFFF" w:themeColor="background1"/>
                <w:sz w:val="18"/>
              </w:rPr>
              <w:t>Treguesit e progresit</w:t>
            </w:r>
          </w:p>
        </w:tc>
        <w:tc>
          <w:tcPr>
            <w:tcW w:w="7139" w:type="dxa"/>
            <w:vAlign w:val="center"/>
          </w:tcPr>
          <w:p w14:paraId="51918C5A" w14:textId="1480DCAD"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Numri dhe kW i sistemeve termike solare të instaluara; Kursimet përfundimtare të energjisë (ktoe); Kursimet primare të energjisë (ktoe)</w:t>
            </w:r>
          </w:p>
        </w:tc>
      </w:tr>
      <w:tr w:rsidR="005C57AD" w:rsidRPr="00976D33" w14:paraId="6EE970F0" w14:textId="77777777">
        <w:tc>
          <w:tcPr>
            <w:cnfStyle w:val="001000000000" w:firstRow="0" w:lastRow="0" w:firstColumn="1" w:lastColumn="0" w:oddVBand="0" w:evenVBand="0" w:oddHBand="0" w:evenHBand="0" w:firstRowFirstColumn="0" w:firstRowLastColumn="0" w:lastRowFirstColumn="0" w:lastRowLastColumn="0"/>
            <w:tcW w:w="2425" w:type="dxa"/>
          </w:tcPr>
          <w:p w14:paraId="52CB6467" w14:textId="0ACD2FAC" w:rsidR="005C57AD" w:rsidRPr="004A64EF" w:rsidRDefault="005C57AD">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39" w:type="dxa"/>
          </w:tcPr>
          <w:p w14:paraId="5FD7A533" w14:textId="77777777" w:rsidR="005C57AD" w:rsidRPr="00976D33"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Dekarbonizimi, siguria energjetike</w:t>
            </w:r>
          </w:p>
        </w:tc>
      </w:tr>
    </w:tbl>
    <w:p w14:paraId="0C9E981C" w14:textId="77777777" w:rsidR="005C57AD" w:rsidRDefault="005C57AD" w:rsidP="005C57AD"/>
    <w:p w14:paraId="359D34FE" w14:textId="77777777" w:rsidR="00FF705C" w:rsidRDefault="00FF705C" w:rsidP="005C57AD"/>
    <w:p w14:paraId="7D4F3506" w14:textId="77777777" w:rsidR="00FF705C" w:rsidRDefault="00FF705C" w:rsidP="005C57AD"/>
    <w:tbl>
      <w:tblPr>
        <w:tblStyle w:val="GridTable5Dark-Accent1"/>
        <w:tblW w:w="0" w:type="auto"/>
        <w:tblLook w:val="04A0" w:firstRow="1" w:lastRow="0" w:firstColumn="1" w:lastColumn="0" w:noHBand="0" w:noVBand="1"/>
      </w:tblPr>
      <w:tblGrid>
        <w:gridCol w:w="2425"/>
        <w:gridCol w:w="7139"/>
      </w:tblGrid>
      <w:tr w:rsidR="005C57AD" w:rsidRPr="004A64EF" w14:paraId="577D4C9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3B3E1375" w14:textId="015061F1" w:rsidR="005C57AD" w:rsidRPr="004A64EF" w:rsidRDefault="005C57AD">
            <w:pPr>
              <w:spacing w:before="20" w:after="20"/>
              <w:jc w:val="left"/>
              <w:rPr>
                <w:color w:val="FFFFFF" w:themeColor="background1"/>
                <w:sz w:val="18"/>
                <w:szCs w:val="18"/>
              </w:rPr>
            </w:pPr>
            <w:bookmarkStart w:id="220" w:name="_Toc71247186"/>
            <w:bookmarkStart w:id="221" w:name="_Toc138210166"/>
            <w:bookmarkStart w:id="222" w:name="_Toc138998467"/>
            <w:r>
              <w:rPr>
                <w:color w:val="FFFFFF" w:themeColor="background1"/>
                <w:sz w:val="18"/>
              </w:rPr>
              <w:lastRenderedPageBreak/>
              <w:t>PM 27: Ndërtesat me konsum afër zero energji</w:t>
            </w:r>
            <w:bookmarkEnd w:id="220"/>
            <w:bookmarkEnd w:id="221"/>
            <w:bookmarkEnd w:id="222"/>
          </w:p>
        </w:tc>
      </w:tr>
      <w:tr w:rsidR="005C57AD" w:rsidRPr="004A64EF" w14:paraId="5821625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7CEF2114" w14:textId="39FDD3D8" w:rsidR="005C57AD" w:rsidRPr="004A64EF" w:rsidRDefault="005C57AD">
            <w:pPr>
              <w:spacing w:before="20" w:after="20"/>
              <w:jc w:val="left"/>
              <w:rPr>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Plani Kombëtar për Ndërtesat me konsum afër zero energji (NKAZE) është detyrim sipas Ligjit për Performancën Energjetike në Ndërtesa (Ligji për PEN) dhe përcakton një ndërtesë me energji zero (NEZ) si: “një ndërtesë me performancë shumë të lartë energjetike.” Sasia afër zero ose shumë e ulët e energjisë së kërkuar duhet të mbulohet në një masë shumë të konsiderueshme nga energjia nga burimet e ripërtëritshme, duke përfshirë energjinë nga burimet e ripërtëritshme të prodhuara në vend ose aty pranë.</w:t>
            </w:r>
            <w:r>
              <w:rPr>
                <w:color w:val="FFFFFF" w:themeColor="background1"/>
                <w:sz w:val="18"/>
              </w:rPr>
              <w:t xml:space="preserve"> </w:t>
            </w:r>
          </w:p>
          <w:p w14:paraId="7CD4E443" w14:textId="0A8BAF83" w:rsidR="005C57AD" w:rsidRPr="004A64EF" w:rsidRDefault="005C57AD">
            <w:pPr>
              <w:spacing w:before="20" w:after="20"/>
              <w:jc w:val="left"/>
              <w:rPr>
                <w:b w:val="0"/>
                <w:bCs w:val="0"/>
                <w:color w:val="FFFFFF" w:themeColor="background1"/>
                <w:sz w:val="18"/>
                <w:szCs w:val="18"/>
              </w:rPr>
            </w:pPr>
          </w:p>
          <w:p w14:paraId="0E45E30B" w14:textId="52EA45DB" w:rsidR="005C57AD" w:rsidRPr="004A64EF" w:rsidRDefault="005C57AD">
            <w:pPr>
              <w:spacing w:before="20" w:after="20"/>
              <w:jc w:val="left"/>
              <w:rPr>
                <w:b w:val="0"/>
                <w:bCs w:val="0"/>
                <w:color w:val="FFFFFF" w:themeColor="background1"/>
                <w:sz w:val="18"/>
                <w:szCs w:val="18"/>
              </w:rPr>
            </w:pPr>
            <w:r>
              <w:rPr>
                <w:color w:val="FFFFFF" w:themeColor="background1"/>
                <w:sz w:val="18"/>
              </w:rPr>
              <w:t xml:space="preserve">Neni 8 i Ligjit të ri për Performancën energjetike në ndërtesa </w:t>
            </w:r>
            <w:r>
              <w:rPr>
                <w:b w:val="0"/>
                <w:color w:val="FFFFFF" w:themeColor="background1"/>
                <w:sz w:val="18"/>
              </w:rPr>
              <w:t>përfshin dispozita për promovimin e Ndërtesave me konsum afër zero energji (NKAZE). Ai mandaton hartimin e një plani kombëtar (Plani i NKAZE-së) nga MMPHI , në bashkëpunim me ministrinë përgjegjëse për energjinë, për të rritur NKAZE-të dhe për ta paraqitur atë në Qeveri pas miratimit të Strategjisë për Rinovim të Ndërtesave. Ligji kërkon që të gjitha ndërtesat e reja të arrijnë standarde me konsum afër zero energji deri më 31 dhjetor 2030 dhe që ndërtesat në pronësi të qeverisë t’i përmbushin këto standarde deri më 31 dhjetor 2028. Plani i NKAZE-së do të përcaktojë NKAZE-të, do të vendosë caqe bazuar në kategoritë e ndërtesave,</w:t>
            </w:r>
            <w:r>
              <w:rPr>
                <w:b w:val="0"/>
                <w:color w:val="FFFFFF" w:themeColor="background1"/>
              </w:rPr>
              <w:t xml:space="preserve"> </w:t>
            </w:r>
            <w:r>
              <w:rPr>
                <w:b w:val="0"/>
                <w:color w:val="FFFFFF" w:themeColor="background1"/>
                <w:sz w:val="18"/>
              </w:rPr>
              <w:t>duke përfshirë tregues të veçantë të përdorimit të energjisë, dhe do të përshkruajë politikat dhe masat për arritjen e këtyre objektivave, siç janë kërkesat për energji të ripërtëritshme. Ky plan do të përditësohet çdo tri vite dhe do t’i dorëzohet Sekretariatit të Komunitetit të Energjisë për të mbështetur praktikat e qëndrueshme të ndërtimit në Kosovë.</w:t>
            </w:r>
          </w:p>
          <w:p w14:paraId="39359852" w14:textId="6B0E1257" w:rsidR="005C57AD" w:rsidRPr="004A64EF" w:rsidRDefault="005C57AD">
            <w:pPr>
              <w:spacing w:before="20" w:after="20"/>
              <w:jc w:val="left"/>
              <w:rPr>
                <w:b w:val="0"/>
                <w:bCs w:val="0"/>
                <w:color w:val="FFFFFF" w:themeColor="background1"/>
                <w:sz w:val="18"/>
                <w:szCs w:val="18"/>
              </w:rPr>
            </w:pPr>
            <w:r>
              <w:rPr>
                <w:b w:val="0"/>
                <w:color w:val="FFFFFF" w:themeColor="background1"/>
                <w:sz w:val="18"/>
              </w:rPr>
              <w:t>Në këtë PKEK, objektivi është që të ketë 150 NKAZE në vitin 2031 (WEM), bazuar në Strategjinë e Energjisë, dhe të rinovohet 0.3% e sipërfaqes totale bazë (p.sh. ndërtesat me apartamente) në vit në WAM.</w:t>
            </w:r>
          </w:p>
        </w:tc>
      </w:tr>
      <w:tr w:rsidR="005C57AD" w:rsidRPr="004A64EF" w14:paraId="58F0FFFE"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13C7B586" w14:textId="77777777" w:rsidR="005C57AD" w:rsidRPr="004A64EF" w:rsidRDefault="005C57AD">
            <w:pPr>
              <w:spacing w:before="20" w:after="20"/>
              <w:jc w:val="left"/>
              <w:rPr>
                <w:color w:val="FFFFFF" w:themeColor="background1"/>
                <w:sz w:val="18"/>
                <w:szCs w:val="18"/>
              </w:rPr>
            </w:pPr>
            <w:r>
              <w:rPr>
                <w:color w:val="FFFFFF" w:themeColor="background1"/>
                <w:sz w:val="18"/>
              </w:rPr>
              <w:t>Sektori/lloji</w:t>
            </w:r>
          </w:p>
        </w:tc>
        <w:tc>
          <w:tcPr>
            <w:tcW w:w="7139" w:type="dxa"/>
            <w:vAlign w:val="center"/>
          </w:tcPr>
          <w:p w14:paraId="6F8B9571" w14:textId="77777777"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Energjetik/rregullator, teknik</w:t>
            </w:r>
          </w:p>
        </w:tc>
      </w:tr>
      <w:tr w:rsidR="005C57AD" w:rsidRPr="004A64EF" w14:paraId="638ECC1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30999B80" w14:textId="77777777" w:rsidR="005C57AD" w:rsidRPr="004A64EF" w:rsidRDefault="005C57AD">
            <w:pPr>
              <w:spacing w:before="20" w:after="20"/>
              <w:jc w:val="left"/>
              <w:rPr>
                <w:sz w:val="18"/>
                <w:szCs w:val="18"/>
              </w:rPr>
            </w:pPr>
            <w:r>
              <w:rPr>
                <w:color w:val="FFFFFF" w:themeColor="background1"/>
                <w:sz w:val="18"/>
              </w:rPr>
              <w:t>Statusi i implementimit</w:t>
            </w:r>
          </w:p>
        </w:tc>
        <w:tc>
          <w:tcPr>
            <w:tcW w:w="7139" w:type="dxa"/>
            <w:vAlign w:val="center"/>
          </w:tcPr>
          <w:p w14:paraId="0FEF4A61"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Në implementim/i planifikuar</w:t>
            </w:r>
          </w:p>
          <w:p w14:paraId="026960EE" w14:textId="0BE766F4" w:rsidR="005C57AD" w:rsidRPr="004A64EF" w:rsidRDefault="005C57AD" w:rsidP="00AF7BBF">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sz w:val="18"/>
                <w:szCs w:val="18"/>
              </w:rPr>
            </w:pPr>
            <w:r>
              <w:rPr>
                <w:sz w:val="18"/>
              </w:rPr>
              <w:t>Projektplani Kombëtar për Rritjen e Numrit të NKAZE-ve është finalizuar në gjuhën angleze nga kompania GFA Consulting Group, i financuar nga projekti i Zyrës së BE-së në Kosovë, dhe i njëjti draft përfundimtar i është dërguar Sekretariatit të Komunitetit të Energjisë për komente, dhe ka marrë reagime pozitive.</w:t>
            </w:r>
          </w:p>
          <w:p w14:paraId="6A052CA6" w14:textId="58620849" w:rsidR="001A65E6" w:rsidRPr="004A64EF" w:rsidRDefault="001A65E6" w:rsidP="00AF7BBF">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Sigurohen në kuadër të subvencioneve të Pakos për Mbështetje të Energjisë, por fondet përfshihen në </w:t>
            </w:r>
            <w:r w:rsidRPr="004A64EF">
              <w:rPr>
                <w:sz w:val="18"/>
              </w:rPr>
              <w:fldChar w:fldCharType="begin"/>
            </w:r>
            <w:r w:rsidRPr="004A64EF">
              <w:rPr>
                <w:sz w:val="18"/>
              </w:rPr>
              <w:instrText xml:space="preserve"> REF _Ref164897610 \h </w:instrText>
            </w:r>
            <w:r w:rsidR="00965516" w:rsidRPr="004A64EF">
              <w:rPr>
                <w:sz w:val="18"/>
              </w:rPr>
              <w:instrText xml:space="preserve"> \* MERGEFORMAT </w:instrText>
            </w:r>
            <w:r w:rsidRPr="004A64EF">
              <w:rPr>
                <w:sz w:val="18"/>
              </w:rPr>
            </w:r>
            <w:r w:rsidRPr="004A64EF">
              <w:rPr>
                <w:sz w:val="18"/>
              </w:rPr>
              <w:fldChar w:fldCharType="separate"/>
            </w:r>
            <w:r w:rsidR="003B7FFA" w:rsidRPr="003B7FFA">
              <w:rPr>
                <w:sz w:val="18"/>
              </w:rPr>
              <w:t>PM 37: Rritja e përdorimit të teknologjive efiçiente në sektorin rezidencial</w:t>
            </w:r>
            <w:r w:rsidRPr="004A64EF">
              <w:rPr>
                <w:sz w:val="18"/>
              </w:rPr>
              <w:fldChar w:fldCharType="end"/>
            </w:r>
          </w:p>
        </w:tc>
      </w:tr>
      <w:tr w:rsidR="005C57AD" w:rsidRPr="004A64EF" w14:paraId="691A7DE2"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7838B538" w14:textId="77777777" w:rsidR="005C57AD" w:rsidRPr="004A64EF" w:rsidRDefault="005C57AD">
            <w:pPr>
              <w:spacing w:before="20" w:after="20"/>
              <w:jc w:val="left"/>
              <w:rPr>
                <w:color w:val="FFFFFF" w:themeColor="background1"/>
                <w:sz w:val="18"/>
                <w:szCs w:val="18"/>
              </w:rPr>
            </w:pPr>
            <w:r>
              <w:rPr>
                <w:color w:val="FFFFFF" w:themeColor="background1"/>
                <w:sz w:val="18"/>
              </w:rPr>
              <w:t>Efektet kuantitative</w:t>
            </w:r>
          </w:p>
        </w:tc>
        <w:tc>
          <w:tcPr>
            <w:tcW w:w="7139" w:type="dxa"/>
            <w:vAlign w:val="center"/>
          </w:tcPr>
          <w:p w14:paraId="328D12E4" w14:textId="30A14FE0"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b/>
                <w:sz w:val="18"/>
              </w:rPr>
              <w:t>WEM</w:t>
            </w:r>
            <w:r>
              <w:rPr>
                <w:sz w:val="18"/>
              </w:rPr>
              <w:t xml:space="preserve">: 150 NKAZE në vitin 2031; </w:t>
            </w:r>
            <w:r>
              <w:rPr>
                <w:b/>
                <w:sz w:val="18"/>
              </w:rPr>
              <w:t>WAM</w:t>
            </w:r>
            <w:r>
              <w:rPr>
                <w:sz w:val="18"/>
              </w:rPr>
              <w:t xml:space="preserve">: 1.2 ktoe në viti kursime përfundimtare të energjisë </w:t>
            </w:r>
            <w:r>
              <w:rPr>
                <w:sz w:val="18"/>
              </w:rPr>
              <w:br/>
              <w:t>Burimi: vlerësimet e ekspertëve</w:t>
            </w:r>
          </w:p>
        </w:tc>
      </w:tr>
      <w:tr w:rsidR="005C57AD" w:rsidRPr="004A64EF" w14:paraId="5B526F8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385C24C3" w14:textId="77777777" w:rsidR="005C57AD" w:rsidRPr="004A64EF" w:rsidRDefault="005C57AD">
            <w:pPr>
              <w:spacing w:before="20" w:after="20"/>
              <w:jc w:val="left"/>
              <w:rPr>
                <w:color w:val="FFFFFF" w:themeColor="background1"/>
                <w:sz w:val="18"/>
                <w:szCs w:val="18"/>
              </w:rPr>
            </w:pPr>
            <w:r>
              <w:rPr>
                <w:color w:val="FFFFFF" w:themeColor="background1"/>
                <w:sz w:val="18"/>
              </w:rPr>
              <w:t>Investimet</w:t>
            </w:r>
          </w:p>
        </w:tc>
        <w:tc>
          <w:tcPr>
            <w:tcW w:w="7139" w:type="dxa"/>
            <w:vAlign w:val="center"/>
          </w:tcPr>
          <w:p w14:paraId="41FB28A1" w14:textId="15EF9093"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b/>
                <w:sz w:val="18"/>
              </w:rPr>
              <w:t>WEM</w:t>
            </w:r>
            <w:r>
              <w:rPr>
                <w:sz w:val="18"/>
              </w:rPr>
              <w:t xml:space="preserve">: ~60 mil. euro </w:t>
            </w:r>
            <w:r>
              <w:rPr>
                <w:rFonts w:asciiTheme="majorHAnsi" w:hAnsiTheme="majorHAnsi"/>
                <w:sz w:val="18"/>
              </w:rPr>
              <w:t>(përfshin investime publike dhe private)</w:t>
            </w:r>
            <w:r>
              <w:rPr>
                <w:sz w:val="18"/>
              </w:rPr>
              <w:t xml:space="preserve">; </w:t>
            </w:r>
            <w:r>
              <w:rPr>
                <w:b/>
                <w:sz w:val="18"/>
              </w:rPr>
              <w:t>WAM</w:t>
            </w:r>
            <w:r>
              <w:rPr>
                <w:sz w:val="18"/>
              </w:rPr>
              <w:t>: n/a Burimi: vlerësimet e ekspertëve</w:t>
            </w:r>
          </w:p>
        </w:tc>
      </w:tr>
      <w:tr w:rsidR="005C57AD" w:rsidRPr="004A64EF" w14:paraId="3404C459"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048D22A7" w14:textId="77777777" w:rsidR="005C57AD" w:rsidRPr="004A64EF" w:rsidRDefault="005C57AD">
            <w:pPr>
              <w:spacing w:before="20" w:after="20"/>
              <w:jc w:val="left"/>
              <w:rPr>
                <w:color w:val="FFFFFF" w:themeColor="background1"/>
                <w:sz w:val="18"/>
                <w:szCs w:val="18"/>
              </w:rPr>
            </w:pPr>
            <w:r>
              <w:rPr>
                <w:color w:val="FFFFFF" w:themeColor="background1"/>
                <w:sz w:val="18"/>
              </w:rPr>
              <w:t>Institucioni përgjegjës</w:t>
            </w:r>
          </w:p>
        </w:tc>
        <w:tc>
          <w:tcPr>
            <w:tcW w:w="7139" w:type="dxa"/>
            <w:vAlign w:val="center"/>
          </w:tcPr>
          <w:p w14:paraId="35771245" w14:textId="66C177E4"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MESPI, së bashku me ME, FKEE</w:t>
            </w:r>
          </w:p>
        </w:tc>
      </w:tr>
      <w:tr w:rsidR="005C57AD" w:rsidRPr="004A64EF" w14:paraId="19119BA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35ED57A9" w14:textId="77777777" w:rsidR="005C57AD" w:rsidRPr="004A64EF" w:rsidRDefault="005C57AD">
            <w:pPr>
              <w:spacing w:before="20" w:after="20"/>
              <w:jc w:val="left"/>
              <w:rPr>
                <w:color w:val="FFFFFF" w:themeColor="background1"/>
                <w:sz w:val="18"/>
                <w:szCs w:val="18"/>
              </w:rPr>
            </w:pPr>
            <w:r>
              <w:rPr>
                <w:color w:val="FFFFFF" w:themeColor="background1"/>
                <w:sz w:val="18"/>
              </w:rPr>
              <w:t>Treguesit e progresit</w:t>
            </w:r>
          </w:p>
        </w:tc>
        <w:tc>
          <w:tcPr>
            <w:tcW w:w="7139" w:type="dxa"/>
            <w:vAlign w:val="center"/>
          </w:tcPr>
          <w:p w14:paraId="6D48B340"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e sipërfaqes së ndërtesave rezidenciale të rinovuara; numri i ndërtesave me konsum afër zero energji</w:t>
            </w:r>
          </w:p>
        </w:tc>
      </w:tr>
      <w:tr w:rsidR="005C57AD" w:rsidRPr="00976D33" w14:paraId="03713026" w14:textId="77777777">
        <w:tc>
          <w:tcPr>
            <w:cnfStyle w:val="001000000000" w:firstRow="0" w:lastRow="0" w:firstColumn="1" w:lastColumn="0" w:oddVBand="0" w:evenVBand="0" w:oddHBand="0" w:evenHBand="0" w:firstRowFirstColumn="0" w:firstRowLastColumn="0" w:lastRowFirstColumn="0" w:lastRowLastColumn="0"/>
            <w:tcW w:w="2425" w:type="dxa"/>
          </w:tcPr>
          <w:p w14:paraId="538E3EBF" w14:textId="366185DE" w:rsidR="005C57AD" w:rsidRPr="004A64EF" w:rsidRDefault="005C57AD">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39" w:type="dxa"/>
          </w:tcPr>
          <w:p w14:paraId="130A0BBE" w14:textId="77777777" w:rsidR="005C57AD" w:rsidRPr="00976D33"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Dekarbonizimi, siguria energjetike</w:t>
            </w:r>
          </w:p>
        </w:tc>
      </w:tr>
    </w:tbl>
    <w:p w14:paraId="2850D728" w14:textId="77777777" w:rsidR="005C57AD" w:rsidRPr="00976D33" w:rsidRDefault="005C57AD" w:rsidP="005C57AD">
      <w:pPr>
        <w:rPr>
          <w:rFonts w:ascii="Calibri" w:hAnsi="Calibri"/>
        </w:rPr>
      </w:pPr>
    </w:p>
    <w:tbl>
      <w:tblPr>
        <w:tblStyle w:val="GridTable5Dark-Accent1"/>
        <w:tblW w:w="0" w:type="auto"/>
        <w:tblLook w:val="04A0" w:firstRow="1" w:lastRow="0" w:firstColumn="1" w:lastColumn="0" w:noHBand="0" w:noVBand="1"/>
      </w:tblPr>
      <w:tblGrid>
        <w:gridCol w:w="2425"/>
        <w:gridCol w:w="7139"/>
      </w:tblGrid>
      <w:tr w:rsidR="005C57AD" w:rsidRPr="004A64EF" w14:paraId="785A81A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405AD998" w14:textId="4D018F66" w:rsidR="005C57AD" w:rsidRPr="004A64EF" w:rsidRDefault="005C57AD">
            <w:pPr>
              <w:spacing w:before="20" w:after="20"/>
              <w:jc w:val="left"/>
              <w:rPr>
                <w:color w:val="FFFFFF" w:themeColor="background1"/>
                <w:sz w:val="18"/>
                <w:szCs w:val="18"/>
              </w:rPr>
            </w:pPr>
            <w:bookmarkStart w:id="223" w:name="_Toc71247187"/>
            <w:bookmarkStart w:id="224" w:name="_Toc138210167"/>
            <w:bookmarkStart w:id="225" w:name="_Toc138998468"/>
            <w:r>
              <w:rPr>
                <w:color w:val="FFFFFF" w:themeColor="background1"/>
                <w:sz w:val="18"/>
              </w:rPr>
              <w:t>PM 28: Certifikimi energjetik i ndërtesave</w:t>
            </w:r>
            <w:bookmarkEnd w:id="223"/>
            <w:bookmarkEnd w:id="224"/>
            <w:bookmarkEnd w:id="225"/>
          </w:p>
        </w:tc>
      </w:tr>
      <w:tr w:rsidR="005C57AD" w:rsidRPr="004A64EF" w14:paraId="5DC1B13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432D7B13" w14:textId="6F9D8A2A" w:rsidR="005C57AD" w:rsidRPr="004A64EF" w:rsidRDefault="005C57AD">
            <w:pPr>
              <w:spacing w:before="20" w:after="20"/>
              <w:jc w:val="left"/>
              <w:rPr>
                <w:b w:val="0"/>
                <w:bCs w:val="0"/>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Certifikimi i performancës energjetike të ndërtesave do të jetë i detyrueshëm për ndërtesat që shiten ose jepen me qira dhe kur një ndërtesë ndërtohet, rinovohet ose rindërtohet. Procedurat e certifikimit të energjisë përcaktohen përmes rregulloreve dytësore nga Ligji për Performancën Energjetike në Ndërtesa (aktualisht -</w:t>
            </w:r>
            <w:r>
              <w:rPr>
                <w:b w:val="0"/>
              </w:rPr>
              <w:t xml:space="preserve"> </w:t>
            </w:r>
            <w:hyperlink r:id="rId60" w:history="1">
              <w:r>
                <w:rPr>
                  <w:b w:val="0"/>
                  <w:color w:val="FFFFFF" w:themeColor="background1"/>
                  <w:sz w:val="18"/>
                </w:rPr>
                <w:t>Rregullorja MMPH Nr.</w:t>
              </w:r>
            </w:hyperlink>
            <w:r>
              <w:t xml:space="preserve"> </w:t>
            </w:r>
            <w:hyperlink r:id="rId61" w:history="1">
              <w:r>
                <w:rPr>
                  <w:b w:val="0"/>
                  <w:color w:val="FFFFFF" w:themeColor="background1"/>
                  <w:sz w:val="18"/>
                </w:rPr>
                <w:t>03/18 për Procedurën e Certifikimit të Performancës Energjetike të Ndërtesave</w:t>
              </w:r>
            </w:hyperlink>
            <w:r>
              <w:rPr>
                <w:b w:val="0"/>
                <w:color w:val="FFFFFF" w:themeColor="background1"/>
                <w:sz w:val="18"/>
              </w:rPr>
              <w:t>). Rregullorja synon të përcaktojë procedurat për certifikimin e performancës energjetike në ndërtesa duke marrë parasysh metodologjinë e llogaritjes, vlerësuesin e energjisë, certifikimin, monitorimin dhe zbatimin.</w:t>
            </w:r>
          </w:p>
          <w:p w14:paraId="63104572" w14:textId="011E50B6" w:rsidR="005C57AD" w:rsidRPr="004A64EF" w:rsidRDefault="005C57AD" w:rsidP="60EECF08">
            <w:pPr>
              <w:spacing w:before="20" w:after="20"/>
              <w:jc w:val="left"/>
              <w:rPr>
                <w:color w:val="FFFFFF" w:themeColor="background1"/>
                <w:sz w:val="18"/>
                <w:szCs w:val="18"/>
              </w:rPr>
            </w:pPr>
            <w:r>
              <w:rPr>
                <w:b w:val="0"/>
                <w:color w:val="FFFFFF" w:themeColor="background1"/>
                <w:sz w:val="18"/>
              </w:rPr>
              <w:t>Procedura e certifikimit sipas rregullores duhet të plotësojë kërkesat për kornizën e përgjithshëm për certifikimin energjetik të ndërtesës. Fushëveprimi i rregullores përcakton gjithashtu kërkesat e autorizimit dhe pagesën për Certifikatën e Performancës Energjetike (CPE), licencimin e vlerësuesve të pavarur, ekspertizën e pavarur dhe kërkesat për procedurat e trajnimit, certifikimit dhe inspektimit, sistemin e kontrollit të pavarur të CPE-së si dhe monitorimin e procesit të lëshimit dhe përdorimit të CPE-ve. CPE do të jetë e vlefshme për një periudhë dhjetë (10) vjeçare.</w:t>
            </w:r>
          </w:p>
          <w:p w14:paraId="42D76EC7" w14:textId="1E31DBC3" w:rsidR="005C57AD" w:rsidRPr="004A64EF" w:rsidRDefault="001F4C6C">
            <w:pPr>
              <w:spacing w:before="20" w:after="20"/>
              <w:jc w:val="left"/>
              <w:rPr>
                <w:b w:val="0"/>
                <w:color w:val="FFFFFF" w:themeColor="background1"/>
                <w:sz w:val="18"/>
                <w:szCs w:val="18"/>
              </w:rPr>
            </w:pPr>
            <w:r>
              <w:rPr>
                <w:b w:val="0"/>
                <w:color w:val="FFFFFF" w:themeColor="background1"/>
                <w:sz w:val="18"/>
              </w:rPr>
              <w:t>Certifikimi i Performancës Energjetike do të promovojë gjithashtu barazinë gjinore duke rritur mundësitë e angazhimit për gratë si vlerësuese të energjisë, duke adresuar ndarjen profesionale gjinore në sektorin energjetik.</w:t>
            </w:r>
          </w:p>
        </w:tc>
      </w:tr>
      <w:tr w:rsidR="005C57AD" w:rsidRPr="004A64EF" w14:paraId="4290EF05"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6AB78A07" w14:textId="77777777" w:rsidR="005C57AD" w:rsidRPr="004A64EF" w:rsidRDefault="005C57AD">
            <w:pPr>
              <w:spacing w:before="20" w:after="20"/>
              <w:jc w:val="left"/>
              <w:rPr>
                <w:color w:val="FFFFFF" w:themeColor="background1"/>
                <w:sz w:val="18"/>
                <w:szCs w:val="18"/>
              </w:rPr>
            </w:pPr>
            <w:r>
              <w:rPr>
                <w:color w:val="FFFFFF" w:themeColor="background1"/>
                <w:sz w:val="18"/>
              </w:rPr>
              <w:t>Sektori/lloji</w:t>
            </w:r>
          </w:p>
        </w:tc>
        <w:tc>
          <w:tcPr>
            <w:tcW w:w="7139" w:type="dxa"/>
            <w:vAlign w:val="center"/>
          </w:tcPr>
          <w:p w14:paraId="1E371798" w14:textId="77777777"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Energjetik/rregullator, teknik</w:t>
            </w:r>
          </w:p>
        </w:tc>
      </w:tr>
      <w:tr w:rsidR="005C57AD" w:rsidRPr="004A64EF" w14:paraId="1C12555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4D2E73A0" w14:textId="77777777" w:rsidR="005C57AD" w:rsidRPr="004A64EF" w:rsidRDefault="005C57AD">
            <w:pPr>
              <w:spacing w:before="20" w:after="20"/>
              <w:jc w:val="left"/>
              <w:rPr>
                <w:color w:val="FFFFFF" w:themeColor="background1"/>
                <w:sz w:val="18"/>
                <w:szCs w:val="18"/>
              </w:rPr>
            </w:pPr>
            <w:r>
              <w:rPr>
                <w:color w:val="FFFFFF" w:themeColor="background1"/>
                <w:sz w:val="18"/>
              </w:rPr>
              <w:t>Statusi i implementimit</w:t>
            </w:r>
          </w:p>
        </w:tc>
        <w:tc>
          <w:tcPr>
            <w:tcW w:w="7139" w:type="dxa"/>
            <w:vAlign w:val="center"/>
          </w:tcPr>
          <w:p w14:paraId="0A168EAE"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Në zbatim</w:t>
            </w:r>
          </w:p>
          <w:p w14:paraId="1E6C5C9D" w14:textId="77777777" w:rsidR="005C57AD" w:rsidRPr="004A64EF" w:rsidRDefault="005C57AD" w:rsidP="00AF7BBF">
            <w:pPr>
              <w:pStyle w:val="ListParagraph"/>
              <w:numPr>
                <w:ilvl w:val="0"/>
                <w:numId w:val="35"/>
              </w:num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Rregullorja MMPHI Nr. 03/18 e Procedurave për Certifikimin e Performancës Energjetike në Ndërtesë e miratuar më 10.12.2018</w:t>
            </w:r>
          </w:p>
          <w:p w14:paraId="3E29BDBD" w14:textId="422C3D50" w:rsidR="005C57AD" w:rsidRPr="004A64EF" w:rsidRDefault="005C57AD" w:rsidP="00AF7BBF">
            <w:pPr>
              <w:pStyle w:val="ListParagraph"/>
              <w:numPr>
                <w:ilvl w:val="0"/>
                <w:numId w:val="35"/>
              </w:num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Regjistri Kombëtar për Efiçiencë të Energjisë u krijua si një platformë mbarëkombëtare për administrimin, funksionimin dhe monitorimin e </w:t>
            </w:r>
            <w:r>
              <w:rPr>
                <w:sz w:val="18"/>
              </w:rPr>
              <w:lastRenderedPageBreak/>
              <w:t xml:space="preserve">performancës së energjisë në ndërtesa, i mbështetur nga projekti GIZ KEP në vitin 2023. </w:t>
            </w:r>
          </w:p>
          <w:p w14:paraId="6260D92B" w14:textId="77777777" w:rsidR="005C57AD" w:rsidRPr="004A64EF" w:rsidRDefault="005C57AD" w:rsidP="00AF7BBF">
            <w:pPr>
              <w:pStyle w:val="ListParagraph"/>
              <w:numPr>
                <w:ilvl w:val="0"/>
                <w:numId w:val="35"/>
              </w:num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Trajnerët e parë (15) u kualifikuan për përdorimin e softuerit për llogaritjen e performancës energjetike dhe lëshimin e certifikatave energjetike në ndërtesa gjithashtu si pjesë e zbatimit të kësaj rregulloreje. Universiteti i Prishtinës së shpejti do të ofrojë trajnime për vlerësuesit e energjisë.</w:t>
            </w:r>
          </w:p>
          <w:p w14:paraId="02F8C10A" w14:textId="690CDEEC" w:rsidR="005C57AD" w:rsidRPr="004A64EF" w:rsidRDefault="005C57AD" w:rsidP="00FF705C">
            <w:pPr>
              <w:pStyle w:val="ListParagraph"/>
              <w:numPr>
                <w:ilvl w:val="0"/>
                <w:numId w:val="35"/>
              </w:num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Softueri i llogaritjes së CPE-ve i përgatitur nga Instituti Fraunhofer (i mbështetur nga KfW) është inkorporuar në këtë platformë dhe do të bëhet funksional në vitin 2024.</w:t>
            </w:r>
          </w:p>
        </w:tc>
      </w:tr>
      <w:tr w:rsidR="005C57AD" w:rsidRPr="004A64EF" w14:paraId="728312A3"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06614ACC" w14:textId="77777777" w:rsidR="005C57AD" w:rsidRPr="004A64EF" w:rsidRDefault="005C57AD">
            <w:pPr>
              <w:spacing w:before="20" w:after="20"/>
              <w:jc w:val="left"/>
              <w:rPr>
                <w:color w:val="FFFFFF" w:themeColor="background1"/>
                <w:sz w:val="18"/>
                <w:szCs w:val="18"/>
              </w:rPr>
            </w:pPr>
            <w:r>
              <w:rPr>
                <w:color w:val="FFFFFF" w:themeColor="background1"/>
                <w:sz w:val="18"/>
              </w:rPr>
              <w:lastRenderedPageBreak/>
              <w:t>Efektet kuantitative</w:t>
            </w:r>
          </w:p>
        </w:tc>
        <w:tc>
          <w:tcPr>
            <w:tcW w:w="7139" w:type="dxa"/>
            <w:vAlign w:val="center"/>
          </w:tcPr>
          <w:p w14:paraId="14BAAC3F" w14:textId="27EE930D"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Kursimet e energjisë përfundimtare prej 0.25 ktoe në periudhën 2021-2023 dhe 0.24 ktoe në periudhën 2024-2030</w:t>
            </w:r>
          </w:p>
          <w:p w14:paraId="5D7F2A35" w14:textId="341EFADF" w:rsidR="005C57AD" w:rsidRPr="004A64EF" w:rsidRDefault="00CD067A">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Burimi: Vlerësimet e ekspertëve bazuar në Strategjinë e Energjisë</w:t>
            </w:r>
          </w:p>
        </w:tc>
      </w:tr>
      <w:tr w:rsidR="005C57AD" w:rsidRPr="004A64EF" w14:paraId="53CE6C1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296ED9D2" w14:textId="77777777" w:rsidR="005C57AD" w:rsidRPr="004A64EF" w:rsidRDefault="005C57AD">
            <w:pPr>
              <w:spacing w:before="20" w:after="20"/>
              <w:jc w:val="left"/>
              <w:rPr>
                <w:color w:val="FFFFFF" w:themeColor="background1"/>
                <w:sz w:val="18"/>
                <w:szCs w:val="18"/>
              </w:rPr>
            </w:pPr>
            <w:r>
              <w:rPr>
                <w:color w:val="FFFFFF" w:themeColor="background1"/>
                <w:sz w:val="18"/>
              </w:rPr>
              <w:t>Investimet</w:t>
            </w:r>
          </w:p>
        </w:tc>
        <w:tc>
          <w:tcPr>
            <w:tcW w:w="7139" w:type="dxa"/>
            <w:vAlign w:val="center"/>
          </w:tcPr>
          <w:p w14:paraId="1CA728A1" w14:textId="7B502A80"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0.26 mil. euro (deri në vitin 2025); Burimi: Vlerësimet e ekspertëve</w:t>
            </w:r>
          </w:p>
        </w:tc>
      </w:tr>
      <w:tr w:rsidR="005C57AD" w:rsidRPr="004A64EF" w14:paraId="56BA5B05"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3114E899" w14:textId="77777777" w:rsidR="005C57AD" w:rsidRPr="004A64EF" w:rsidRDefault="005C57AD">
            <w:pPr>
              <w:spacing w:before="20" w:after="20"/>
              <w:jc w:val="left"/>
              <w:rPr>
                <w:color w:val="FFFFFF" w:themeColor="background1"/>
                <w:sz w:val="18"/>
                <w:szCs w:val="18"/>
              </w:rPr>
            </w:pPr>
            <w:r>
              <w:rPr>
                <w:color w:val="FFFFFF" w:themeColor="background1"/>
                <w:sz w:val="18"/>
              </w:rPr>
              <w:t>Institucioni përgjegjës</w:t>
            </w:r>
          </w:p>
        </w:tc>
        <w:tc>
          <w:tcPr>
            <w:tcW w:w="7139" w:type="dxa"/>
            <w:vAlign w:val="center"/>
          </w:tcPr>
          <w:p w14:paraId="0A2C0B4E" w14:textId="068C34C4"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MMPHI, ME</w:t>
            </w:r>
          </w:p>
        </w:tc>
      </w:tr>
      <w:tr w:rsidR="005C57AD" w:rsidRPr="004A64EF" w14:paraId="7F7314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4642A4AF" w14:textId="77777777" w:rsidR="005C57AD" w:rsidRPr="004A64EF" w:rsidRDefault="005C57AD">
            <w:pPr>
              <w:spacing w:before="20" w:after="20"/>
              <w:jc w:val="left"/>
              <w:rPr>
                <w:color w:val="FFFFFF" w:themeColor="background1"/>
                <w:sz w:val="18"/>
                <w:szCs w:val="18"/>
              </w:rPr>
            </w:pPr>
            <w:r>
              <w:rPr>
                <w:color w:val="FFFFFF" w:themeColor="background1"/>
                <w:sz w:val="18"/>
              </w:rPr>
              <w:t>Treguesit e progresit</w:t>
            </w:r>
          </w:p>
        </w:tc>
        <w:tc>
          <w:tcPr>
            <w:tcW w:w="7139" w:type="dxa"/>
            <w:vAlign w:val="center"/>
          </w:tcPr>
          <w:p w14:paraId="05B4AD90"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Numri i certifikatave energjetike </w:t>
            </w:r>
          </w:p>
        </w:tc>
      </w:tr>
      <w:tr w:rsidR="005C57AD" w:rsidRPr="00976D33" w14:paraId="29F47E71" w14:textId="77777777">
        <w:tc>
          <w:tcPr>
            <w:cnfStyle w:val="001000000000" w:firstRow="0" w:lastRow="0" w:firstColumn="1" w:lastColumn="0" w:oddVBand="0" w:evenVBand="0" w:oddHBand="0" w:evenHBand="0" w:firstRowFirstColumn="0" w:firstRowLastColumn="0" w:lastRowFirstColumn="0" w:lastRowLastColumn="0"/>
            <w:tcW w:w="2425" w:type="dxa"/>
          </w:tcPr>
          <w:p w14:paraId="7CE92C22" w14:textId="3E567442" w:rsidR="005C57AD" w:rsidRPr="004A64EF" w:rsidRDefault="005C57AD">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39" w:type="dxa"/>
          </w:tcPr>
          <w:p w14:paraId="184F0160" w14:textId="77777777" w:rsidR="005C57AD" w:rsidRPr="00976D33"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Dekarbonizimi, siguria energjetike</w:t>
            </w:r>
          </w:p>
        </w:tc>
      </w:tr>
    </w:tbl>
    <w:p w14:paraId="5ED8F15C" w14:textId="77777777" w:rsidR="009A7A8D" w:rsidRPr="00976D33" w:rsidRDefault="009A7A8D" w:rsidP="005C57AD">
      <w:pPr>
        <w:rPr>
          <w:rFonts w:ascii="Calibri" w:hAnsi="Calibri"/>
        </w:rPr>
      </w:pPr>
    </w:p>
    <w:tbl>
      <w:tblPr>
        <w:tblStyle w:val="GridTable5Dark-Accent1"/>
        <w:tblW w:w="0" w:type="auto"/>
        <w:tblLook w:val="04A0" w:firstRow="1" w:lastRow="0" w:firstColumn="1" w:lastColumn="0" w:noHBand="0" w:noVBand="1"/>
      </w:tblPr>
      <w:tblGrid>
        <w:gridCol w:w="2425"/>
        <w:gridCol w:w="7139"/>
      </w:tblGrid>
      <w:tr w:rsidR="005C57AD" w:rsidRPr="004A64EF" w14:paraId="555E2A5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52C7C85B" w14:textId="6BEFCC39" w:rsidR="005C57AD" w:rsidRPr="004A64EF" w:rsidRDefault="005C57AD">
            <w:pPr>
              <w:spacing w:before="20" w:after="20"/>
              <w:jc w:val="left"/>
              <w:rPr>
                <w:color w:val="FFFFFF" w:themeColor="background1"/>
                <w:sz w:val="18"/>
                <w:szCs w:val="18"/>
              </w:rPr>
            </w:pPr>
            <w:bookmarkStart w:id="226" w:name="_Toc71247188"/>
            <w:bookmarkStart w:id="227" w:name="_Toc138210168"/>
            <w:bookmarkStart w:id="228" w:name="_Toc138998469"/>
            <w:bookmarkStart w:id="229" w:name="_Toc37795461"/>
            <w:r>
              <w:rPr>
                <w:color w:val="FFFFFF" w:themeColor="background1"/>
                <w:sz w:val="18"/>
              </w:rPr>
              <w:t xml:space="preserve">PM 29: Inspektimi i sistemeve të ngrohjes, ftohjes dhe </w:t>
            </w:r>
            <w:bookmarkEnd w:id="226"/>
            <w:bookmarkEnd w:id="227"/>
            <w:bookmarkEnd w:id="228"/>
            <w:r>
              <w:rPr>
                <w:color w:val="FFFFFF" w:themeColor="background1"/>
                <w:sz w:val="18"/>
              </w:rPr>
              <w:t>ventilimit</w:t>
            </w:r>
          </w:p>
        </w:tc>
      </w:tr>
      <w:tr w:rsidR="005C57AD" w:rsidRPr="004A64EF" w14:paraId="2DD5905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281A1A1B" w14:textId="1B63748B" w:rsidR="005C57AD" w:rsidRPr="004A64EF" w:rsidRDefault="005C57AD">
            <w:pPr>
              <w:spacing w:before="20" w:after="20"/>
              <w:jc w:val="left"/>
              <w:rPr>
                <w:b w:val="0"/>
                <w:bCs w:val="0"/>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 xml:space="preserve"> Neni 17 i Ligji të ri për Performancën Energjetike në Ndërtesa në Kosovë përcakton inspektimet e detyrueshme për sistemet e ngrohjes dhe kondicionimit të ajrit për të vlerësuar gjendjen dhe efiçiencën e tyre. Pronarëve të ndërtesave u kërkohet të kryejnë inspektime të rregullta për sistemet e ngrohjes me kaldaja ose sistemet e kombinuara të ngrohjes dhe ventilimit që tejkalojnë 70 kW i kapacitetit të instaluara, si dhe sistemet e kondicionimit të ajrit me fuqi efektive mbi 70 kW. Inspektimet mbulojnë të gjitha pjesët e qasshme të sistemeve dhe përfshijnë vlerësimet e efiçiencës dhe madhësisë në krahasim me kërkesat e ndërtesave. Përjashtimet zbatohen për sisteme në kushte të caktuara, si p.sh. nëse nuk ka ndryshime që nga inspektimi i fundit ose për sistemet të mbuluara nga kontrata për performancën energjetike. Ndërtesat jorezidenciale me sisteme më të mëdha të ngrohjes ose kondicionimit të ajrit mund të kërkojnë sisteme automatizimi të ndërtesave për monitorim të vazhdueshëm dhe optimizim të energjisë. Raportet e inspektimit duhet të dorëzohen në MMPHI, duke përfshirë vlerësimet e efiçiencës, rekomandimet për përmirësim dhe krahasimet me standardet rregullative. Ministria do të vendosë procedura të detajuara të inspektimit përmes akteve nënligjore dhe mund të zbatojë masa alternative për këshillimin e sistemit dhe vlerësimin e efiçiencës. MMPHI do t’ia paraqesë çdo tre vjet Sekretariatit të Komunitetit të Energjisë një raport mbi efektivitetin e këtyre masave, sipas kërkesës.</w:t>
            </w:r>
          </w:p>
          <w:p w14:paraId="0C684DFC" w14:textId="77777777" w:rsidR="005C57AD" w:rsidRPr="004A64EF" w:rsidRDefault="005C57AD">
            <w:pPr>
              <w:spacing w:before="20" w:after="20"/>
              <w:jc w:val="left"/>
              <w:rPr>
                <w:b w:val="0"/>
                <w:bCs w:val="0"/>
                <w:color w:val="FFFFFF" w:themeColor="background1"/>
                <w:sz w:val="18"/>
                <w:szCs w:val="18"/>
              </w:rPr>
            </w:pPr>
          </w:p>
          <w:p w14:paraId="18847DAA" w14:textId="77777777" w:rsidR="005C57AD" w:rsidRPr="004A64EF" w:rsidRDefault="005C57AD">
            <w:pPr>
              <w:spacing w:before="20" w:after="20"/>
              <w:jc w:val="left"/>
              <w:rPr>
                <w:color w:val="FFFFFF" w:themeColor="background1"/>
                <w:sz w:val="18"/>
                <w:szCs w:val="18"/>
              </w:rPr>
            </w:pPr>
            <w:r>
              <w:rPr>
                <w:b w:val="0"/>
                <w:color w:val="FFFFFF" w:themeColor="background1"/>
                <w:sz w:val="18"/>
              </w:rPr>
              <w:t xml:space="preserve">Për më tepër, neni 18 i ligjit të ri përcakton një sistem të pavarur kontrolli të menaxhuar nga MMPHI për të siguruar që raportet e inspektimit të sistemit të ngrohjes dhe kondicionimit të ajrit të regjistrohen me saktësi, me të dhëna të vlefshme hyrëse dhe rezultate dhe rekomandime të sakta. Ministria do të verifikojë në mënyrë të rastësishme një përqindje statistikisht të rëndësishme të këtyre raporteve çdo vit, duke përzgjedhur kontrollorët përmes një procesi konkurrues dhe transparent. Individëve që veprojnë si kontrollorë u ndalohet të kryejnë detyra si ekspertë të pavarur. </w:t>
            </w:r>
          </w:p>
        </w:tc>
      </w:tr>
      <w:tr w:rsidR="005C57AD" w:rsidRPr="004A64EF" w14:paraId="379F4AE7"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750E37AF" w14:textId="77777777" w:rsidR="005C57AD" w:rsidRPr="004A64EF" w:rsidRDefault="005C57AD">
            <w:pPr>
              <w:spacing w:before="20" w:after="20"/>
              <w:jc w:val="left"/>
              <w:rPr>
                <w:color w:val="FFFFFF" w:themeColor="background1"/>
                <w:sz w:val="18"/>
                <w:szCs w:val="18"/>
              </w:rPr>
            </w:pPr>
            <w:r>
              <w:rPr>
                <w:color w:val="FFFFFF" w:themeColor="background1"/>
                <w:sz w:val="18"/>
              </w:rPr>
              <w:t>Sektori/lloji</w:t>
            </w:r>
          </w:p>
        </w:tc>
        <w:tc>
          <w:tcPr>
            <w:tcW w:w="7139" w:type="dxa"/>
            <w:vAlign w:val="center"/>
          </w:tcPr>
          <w:p w14:paraId="3D7B209F" w14:textId="77777777"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Energjetik/rregullator</w:t>
            </w:r>
          </w:p>
        </w:tc>
      </w:tr>
      <w:tr w:rsidR="005C57AD" w:rsidRPr="004A64EF" w14:paraId="7164E5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75096345" w14:textId="77777777" w:rsidR="005C57AD" w:rsidRPr="004A64EF" w:rsidRDefault="005C57AD">
            <w:pPr>
              <w:spacing w:before="20" w:after="20"/>
              <w:jc w:val="left"/>
              <w:rPr>
                <w:color w:val="FFFFFF" w:themeColor="background1"/>
                <w:sz w:val="18"/>
                <w:szCs w:val="18"/>
              </w:rPr>
            </w:pPr>
            <w:r>
              <w:rPr>
                <w:color w:val="FFFFFF" w:themeColor="background1"/>
                <w:sz w:val="18"/>
              </w:rPr>
              <w:t>Statusi i implementimit</w:t>
            </w:r>
          </w:p>
        </w:tc>
        <w:tc>
          <w:tcPr>
            <w:tcW w:w="7139" w:type="dxa"/>
            <w:vAlign w:val="center"/>
          </w:tcPr>
          <w:p w14:paraId="043248BA"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Në zbatim </w:t>
            </w:r>
          </w:p>
          <w:p w14:paraId="181CC863" w14:textId="77777777" w:rsidR="005C57AD" w:rsidRPr="004A64EF" w:rsidRDefault="005C57AD" w:rsidP="00AF7BBF">
            <w:pPr>
              <w:pStyle w:val="ListParagraph"/>
              <w:numPr>
                <w:ilvl w:val="0"/>
                <w:numId w:val="35"/>
              </w:num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Rregullorja MESPI Nr. 01/2018 për Inspektimin e Sistemeve të Ngrohjes dhe Sistemeve për Kondicionim të Ajrit është miratuar më 16.02.2018.</w:t>
            </w:r>
          </w:p>
          <w:p w14:paraId="23403603" w14:textId="77777777" w:rsidR="005C57AD" w:rsidRPr="004A64EF" w:rsidRDefault="005C57AD" w:rsidP="00AF7BBF">
            <w:pPr>
              <w:pStyle w:val="ListParagraph"/>
              <w:numPr>
                <w:ilvl w:val="0"/>
                <w:numId w:val="35"/>
              </w:num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Brenda 12 muajve nga miratimi i Ligjit të ri për Performancën Energjetike në Ndërtesa, MMPHI do të miratojë një akt nënligjor, që përcakton procesin për inspektimin e sistemeve të ngrohjes dhe kondicionimit të ajrit, duke përfshirë taksat e aplikueshme, procedurat, përmbajtjen dhe kërkesat pasuese për raportim lidhur me inspektimet.</w:t>
            </w:r>
          </w:p>
        </w:tc>
      </w:tr>
      <w:tr w:rsidR="005C57AD" w:rsidRPr="004A64EF" w14:paraId="4E9A3434"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46D206ED" w14:textId="77777777" w:rsidR="005C57AD" w:rsidRPr="004A64EF" w:rsidRDefault="005C57AD">
            <w:pPr>
              <w:spacing w:before="20" w:after="20"/>
              <w:jc w:val="left"/>
              <w:rPr>
                <w:color w:val="FFFFFF" w:themeColor="background1"/>
                <w:sz w:val="18"/>
                <w:szCs w:val="18"/>
              </w:rPr>
            </w:pPr>
            <w:r>
              <w:rPr>
                <w:color w:val="FFFFFF" w:themeColor="background1"/>
                <w:sz w:val="18"/>
              </w:rPr>
              <w:t>Efektet kuantitative</w:t>
            </w:r>
          </w:p>
        </w:tc>
        <w:tc>
          <w:tcPr>
            <w:tcW w:w="7139" w:type="dxa"/>
            <w:vAlign w:val="center"/>
          </w:tcPr>
          <w:p w14:paraId="02609754" w14:textId="24084EF9" w:rsidR="005C57AD" w:rsidRPr="004A64EF" w:rsidRDefault="0061575E">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Rregullorja e re do të hartohet 12 muaj pas miratimit të Ligjit të ri për PE</w:t>
            </w:r>
          </w:p>
        </w:tc>
      </w:tr>
      <w:tr w:rsidR="005C57AD" w:rsidRPr="004A64EF" w14:paraId="5266760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CD17BB3" w14:textId="77777777" w:rsidR="005C57AD" w:rsidRPr="004A64EF" w:rsidRDefault="005C57AD">
            <w:pPr>
              <w:spacing w:before="20" w:after="20"/>
              <w:jc w:val="left"/>
              <w:rPr>
                <w:color w:val="FFFFFF" w:themeColor="background1"/>
                <w:sz w:val="18"/>
                <w:szCs w:val="18"/>
              </w:rPr>
            </w:pPr>
            <w:r>
              <w:rPr>
                <w:color w:val="FFFFFF" w:themeColor="background1"/>
                <w:sz w:val="18"/>
              </w:rPr>
              <w:t>Investimet</w:t>
            </w:r>
          </w:p>
        </w:tc>
        <w:tc>
          <w:tcPr>
            <w:tcW w:w="7139" w:type="dxa"/>
            <w:vAlign w:val="center"/>
          </w:tcPr>
          <w:p w14:paraId="5B832D1C" w14:textId="3F2E192F" w:rsidR="005C57AD" w:rsidRPr="004A64EF" w:rsidRDefault="003F4D29">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Gjithsej 0.6 mil. euro deri në vitin 2030, 0.1 mil. euro në vit (2025-2030) për zbatimin e rregullores (Burimi: Vlerësimet e ekspertëve</w:t>
            </w:r>
          </w:p>
        </w:tc>
      </w:tr>
      <w:tr w:rsidR="005C57AD" w:rsidRPr="004A64EF" w14:paraId="433BAAB0"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3FCA7868" w14:textId="77777777" w:rsidR="005C57AD" w:rsidRPr="004A64EF" w:rsidRDefault="005C57AD">
            <w:pPr>
              <w:spacing w:before="20" w:after="20"/>
              <w:jc w:val="left"/>
              <w:rPr>
                <w:color w:val="FFFFFF" w:themeColor="background1"/>
                <w:sz w:val="18"/>
                <w:szCs w:val="18"/>
              </w:rPr>
            </w:pPr>
            <w:r>
              <w:rPr>
                <w:color w:val="FFFFFF" w:themeColor="background1"/>
                <w:sz w:val="18"/>
              </w:rPr>
              <w:t>Institucioni përgjegjës</w:t>
            </w:r>
          </w:p>
        </w:tc>
        <w:tc>
          <w:tcPr>
            <w:tcW w:w="7139" w:type="dxa"/>
            <w:vAlign w:val="center"/>
          </w:tcPr>
          <w:p w14:paraId="5579F869" w14:textId="5F613D10"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MMPHI </w:t>
            </w:r>
          </w:p>
        </w:tc>
      </w:tr>
      <w:tr w:rsidR="005C57AD" w:rsidRPr="004A64EF" w14:paraId="6BDAB89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30FF3E8" w14:textId="77777777" w:rsidR="005C57AD" w:rsidRPr="004A64EF" w:rsidRDefault="005C57AD">
            <w:pPr>
              <w:spacing w:before="20" w:after="20"/>
              <w:jc w:val="left"/>
              <w:rPr>
                <w:color w:val="FFFFFF" w:themeColor="background1"/>
                <w:sz w:val="18"/>
                <w:szCs w:val="18"/>
              </w:rPr>
            </w:pPr>
            <w:r>
              <w:rPr>
                <w:color w:val="FFFFFF" w:themeColor="background1"/>
                <w:sz w:val="18"/>
              </w:rPr>
              <w:t>Treguesit e progresit</w:t>
            </w:r>
          </w:p>
        </w:tc>
        <w:tc>
          <w:tcPr>
            <w:tcW w:w="7139" w:type="dxa"/>
            <w:vAlign w:val="center"/>
          </w:tcPr>
          <w:p w14:paraId="760D008B"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Numri i inspektimeve të realizuara </w:t>
            </w:r>
          </w:p>
        </w:tc>
      </w:tr>
      <w:tr w:rsidR="005C57AD" w:rsidRPr="00976D33" w14:paraId="46619EEE" w14:textId="77777777">
        <w:tc>
          <w:tcPr>
            <w:cnfStyle w:val="001000000000" w:firstRow="0" w:lastRow="0" w:firstColumn="1" w:lastColumn="0" w:oddVBand="0" w:evenVBand="0" w:oddHBand="0" w:evenHBand="0" w:firstRowFirstColumn="0" w:firstRowLastColumn="0" w:lastRowFirstColumn="0" w:lastRowLastColumn="0"/>
            <w:tcW w:w="2425" w:type="dxa"/>
          </w:tcPr>
          <w:p w14:paraId="40E8B932" w14:textId="228C3169" w:rsidR="005C57AD" w:rsidRPr="004A64EF" w:rsidRDefault="005C57AD">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39" w:type="dxa"/>
          </w:tcPr>
          <w:p w14:paraId="3B15977E" w14:textId="77777777" w:rsidR="005C57AD" w:rsidRPr="00976D33"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Dekarbonizimi, siguria energjetike</w:t>
            </w:r>
          </w:p>
        </w:tc>
      </w:tr>
    </w:tbl>
    <w:p w14:paraId="3337BD3A" w14:textId="77777777" w:rsidR="00AB186D" w:rsidRDefault="00AB186D" w:rsidP="00AB186D">
      <w:pPr>
        <w:pStyle w:val="Heading3"/>
        <w:numPr>
          <w:ilvl w:val="0"/>
          <w:numId w:val="0"/>
        </w:numPr>
      </w:pPr>
      <w:bookmarkStart w:id="230" w:name="_Toc71271819"/>
      <w:bookmarkEnd w:id="229"/>
    </w:p>
    <w:p w14:paraId="48F14572" w14:textId="77777777" w:rsidR="00FE486A" w:rsidRPr="00FE486A" w:rsidRDefault="00FE486A" w:rsidP="00FE486A"/>
    <w:p w14:paraId="2A1AE85A" w14:textId="5139D89C" w:rsidR="005C57AD" w:rsidRPr="00976D33" w:rsidRDefault="00775ADB" w:rsidP="005C57AD">
      <w:pPr>
        <w:pStyle w:val="Heading3"/>
      </w:pPr>
      <w:bookmarkStart w:id="231" w:name="_Toc182302291"/>
      <w:r>
        <w:lastRenderedPageBreak/>
        <w:t>Politika dhe masat për të promovuar shërbimet energjetike dhe për të kapërcyer barrierat</w:t>
      </w:r>
      <w:bookmarkEnd w:id="230"/>
      <w:bookmarkEnd w:id="231"/>
    </w:p>
    <w:tbl>
      <w:tblPr>
        <w:tblStyle w:val="GridTable5Dark-Accent1"/>
        <w:tblW w:w="0" w:type="auto"/>
        <w:tblLook w:val="04A0" w:firstRow="1" w:lastRow="0" w:firstColumn="1" w:lastColumn="0" w:noHBand="0" w:noVBand="1"/>
      </w:tblPr>
      <w:tblGrid>
        <w:gridCol w:w="2425"/>
        <w:gridCol w:w="7139"/>
      </w:tblGrid>
      <w:tr w:rsidR="005C57AD" w:rsidRPr="004A64EF" w14:paraId="613D9B2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6550A101" w14:textId="54119EBE" w:rsidR="005C57AD" w:rsidRPr="004A64EF" w:rsidRDefault="005C57AD">
            <w:pPr>
              <w:spacing w:before="20" w:after="20"/>
              <w:jc w:val="left"/>
              <w:rPr>
                <w:color w:val="FFFFFF" w:themeColor="background1"/>
                <w:sz w:val="18"/>
                <w:szCs w:val="18"/>
              </w:rPr>
            </w:pPr>
            <w:bookmarkStart w:id="232" w:name="_Toc71247189"/>
            <w:bookmarkStart w:id="233" w:name="_Toc138210169"/>
            <w:bookmarkStart w:id="234" w:name="_Toc138998470"/>
            <w:r>
              <w:rPr>
                <w:color w:val="FFFFFF" w:themeColor="background1"/>
                <w:sz w:val="18"/>
              </w:rPr>
              <w:t>PM 30: Kompanitë e Shërbimeve të Energjisë (KSHE)</w:t>
            </w:r>
            <w:bookmarkEnd w:id="232"/>
            <w:bookmarkEnd w:id="233"/>
            <w:bookmarkEnd w:id="234"/>
          </w:p>
        </w:tc>
      </w:tr>
      <w:tr w:rsidR="005C57AD" w:rsidRPr="004A64EF" w14:paraId="505CB2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4242267E" w14:textId="6160EC91" w:rsidR="005C57AD" w:rsidRPr="004A64EF" w:rsidRDefault="005C57AD" w:rsidP="5F25BFDF">
            <w:pPr>
              <w:spacing w:before="20" w:after="20"/>
              <w:jc w:val="left"/>
              <w:rPr>
                <w:b w:val="0"/>
                <w:bCs w:val="0"/>
                <w:color w:val="FFFFFF" w:themeColor="background1"/>
                <w:sz w:val="18"/>
                <w:szCs w:val="18"/>
              </w:rPr>
            </w:pPr>
            <w:r>
              <w:rPr>
                <w:color w:val="FFFFFF" w:themeColor="background1"/>
                <w:sz w:val="18"/>
              </w:rPr>
              <w:t>Përshkrimi i shkurtër dhe objektivi:</w:t>
            </w:r>
            <w:r>
              <w:rPr>
                <w:b w:val="0"/>
                <w:color w:val="FFFFFF" w:themeColor="background1"/>
                <w:sz w:val="18"/>
              </w:rPr>
              <w:t xml:space="preserve"> Kompanitë e Shërbimeve të Energjisë (KSHE) janë një nga mekanizmat përmes të cilave mund të rritet zbatimi i projekteve të efiçiencës së energjisë në Kosovë.</w:t>
            </w:r>
          </w:p>
          <w:p w14:paraId="1376D1D6" w14:textId="3DEC455A" w:rsidR="005C57AD" w:rsidRPr="004A64EF" w:rsidRDefault="005C57AD">
            <w:pPr>
              <w:spacing w:before="20" w:after="20"/>
              <w:jc w:val="left"/>
              <w:rPr>
                <w:b w:val="0"/>
                <w:color w:val="FFFFFF" w:themeColor="background1"/>
                <w:sz w:val="18"/>
                <w:szCs w:val="18"/>
              </w:rPr>
            </w:pPr>
          </w:p>
        </w:tc>
      </w:tr>
      <w:tr w:rsidR="005C57AD" w:rsidRPr="004A64EF" w14:paraId="785B98B8"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0F4A9EBA" w14:textId="77777777" w:rsidR="005C57AD" w:rsidRPr="004A64EF" w:rsidRDefault="005C57AD">
            <w:pPr>
              <w:spacing w:before="20" w:after="20"/>
              <w:jc w:val="left"/>
              <w:rPr>
                <w:color w:val="FFFFFF" w:themeColor="background1"/>
                <w:sz w:val="18"/>
                <w:szCs w:val="18"/>
              </w:rPr>
            </w:pPr>
            <w:r>
              <w:rPr>
                <w:color w:val="FFFFFF" w:themeColor="background1"/>
                <w:sz w:val="18"/>
              </w:rPr>
              <w:t>Sektori/lloji</w:t>
            </w:r>
          </w:p>
        </w:tc>
        <w:tc>
          <w:tcPr>
            <w:tcW w:w="7139" w:type="dxa"/>
            <w:vAlign w:val="center"/>
          </w:tcPr>
          <w:p w14:paraId="3CB7F5C0" w14:textId="77777777"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Energjetik/rregullator, teknik</w:t>
            </w:r>
          </w:p>
        </w:tc>
      </w:tr>
      <w:tr w:rsidR="005C57AD" w:rsidRPr="004A64EF" w14:paraId="653C45C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CFEC01B" w14:textId="77777777" w:rsidR="005C57AD" w:rsidRPr="004A64EF" w:rsidRDefault="005C57AD">
            <w:pPr>
              <w:spacing w:before="20" w:after="20"/>
              <w:jc w:val="left"/>
              <w:rPr>
                <w:color w:val="FFFFFF" w:themeColor="background1"/>
                <w:sz w:val="18"/>
                <w:szCs w:val="18"/>
              </w:rPr>
            </w:pPr>
            <w:r>
              <w:rPr>
                <w:color w:val="FFFFFF" w:themeColor="background1"/>
                <w:sz w:val="18"/>
              </w:rPr>
              <w:t>Statusi i implementimit</w:t>
            </w:r>
          </w:p>
        </w:tc>
        <w:tc>
          <w:tcPr>
            <w:tcW w:w="7139" w:type="dxa"/>
            <w:vAlign w:val="center"/>
          </w:tcPr>
          <w:p w14:paraId="041CAFFE"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Pr>
                <w:sz w:val="18"/>
              </w:rPr>
              <w:t>Në zbatim</w:t>
            </w:r>
          </w:p>
          <w:p w14:paraId="5B985134" w14:textId="58281029" w:rsidR="005C57AD" w:rsidRPr="004A64EF" w:rsidRDefault="005C57AD">
            <w:pPr>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Pr>
                <w:sz w:val="18"/>
              </w:rPr>
              <w:t xml:space="preserve">Neni 15 (3) i Ligjit përcakton se ME publikon në faqen e saj të internetit: </w:t>
            </w:r>
          </w:p>
          <w:p w14:paraId="7D701EFD" w14:textId="77777777" w:rsidR="005C57AD" w:rsidRPr="004A64EF" w:rsidRDefault="005C57AD" w:rsidP="00AF7BBF">
            <w:pPr>
              <w:pStyle w:val="ListParagraph"/>
              <w:numPr>
                <w:ilvl w:val="0"/>
                <w:numId w:val="35"/>
              </w:num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praktikat më të mira për kontraktimin e performancës energjetike, udhëzimet, kontratat mostër, duke përfshirë klauzolat që do të përfshihen në kontrata të tilla për të garantuar kursimin e energjisë dhe të drejtat e konsumatorit përfundimtar;</w:t>
            </w:r>
          </w:p>
          <w:p w14:paraId="5161CDB7" w14:textId="77777777" w:rsidR="005C57AD" w:rsidRPr="004A64EF" w:rsidRDefault="005C57AD" w:rsidP="00AF7BBF">
            <w:pPr>
              <w:pStyle w:val="ListParagraph"/>
              <w:numPr>
                <w:ilvl w:val="0"/>
                <w:numId w:val="35"/>
              </w:num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listën e ofruesve të regjistruar të shërbimeve të energjisë që duhet të përditësohet rregullisht;</w:t>
            </w:r>
          </w:p>
          <w:p w14:paraId="301DBE6C" w14:textId="77777777" w:rsidR="005C57AD" w:rsidRPr="004A64EF" w:rsidRDefault="005C57AD" w:rsidP="00AF7BBF">
            <w:pPr>
              <w:pStyle w:val="ListParagraph"/>
              <w:numPr>
                <w:ilvl w:val="0"/>
                <w:numId w:val="35"/>
              </w:num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çdo instrument financiar në dispozicion, stimuj, grante dhe kredi për të mbështetur projektet e shërbimeve të efiçiencës së energjisë.</w:t>
            </w:r>
          </w:p>
          <w:p w14:paraId="001F0004" w14:textId="4BD0EAEA" w:rsidR="005C57AD" w:rsidRPr="004A64EF" w:rsidRDefault="005C57AD" w:rsidP="003123ED">
            <w:pPr>
              <w:pStyle w:val="ListParagraph"/>
              <w:ind w:left="270"/>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Përveç kësaj, neni 15 (5) i Ligjit për EE përcakton që ME duhet të identifikojë barrierat rregullative dhe jorregullative që pengojnë kontraktimin e performancës së energjisë dhe modeleve të tjera të shërbimeve të efiçiencës së energjisë si për sektorin publik ashtu edhe për atë privat. Në vitin 2021, Ministria e Ekonomisë miratoi Rregulloren për Shërbimin e Energjisë 06/2021 e cila krijon bazën për zbatimin e projekteve të KSHE-ve.  Ministria do t’i propozojë Qeverisë së Kosovës miratimin e akteve nënligjore të nevojshme menjëherë pas rishikimit dhe miratimit të Projektligjit për EE, me qëllim të heqjes së barrierave dhe mundësimin e kontraktimit të performancës energjetike, si në sektorin privat ashtu edhe në atë publik. </w:t>
            </w:r>
          </w:p>
          <w:p w14:paraId="40505792" w14:textId="77777777" w:rsidR="005C57AD" w:rsidRPr="004A64EF" w:rsidRDefault="005C57AD">
            <w:pPr>
              <w:pStyle w:val="ListParagraph"/>
              <w:ind w:left="270"/>
              <w:cnfStyle w:val="000000100000" w:firstRow="0" w:lastRow="0" w:firstColumn="0" w:lastColumn="0" w:oddVBand="0" w:evenVBand="0" w:oddHBand="1" w:evenHBand="0" w:firstRowFirstColumn="0" w:firstRowLastColumn="0" w:lastRowFirstColumn="0" w:lastRowLastColumn="0"/>
              <w:rPr>
                <w:sz w:val="18"/>
                <w:szCs w:val="18"/>
              </w:rPr>
            </w:pPr>
            <w:r>
              <w:rPr>
                <w:sz w:val="18"/>
              </w:rPr>
              <w:t>REEP+ ka mbështetur një studim për vlerësimin e pengesave për implementimin e projekteve të KSHE-ve në Kosovë, i cili tani duhet të pasohet nga ndryshimet përkatëse në legjislacion.</w:t>
            </w:r>
          </w:p>
        </w:tc>
      </w:tr>
      <w:tr w:rsidR="005C57AD" w:rsidRPr="004A64EF" w14:paraId="379DC068"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544D749A" w14:textId="77777777" w:rsidR="005C57AD" w:rsidRPr="004A64EF" w:rsidRDefault="005C57AD">
            <w:pPr>
              <w:spacing w:before="20" w:after="20"/>
              <w:jc w:val="left"/>
              <w:rPr>
                <w:color w:val="FFFFFF" w:themeColor="background1"/>
                <w:sz w:val="18"/>
                <w:szCs w:val="18"/>
              </w:rPr>
            </w:pPr>
            <w:r>
              <w:rPr>
                <w:color w:val="FFFFFF" w:themeColor="background1"/>
                <w:sz w:val="18"/>
              </w:rPr>
              <w:t>Efektet kuantitative</w:t>
            </w:r>
          </w:p>
        </w:tc>
        <w:tc>
          <w:tcPr>
            <w:tcW w:w="7139" w:type="dxa"/>
            <w:vAlign w:val="center"/>
          </w:tcPr>
          <w:p w14:paraId="3A7F1036" w14:textId="28D0F730"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18"/>
              </w:rPr>
            </w:pPr>
            <w:r>
              <w:rPr>
                <w:sz w:val="18"/>
              </w:rPr>
              <w:t xml:space="preserve">2021-2023: 0.055 ktoe, 2024-2030: 0.04 ktoe në vit </w:t>
            </w:r>
            <w:r>
              <w:rPr>
                <w:sz w:val="18"/>
              </w:rPr>
              <w:br/>
              <w:t>Burimi: Strategjia e Energjisë dhe vlerësimet e ekspertëve</w:t>
            </w:r>
          </w:p>
        </w:tc>
      </w:tr>
      <w:tr w:rsidR="005C57AD" w:rsidRPr="004A64EF" w14:paraId="6CA8080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39EB38FD" w14:textId="77777777" w:rsidR="005C57AD" w:rsidRPr="004A64EF" w:rsidRDefault="005C57AD">
            <w:pPr>
              <w:spacing w:before="20" w:after="20"/>
              <w:jc w:val="left"/>
              <w:rPr>
                <w:color w:val="FFFFFF" w:themeColor="background1"/>
                <w:sz w:val="18"/>
                <w:szCs w:val="18"/>
              </w:rPr>
            </w:pPr>
            <w:r>
              <w:rPr>
                <w:color w:val="FFFFFF" w:themeColor="background1"/>
                <w:sz w:val="18"/>
              </w:rPr>
              <w:t>Investimet</w:t>
            </w:r>
          </w:p>
        </w:tc>
        <w:tc>
          <w:tcPr>
            <w:tcW w:w="7139" w:type="dxa"/>
            <w:vAlign w:val="center"/>
          </w:tcPr>
          <w:p w14:paraId="0FF60845" w14:textId="73A7C0A7" w:rsidR="005C57AD" w:rsidRPr="004A64EF" w:rsidRDefault="00091283">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n/a </w:t>
            </w:r>
          </w:p>
        </w:tc>
      </w:tr>
      <w:tr w:rsidR="005C57AD" w:rsidRPr="004A64EF" w14:paraId="4A135A61"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05498B0E" w14:textId="77777777" w:rsidR="005C57AD" w:rsidRPr="004A64EF" w:rsidRDefault="005C57AD">
            <w:pPr>
              <w:spacing w:before="20" w:after="20"/>
              <w:jc w:val="left"/>
              <w:rPr>
                <w:color w:val="FFFFFF" w:themeColor="background1"/>
                <w:sz w:val="18"/>
                <w:szCs w:val="18"/>
              </w:rPr>
            </w:pPr>
            <w:r>
              <w:rPr>
                <w:color w:val="FFFFFF" w:themeColor="background1"/>
                <w:sz w:val="18"/>
              </w:rPr>
              <w:t>Institucioni përgjegjës</w:t>
            </w:r>
          </w:p>
        </w:tc>
        <w:tc>
          <w:tcPr>
            <w:tcW w:w="7139" w:type="dxa"/>
            <w:vAlign w:val="center"/>
          </w:tcPr>
          <w:p w14:paraId="716851B4" w14:textId="77777777"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ME</w:t>
            </w:r>
          </w:p>
        </w:tc>
      </w:tr>
      <w:tr w:rsidR="005C57AD" w:rsidRPr="004A64EF" w14:paraId="0665EB8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37F1BF8" w14:textId="77777777" w:rsidR="005C57AD" w:rsidRPr="004A64EF" w:rsidRDefault="005C57AD">
            <w:pPr>
              <w:spacing w:before="20" w:after="20"/>
              <w:jc w:val="left"/>
              <w:rPr>
                <w:color w:val="FFFFFF" w:themeColor="background1"/>
                <w:sz w:val="18"/>
                <w:szCs w:val="18"/>
              </w:rPr>
            </w:pPr>
            <w:r>
              <w:rPr>
                <w:color w:val="FFFFFF" w:themeColor="background1"/>
                <w:sz w:val="18"/>
              </w:rPr>
              <w:t>Treguesit e progresit</w:t>
            </w:r>
          </w:p>
        </w:tc>
        <w:tc>
          <w:tcPr>
            <w:tcW w:w="7139" w:type="dxa"/>
            <w:vAlign w:val="center"/>
          </w:tcPr>
          <w:p w14:paraId="1E60E60B"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Numri i projekteve të KSHE-ve</w:t>
            </w:r>
          </w:p>
        </w:tc>
      </w:tr>
      <w:tr w:rsidR="005C57AD" w:rsidRPr="00976D33" w14:paraId="39D533EA" w14:textId="77777777">
        <w:tc>
          <w:tcPr>
            <w:cnfStyle w:val="001000000000" w:firstRow="0" w:lastRow="0" w:firstColumn="1" w:lastColumn="0" w:oddVBand="0" w:evenVBand="0" w:oddHBand="0" w:evenHBand="0" w:firstRowFirstColumn="0" w:firstRowLastColumn="0" w:lastRowFirstColumn="0" w:lastRowLastColumn="0"/>
            <w:tcW w:w="2425" w:type="dxa"/>
          </w:tcPr>
          <w:p w14:paraId="0F0917A6" w14:textId="1BC1255C" w:rsidR="005C57AD" w:rsidRPr="004A64EF" w:rsidRDefault="005C57AD">
            <w:pPr>
              <w:spacing w:before="20" w:after="20"/>
              <w:jc w:val="left"/>
              <w:rPr>
                <w:color w:val="FFFFFF" w:themeColor="background1"/>
                <w:sz w:val="18"/>
                <w:szCs w:val="18"/>
              </w:rPr>
            </w:pPr>
            <w:bookmarkStart w:id="235" w:name="_Toc71271820"/>
            <w:r>
              <w:rPr>
                <w:color w:val="FFFFFF" w:themeColor="background1"/>
                <w:sz w:val="18"/>
              </w:rPr>
              <w:t>Lidhja me dimension</w:t>
            </w:r>
            <w:r w:rsidR="0037748E">
              <w:rPr>
                <w:color w:val="FFFFFF" w:themeColor="background1"/>
                <w:sz w:val="18"/>
              </w:rPr>
              <w:t>et e tjera</w:t>
            </w:r>
          </w:p>
        </w:tc>
        <w:tc>
          <w:tcPr>
            <w:tcW w:w="7139" w:type="dxa"/>
          </w:tcPr>
          <w:p w14:paraId="6ADCF5F9" w14:textId="77777777" w:rsidR="005C57AD" w:rsidRPr="00976D33"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Dekarbonizimi, siguria energjetike</w:t>
            </w:r>
          </w:p>
        </w:tc>
      </w:tr>
    </w:tbl>
    <w:p w14:paraId="7285F8B6" w14:textId="7D725AB1" w:rsidR="005C57AD" w:rsidRPr="00976D33" w:rsidRDefault="005C57AD" w:rsidP="005C57AD">
      <w:pPr>
        <w:spacing w:before="0" w:after="200"/>
        <w:jc w:val="left"/>
        <w:rPr>
          <w:rFonts w:asciiTheme="majorHAnsi" w:eastAsiaTheme="majorEastAsia" w:hAnsiTheme="majorHAnsi" w:cstheme="majorBidi"/>
          <w:color w:val="012639" w:themeColor="accent1" w:themeShade="7F"/>
          <w:sz w:val="22"/>
          <w:szCs w:val="24"/>
        </w:rPr>
      </w:pPr>
    </w:p>
    <w:p w14:paraId="18A34F30" w14:textId="63551DE2" w:rsidR="005C57AD" w:rsidRPr="00976D33" w:rsidRDefault="005C57AD" w:rsidP="005C57AD">
      <w:pPr>
        <w:pStyle w:val="Heading3"/>
      </w:pPr>
      <w:bookmarkStart w:id="236" w:name="_Toc182302292"/>
      <w:r>
        <w:t>Politikat, masat dhe program</w:t>
      </w:r>
      <w:r w:rsidR="0037748E">
        <w:t>et e tjera</w:t>
      </w:r>
      <w:r>
        <w:t xml:space="preserve"> të planifikuara për të arritur kontributet kombëtare treguese të efiçiencës së energjisë për vitin 2030 si dhe objektiva të tjerë të përmendur në pikën 2.2.</w:t>
      </w:r>
      <w:bookmarkEnd w:id="235"/>
      <w:bookmarkEnd w:id="236"/>
      <w:r>
        <w:t xml:space="preserve"> </w:t>
      </w:r>
    </w:p>
    <w:tbl>
      <w:tblPr>
        <w:tblStyle w:val="GridTable5Dark-Accent1"/>
        <w:tblW w:w="0" w:type="auto"/>
        <w:tblLook w:val="04A0" w:firstRow="1" w:lastRow="0" w:firstColumn="1" w:lastColumn="0" w:noHBand="0" w:noVBand="1"/>
      </w:tblPr>
      <w:tblGrid>
        <w:gridCol w:w="2425"/>
        <w:gridCol w:w="7139"/>
      </w:tblGrid>
      <w:tr w:rsidR="005C57AD" w:rsidRPr="004A64EF" w14:paraId="405D77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4C219BA9" w14:textId="22206536" w:rsidR="005C57AD" w:rsidRPr="004A64EF" w:rsidRDefault="005C57AD">
            <w:pPr>
              <w:spacing w:before="20" w:after="20"/>
              <w:jc w:val="left"/>
              <w:rPr>
                <w:color w:val="FFFFFF" w:themeColor="background1"/>
                <w:sz w:val="18"/>
                <w:szCs w:val="18"/>
              </w:rPr>
            </w:pPr>
            <w:bookmarkStart w:id="237" w:name="_Ref164908685"/>
            <w:bookmarkStart w:id="238" w:name="_Toc71247190"/>
            <w:bookmarkStart w:id="239" w:name="_Toc138210170"/>
            <w:bookmarkStart w:id="240" w:name="_Toc138998471"/>
            <w:r>
              <w:rPr>
                <w:color w:val="FFFFFF" w:themeColor="background1"/>
                <w:sz w:val="18"/>
              </w:rPr>
              <w:t>PM</w:t>
            </w:r>
            <w:bookmarkEnd w:id="237"/>
            <w:r>
              <w:rPr>
                <w:color w:val="FFFFFF" w:themeColor="background1"/>
                <w:sz w:val="18"/>
              </w:rPr>
              <w:t xml:space="preserve"> 31: Përmirësimi dhe zgjerimi i sistemeve të ngrohjes qendrore të “Termokosit” në Prishtinë</w:t>
            </w:r>
            <w:bookmarkEnd w:id="238"/>
            <w:r>
              <w:rPr>
                <w:color w:val="FFFFFF" w:themeColor="background1"/>
                <w:sz w:val="18"/>
              </w:rPr>
              <w:t xml:space="preserve"> dhe ngrohtores në Gjakovë</w:t>
            </w:r>
            <w:bookmarkEnd w:id="239"/>
            <w:bookmarkEnd w:id="240"/>
          </w:p>
        </w:tc>
      </w:tr>
      <w:tr w:rsidR="005C57AD" w:rsidRPr="004A64EF" w14:paraId="29A8B83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5CB34422" w14:textId="77777777" w:rsidR="005C57AD" w:rsidRPr="004A64EF" w:rsidRDefault="005C57AD">
            <w:pPr>
              <w:spacing w:before="20" w:after="20"/>
              <w:jc w:val="left"/>
              <w:rPr>
                <w:b w:val="0"/>
                <w:bCs w:val="0"/>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Përmirësimi i sistemeve të ngrohjes qendrore të Prishtinës dhe Gjakovës do të rrisë efiçiencën e sistemeve dhe do t’u mundësojë shumë ekonomive familjare dhe ndërtesave komerciale të bëjnë një kalim të lëndës djegës për ngrohje, nga energjia elektrike dhe biomasa në NQ. Kjo do të rrisë efiçiencën e përgjithshme të sistemit energjetik.</w:t>
            </w:r>
          </w:p>
          <w:p w14:paraId="6449AD4F" w14:textId="77777777" w:rsidR="005C57AD" w:rsidRPr="004A64EF" w:rsidRDefault="005C57AD">
            <w:pPr>
              <w:spacing w:before="20" w:after="20"/>
              <w:jc w:val="left"/>
              <w:rPr>
                <w:b w:val="0"/>
                <w:bCs w:val="0"/>
                <w:color w:val="FFFFFF" w:themeColor="background1"/>
                <w:sz w:val="18"/>
                <w:szCs w:val="18"/>
              </w:rPr>
            </w:pPr>
            <w:r>
              <w:rPr>
                <w:b w:val="0"/>
                <w:color w:val="FFFFFF" w:themeColor="background1"/>
                <w:sz w:val="18"/>
              </w:rPr>
              <w:t xml:space="preserve">Pas marrëveshjes financiare ndërmjet qeverisë gjermane dhe qeverisë së Kosovës për mbështetje financiare në kuadër të programit për sektorin e energjisë VIII dhe IX – në maj të vitit 2021 filloi projekti për rehabilitimin dhe zgjerimin e rrjetit të NQ Termokos. Ky projekt, i udhëhequr nga Banka Gjermane për Zhvillim (KfW), është në fazën përgatitore dhe përmban këta komponentë kryesorë: </w:t>
            </w:r>
          </w:p>
          <w:p w14:paraId="798A8B2F" w14:textId="72E76CC9" w:rsidR="005C57AD" w:rsidRPr="004A64EF" w:rsidRDefault="005C57AD" w:rsidP="00AF7BBF">
            <w:pPr>
              <w:pStyle w:val="ListParagraph"/>
              <w:numPr>
                <w:ilvl w:val="0"/>
                <w:numId w:val="61"/>
              </w:numPr>
              <w:spacing w:before="20" w:after="20"/>
              <w:ind w:left="426"/>
              <w:jc w:val="left"/>
              <w:rPr>
                <w:b w:val="0"/>
                <w:bCs w:val="0"/>
                <w:color w:val="FFFFFF" w:themeColor="background1"/>
                <w:sz w:val="18"/>
                <w:szCs w:val="18"/>
              </w:rPr>
            </w:pPr>
            <w:r>
              <w:rPr>
                <w:b w:val="0"/>
                <w:color w:val="FFFFFF" w:themeColor="background1"/>
                <w:sz w:val="18"/>
              </w:rPr>
              <w:t>Rehabilitimi i rrjetit të shpërndarjes së NQ Termokos me trase prej 6.5 km ose 13 km tubacion të ri</w:t>
            </w:r>
          </w:p>
          <w:p w14:paraId="530A81F5" w14:textId="02B835BC" w:rsidR="005C57AD" w:rsidRPr="004A64EF" w:rsidRDefault="005C57AD" w:rsidP="00AF7BBF">
            <w:pPr>
              <w:pStyle w:val="ListParagraph"/>
              <w:numPr>
                <w:ilvl w:val="0"/>
                <w:numId w:val="61"/>
              </w:numPr>
              <w:spacing w:before="20" w:after="20"/>
              <w:ind w:left="426"/>
              <w:jc w:val="left"/>
              <w:rPr>
                <w:b w:val="0"/>
                <w:bCs w:val="0"/>
                <w:color w:val="FFFFFF" w:themeColor="background1"/>
                <w:sz w:val="18"/>
                <w:szCs w:val="18"/>
              </w:rPr>
            </w:pPr>
            <w:r>
              <w:rPr>
                <w:b w:val="0"/>
                <w:color w:val="FFFFFF" w:themeColor="background1"/>
                <w:sz w:val="18"/>
              </w:rPr>
              <w:t>Zgjerimi i rrjetit me segmente të reja me gjatësi totale të trasesë prej 14.9 km ose 29.8 km tubacion të ri</w:t>
            </w:r>
          </w:p>
          <w:p w14:paraId="019C6899" w14:textId="4765581C" w:rsidR="001A65E6" w:rsidRPr="004A64EF" w:rsidRDefault="001A65E6" w:rsidP="00AF7BBF">
            <w:pPr>
              <w:pStyle w:val="ListParagraph"/>
              <w:numPr>
                <w:ilvl w:val="0"/>
                <w:numId w:val="61"/>
              </w:numPr>
              <w:spacing w:before="20" w:after="20"/>
              <w:ind w:left="426"/>
              <w:jc w:val="left"/>
              <w:rPr>
                <w:b w:val="0"/>
                <w:bCs w:val="0"/>
                <w:color w:val="FFFFFF" w:themeColor="background1"/>
                <w:sz w:val="18"/>
                <w:szCs w:val="18"/>
              </w:rPr>
            </w:pPr>
            <w:r>
              <w:rPr>
                <w:b w:val="0"/>
                <w:color w:val="FFFFFF" w:themeColor="background1"/>
                <w:sz w:val="18"/>
              </w:rPr>
              <w:t>Rehabilitimi i 210 nënstacioneve ekzistuese (zëvendësimi i nënstacioneve të vjetra me nënstacione të reja) dhe modernizimi i 30 nënstacioneve ekzistuese.</w:t>
            </w:r>
          </w:p>
          <w:p w14:paraId="0EA29FC2" w14:textId="77777777" w:rsidR="005C57AD" w:rsidRPr="004A64EF" w:rsidRDefault="005C57AD" w:rsidP="00AF7BBF">
            <w:pPr>
              <w:pStyle w:val="ListParagraph"/>
              <w:numPr>
                <w:ilvl w:val="0"/>
                <w:numId w:val="61"/>
              </w:numPr>
              <w:spacing w:before="20" w:after="20"/>
              <w:ind w:left="426"/>
              <w:jc w:val="left"/>
              <w:rPr>
                <w:b w:val="0"/>
                <w:bCs w:val="0"/>
                <w:color w:val="FFFFFF" w:themeColor="background1"/>
                <w:sz w:val="18"/>
                <w:szCs w:val="18"/>
              </w:rPr>
            </w:pPr>
            <w:r>
              <w:rPr>
                <w:b w:val="0"/>
                <w:color w:val="FFFFFF" w:themeColor="background1"/>
                <w:sz w:val="18"/>
              </w:rPr>
              <w:t xml:space="preserve">Instalimi i 320 nënstacioneve të reja pothuajse në të gjitha lagjet e qytetit - ku pritet zgjerimi dhe densifikimi i rrjetit; </w:t>
            </w:r>
          </w:p>
          <w:p w14:paraId="0FD7A07C" w14:textId="77777777" w:rsidR="005C57AD" w:rsidRPr="004A64EF" w:rsidRDefault="005C57AD" w:rsidP="00AF7BBF">
            <w:pPr>
              <w:pStyle w:val="ListParagraph"/>
              <w:numPr>
                <w:ilvl w:val="0"/>
                <w:numId w:val="61"/>
              </w:numPr>
              <w:spacing w:before="20" w:after="20"/>
              <w:ind w:left="426"/>
              <w:jc w:val="left"/>
              <w:rPr>
                <w:b w:val="0"/>
                <w:bCs w:val="0"/>
                <w:color w:val="FFFFFF" w:themeColor="background1"/>
                <w:sz w:val="18"/>
                <w:szCs w:val="18"/>
              </w:rPr>
            </w:pPr>
            <w:r>
              <w:rPr>
                <w:b w:val="0"/>
                <w:color w:val="FFFFFF" w:themeColor="background1"/>
                <w:sz w:val="18"/>
              </w:rPr>
              <w:t>Ndërtimi i rezervuarit të ruajtjes së nxehtësisë me kapacitet prej 800 m</w:t>
            </w:r>
            <w:r>
              <w:rPr>
                <w:b w:val="0"/>
                <w:color w:val="FFFFFF" w:themeColor="background1"/>
                <w:sz w:val="18"/>
                <w:vertAlign w:val="superscript"/>
              </w:rPr>
              <w:t>3</w:t>
            </w:r>
            <w:r>
              <w:rPr>
                <w:b w:val="0"/>
                <w:color w:val="FFFFFF" w:themeColor="background1"/>
                <w:sz w:val="18"/>
              </w:rPr>
              <w:t xml:space="preserve">. </w:t>
            </w:r>
          </w:p>
          <w:p w14:paraId="5E3461B4" w14:textId="77777777" w:rsidR="005C57AD" w:rsidRPr="004A64EF" w:rsidRDefault="005C57AD" w:rsidP="00AF7BBF">
            <w:pPr>
              <w:pStyle w:val="ListParagraph"/>
              <w:numPr>
                <w:ilvl w:val="0"/>
                <w:numId w:val="61"/>
              </w:numPr>
              <w:spacing w:before="20" w:after="20"/>
              <w:ind w:left="426"/>
              <w:jc w:val="left"/>
              <w:rPr>
                <w:b w:val="0"/>
                <w:bCs w:val="0"/>
                <w:color w:val="FFFFFF" w:themeColor="background1"/>
                <w:sz w:val="18"/>
                <w:szCs w:val="18"/>
              </w:rPr>
            </w:pPr>
            <w:r>
              <w:rPr>
                <w:b w:val="0"/>
                <w:color w:val="FFFFFF" w:themeColor="background1"/>
                <w:sz w:val="18"/>
              </w:rPr>
              <w:t xml:space="preserve">Përmirësimi i sistemit të mirëmbajtjes së presionit në rrjetin primar, duke përfshirë instalimin e pompave të reja, dhe sistemit të telekomandimit - SCADA. </w:t>
            </w:r>
          </w:p>
          <w:p w14:paraId="1A951A1F" w14:textId="77777777" w:rsidR="005C57AD" w:rsidRPr="004A64EF" w:rsidRDefault="005C57AD">
            <w:pPr>
              <w:spacing w:before="20" w:after="20"/>
              <w:jc w:val="left"/>
              <w:rPr>
                <w:color w:val="FFFFFF" w:themeColor="background1"/>
                <w:sz w:val="18"/>
                <w:szCs w:val="18"/>
              </w:rPr>
            </w:pPr>
            <w:r>
              <w:rPr>
                <w:b w:val="0"/>
                <w:color w:val="FFFFFF" w:themeColor="background1"/>
                <w:sz w:val="18"/>
              </w:rPr>
              <w:lastRenderedPageBreak/>
              <w:t>Realizimi i masave nga Plani Zhvillimor 10-vjeçar i NQ Termokos (2022-2031) është një hap tjetër i paraparë për të punuar në drejtim të përmirësimit të sistemit të NQ-së.</w:t>
            </w:r>
          </w:p>
          <w:p w14:paraId="6517E808" w14:textId="77777777" w:rsidR="005C57AD" w:rsidRPr="004A64EF" w:rsidRDefault="005C57AD">
            <w:pPr>
              <w:spacing w:before="20" w:after="20"/>
              <w:jc w:val="left"/>
              <w:rPr>
                <w:color w:val="FFFFFF" w:themeColor="background1"/>
                <w:sz w:val="18"/>
                <w:szCs w:val="18"/>
              </w:rPr>
            </w:pPr>
          </w:p>
          <w:p w14:paraId="612D73C4" w14:textId="262867B9" w:rsidR="005C57AD" w:rsidRPr="004A64EF" w:rsidRDefault="005C57AD">
            <w:pPr>
              <w:spacing w:before="20" w:after="20"/>
              <w:jc w:val="left"/>
              <w:rPr>
                <w:b w:val="0"/>
                <w:bCs w:val="0"/>
                <w:color w:val="FFFFFF" w:themeColor="background1"/>
                <w:sz w:val="18"/>
                <w:szCs w:val="18"/>
              </w:rPr>
            </w:pPr>
            <w:r>
              <w:rPr>
                <w:b w:val="0"/>
                <w:color w:val="FFFFFF" w:themeColor="background1"/>
                <w:sz w:val="18"/>
              </w:rPr>
              <w:t xml:space="preserve">Në fund të vitit 2021 ka filluar një projekt për rehabilitimin e sistemit të ngrohjes qendrore dhe përmirësimin e performancës së sistemit të ngrohjes qendrore të Gjakovës. </w:t>
            </w:r>
            <w:r>
              <w:rPr>
                <w:color w:val="FFFFFF" w:themeColor="background1"/>
                <w:sz w:val="18"/>
              </w:rPr>
              <w:t>Në kuadër të programit SECO</w:t>
            </w:r>
            <w:r>
              <w:rPr>
                <w:b w:val="0"/>
                <w:color w:val="FFFFFF" w:themeColor="background1"/>
                <w:sz w:val="18"/>
              </w:rPr>
              <w:t xml:space="preserve">.  Ky projekt përmban 4 komponentë kryesorë: </w:t>
            </w:r>
          </w:p>
          <w:p w14:paraId="27BEFF85" w14:textId="77777777" w:rsidR="005C57AD" w:rsidRPr="004A64EF" w:rsidRDefault="005C57AD" w:rsidP="00AF7BBF">
            <w:pPr>
              <w:pStyle w:val="ListParagraph"/>
              <w:numPr>
                <w:ilvl w:val="0"/>
                <w:numId w:val="61"/>
              </w:numPr>
              <w:spacing w:before="20" w:after="20"/>
              <w:ind w:left="426"/>
              <w:jc w:val="left"/>
              <w:rPr>
                <w:b w:val="0"/>
                <w:bCs w:val="0"/>
                <w:color w:val="FFFFFF" w:themeColor="background1"/>
                <w:sz w:val="18"/>
                <w:szCs w:val="18"/>
              </w:rPr>
            </w:pPr>
            <w:r>
              <w:rPr>
                <w:b w:val="0"/>
                <w:color w:val="FFFFFF" w:themeColor="background1"/>
                <w:sz w:val="18"/>
              </w:rPr>
              <w:t xml:space="preserve">Rehabilitimi i rrjetit të shpërndarjes dhe nënstacioneve: është planifikuar të zëvendësohen rreth 9.7 km tubacion, </w:t>
            </w:r>
          </w:p>
          <w:p w14:paraId="655D5892" w14:textId="77777777" w:rsidR="005C57AD" w:rsidRPr="004A64EF" w:rsidRDefault="005C57AD" w:rsidP="00AF7BBF">
            <w:pPr>
              <w:pStyle w:val="ListParagraph"/>
              <w:numPr>
                <w:ilvl w:val="0"/>
                <w:numId w:val="61"/>
              </w:numPr>
              <w:spacing w:before="20" w:after="20"/>
              <w:ind w:left="426"/>
              <w:jc w:val="left"/>
              <w:rPr>
                <w:b w:val="0"/>
                <w:bCs w:val="0"/>
                <w:color w:val="FFFFFF" w:themeColor="background1"/>
                <w:sz w:val="18"/>
                <w:szCs w:val="18"/>
              </w:rPr>
            </w:pPr>
            <w:r>
              <w:rPr>
                <w:b w:val="0"/>
                <w:color w:val="FFFFFF" w:themeColor="background1"/>
                <w:sz w:val="18"/>
              </w:rPr>
              <w:t xml:space="preserve">Rehabilitimi i 342 nënstacioneve termike duke përfshirë instalimin e pajisjeve (instrumenteve) të kontrollit të presionit/temperaturës/rrjedhës dhe pajisjeve matëse. </w:t>
            </w:r>
          </w:p>
          <w:p w14:paraId="491BCF47" w14:textId="77777777" w:rsidR="005C57AD" w:rsidRPr="004A64EF" w:rsidRDefault="005C57AD" w:rsidP="00AF7BBF">
            <w:pPr>
              <w:pStyle w:val="ListParagraph"/>
              <w:numPr>
                <w:ilvl w:val="0"/>
                <w:numId w:val="61"/>
              </w:numPr>
              <w:spacing w:before="20" w:after="20"/>
              <w:ind w:left="426"/>
              <w:jc w:val="left"/>
              <w:rPr>
                <w:b w:val="0"/>
                <w:bCs w:val="0"/>
                <w:color w:val="FFFFFF" w:themeColor="background1"/>
                <w:sz w:val="18"/>
                <w:szCs w:val="18"/>
              </w:rPr>
            </w:pPr>
            <w:r>
              <w:rPr>
                <w:b w:val="0"/>
                <w:color w:val="FFFFFF" w:themeColor="background1"/>
                <w:sz w:val="18"/>
              </w:rPr>
              <w:t xml:space="preserve">Rehabilitimi i rrjetit të brendshëm (rrjetit dytësor) dhe 14 nënstacioneve termike të Spitalit Rajonal të Gjakovës; dhe </w:t>
            </w:r>
          </w:p>
          <w:p w14:paraId="7D94E54E" w14:textId="3EE703E8" w:rsidR="001A65E6" w:rsidRPr="004A64EF" w:rsidRDefault="005C57AD" w:rsidP="00AF7BBF">
            <w:pPr>
              <w:pStyle w:val="ListParagraph"/>
              <w:numPr>
                <w:ilvl w:val="0"/>
                <w:numId w:val="61"/>
              </w:numPr>
              <w:spacing w:before="20" w:after="20"/>
              <w:ind w:left="426"/>
              <w:jc w:val="left"/>
              <w:rPr>
                <w:color w:val="FFFFFF" w:themeColor="background1"/>
                <w:sz w:val="18"/>
                <w:szCs w:val="18"/>
              </w:rPr>
            </w:pPr>
            <w:r>
              <w:rPr>
                <w:b w:val="0"/>
                <w:color w:val="FFFFFF" w:themeColor="background1"/>
                <w:sz w:val="18"/>
              </w:rPr>
              <w:t>Lidhja e 13 objekteve të reja me sistemin e ngrohjes qendrore – kryesisht publike, duke përfshirë instalimin e nënstacioneve të reja</w:t>
            </w:r>
            <w:r>
              <w:rPr>
                <w:color w:val="FFFFFF" w:themeColor="background1"/>
                <w:sz w:val="18"/>
              </w:rPr>
              <w:t>.</w:t>
            </w:r>
          </w:p>
          <w:p w14:paraId="131A4CBD" w14:textId="77777777" w:rsidR="004A64EF" w:rsidRPr="004A64EF" w:rsidRDefault="004A64EF" w:rsidP="004A64EF">
            <w:pPr>
              <w:pStyle w:val="ListParagraph"/>
              <w:numPr>
                <w:ilvl w:val="0"/>
                <w:numId w:val="0"/>
              </w:numPr>
              <w:spacing w:before="20" w:after="20"/>
              <w:ind w:left="426"/>
              <w:jc w:val="left"/>
              <w:rPr>
                <w:color w:val="FFFFFF" w:themeColor="background1"/>
                <w:sz w:val="18"/>
                <w:szCs w:val="18"/>
              </w:rPr>
            </w:pPr>
          </w:p>
          <w:p w14:paraId="44E53ED8" w14:textId="74D04547" w:rsidR="005C57AD" w:rsidRPr="004A64EF" w:rsidRDefault="00E76659" w:rsidP="00FF705C">
            <w:pPr>
              <w:spacing w:before="20" w:after="20"/>
              <w:jc w:val="left"/>
              <w:rPr>
                <w:b w:val="0"/>
                <w:color w:val="FFFFFF" w:themeColor="background1"/>
                <w:sz w:val="18"/>
                <w:szCs w:val="18"/>
              </w:rPr>
            </w:pPr>
            <w:r>
              <w:rPr>
                <w:b w:val="0"/>
                <w:color w:val="FFFFFF" w:themeColor="background1"/>
                <w:sz w:val="18"/>
              </w:rPr>
              <w:t>Përveç procesit të rehabilitimit, ka diskutime të vazhdueshme për përmirësimin e mëtejshëm të efiçiencës në sektorin e ngrohjes. Për këtë qëllim, një pilot projekt për zbatimin e matjes dhe faturimit të konsumit në ngrohjen qendrore është aktualisht në zhvillim, me pritshmëri për efekte pozitive në kursimin e energjisë.</w:t>
            </w:r>
          </w:p>
        </w:tc>
      </w:tr>
      <w:tr w:rsidR="005C57AD" w:rsidRPr="004A64EF" w14:paraId="7F1E4AB7"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48B0D8D9" w14:textId="77777777" w:rsidR="005C57AD" w:rsidRPr="004A64EF" w:rsidRDefault="005C57AD">
            <w:pPr>
              <w:spacing w:before="20" w:after="20"/>
              <w:jc w:val="left"/>
              <w:rPr>
                <w:color w:val="FFFFFF" w:themeColor="background1"/>
                <w:sz w:val="18"/>
                <w:szCs w:val="18"/>
              </w:rPr>
            </w:pPr>
            <w:r>
              <w:rPr>
                <w:color w:val="FFFFFF" w:themeColor="background1"/>
                <w:sz w:val="18"/>
              </w:rPr>
              <w:lastRenderedPageBreak/>
              <w:t>Sektori/lloji</w:t>
            </w:r>
          </w:p>
        </w:tc>
        <w:tc>
          <w:tcPr>
            <w:tcW w:w="7139" w:type="dxa"/>
            <w:vAlign w:val="center"/>
          </w:tcPr>
          <w:p w14:paraId="437BCAC2" w14:textId="77777777"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Energjetik/teknik</w:t>
            </w:r>
          </w:p>
        </w:tc>
      </w:tr>
      <w:tr w:rsidR="005C57AD" w:rsidRPr="004A64EF" w14:paraId="6015C7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4825514E" w14:textId="77777777" w:rsidR="005C57AD" w:rsidRPr="004A64EF" w:rsidRDefault="005C57AD">
            <w:pPr>
              <w:spacing w:before="20" w:after="20"/>
              <w:jc w:val="left"/>
              <w:rPr>
                <w:color w:val="FFFFFF" w:themeColor="background1"/>
                <w:sz w:val="18"/>
                <w:szCs w:val="18"/>
              </w:rPr>
            </w:pPr>
            <w:r>
              <w:rPr>
                <w:color w:val="FFFFFF" w:themeColor="background1"/>
                <w:sz w:val="18"/>
              </w:rPr>
              <w:t>Statusi i implementimit</w:t>
            </w:r>
          </w:p>
        </w:tc>
        <w:tc>
          <w:tcPr>
            <w:tcW w:w="7139" w:type="dxa"/>
            <w:vAlign w:val="center"/>
          </w:tcPr>
          <w:p w14:paraId="5AACFCDE"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Në zbatim</w:t>
            </w:r>
          </w:p>
          <w:p w14:paraId="396DC131"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Në prill të vitit 2021, përfundoi Projekti i Komisionit Evropian IPA 2015. Qëllimi ishte rehabilitimi i rrjetit dhe nënstacioneve, si dhe zgjerimi i rrjetit dhe nënstacioneve të reja. Në kuadër të këtij projekti u realizuan komponentët e mëposhtëm:</w:t>
            </w:r>
          </w:p>
          <w:p w14:paraId="429947E5" w14:textId="77777777" w:rsidR="005C57AD" w:rsidRPr="004A64EF" w:rsidRDefault="005C57AD" w:rsidP="00AF7BBF">
            <w:pPr>
              <w:numPr>
                <w:ilvl w:val="0"/>
                <w:numId w:val="32"/>
              </w:numPr>
              <w:spacing w:before="20" w:after="20"/>
              <w:ind w:left="262"/>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Rehabilitimi i rrjetit të shpërndarjes (zëvendësimi i tubacioneve të vjetra me gypa të rinj të paraizoluar) - 6.5 km tubacion.</w:t>
            </w:r>
          </w:p>
          <w:p w14:paraId="0D6806E5" w14:textId="51950F04" w:rsidR="005C57AD" w:rsidRPr="004A64EF" w:rsidRDefault="005C57AD" w:rsidP="00AF7BBF">
            <w:pPr>
              <w:numPr>
                <w:ilvl w:val="0"/>
                <w:numId w:val="32"/>
              </w:numPr>
              <w:spacing w:before="20" w:after="20"/>
              <w:ind w:left="262"/>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Rehabilitimi i 121 nënstacioneve termike të objekteve rezidenciale, komerciale dhe institucionale. Rehabilitimi përfshin edhe instalimin e valvulave të kontrollit të presionit diferencial.</w:t>
            </w:r>
          </w:p>
          <w:p w14:paraId="6ADD257A" w14:textId="15E82C27" w:rsidR="005C57AD" w:rsidRPr="004A64EF" w:rsidRDefault="005C57AD" w:rsidP="00AF7BBF">
            <w:pPr>
              <w:numPr>
                <w:ilvl w:val="0"/>
                <w:numId w:val="32"/>
              </w:numPr>
              <w:spacing w:before="20" w:after="20"/>
              <w:ind w:left="262"/>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Zgjerimi i rrjetit (në total: 3.96 km gjatësi totale të trasesë përkatësisht 7.92 km tubacion i ri.</w:t>
            </w:r>
          </w:p>
          <w:p w14:paraId="40F3B28E" w14:textId="77777777" w:rsidR="005C57AD" w:rsidRPr="004A64EF" w:rsidRDefault="005C57AD" w:rsidP="00AF7BBF">
            <w:pPr>
              <w:numPr>
                <w:ilvl w:val="0"/>
                <w:numId w:val="32"/>
              </w:numPr>
              <w:spacing w:before="20" w:after="20"/>
              <w:ind w:left="262"/>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51 nënstacione të reja termike </w:t>
            </w:r>
          </w:p>
        </w:tc>
      </w:tr>
      <w:tr w:rsidR="005C57AD" w:rsidRPr="004A64EF" w14:paraId="58DE122F"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3E946CFF" w14:textId="77777777" w:rsidR="005C57AD" w:rsidRPr="004A64EF" w:rsidRDefault="005C57AD">
            <w:pPr>
              <w:spacing w:before="20" w:after="20"/>
              <w:jc w:val="left"/>
              <w:rPr>
                <w:color w:val="FFFFFF" w:themeColor="background1"/>
                <w:sz w:val="18"/>
                <w:szCs w:val="18"/>
              </w:rPr>
            </w:pPr>
            <w:r>
              <w:rPr>
                <w:color w:val="FFFFFF" w:themeColor="background1"/>
                <w:sz w:val="18"/>
              </w:rPr>
              <w:t>Efektet kuantitative</w:t>
            </w:r>
          </w:p>
        </w:tc>
        <w:tc>
          <w:tcPr>
            <w:tcW w:w="7139" w:type="dxa"/>
            <w:vAlign w:val="center"/>
          </w:tcPr>
          <w:p w14:paraId="5F263C24" w14:textId="58785DCB" w:rsidR="005C57AD" w:rsidRPr="004A64EF" w:rsidRDefault="001A65E6">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27265 konsumatorë të lidhur (Termokosi) në vitin 2025 dhe 38240 (Termokosi) në vitin 2031 (së bashku NQ Termokosi dhe NQ Gjakova)</w:t>
            </w:r>
          </w:p>
        </w:tc>
      </w:tr>
      <w:tr w:rsidR="005C57AD" w:rsidRPr="004A64EF" w14:paraId="4EA66DD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A6C7E7F" w14:textId="77777777" w:rsidR="005C57AD" w:rsidRPr="004A64EF" w:rsidRDefault="005C57AD">
            <w:pPr>
              <w:spacing w:before="20" w:after="20"/>
              <w:jc w:val="left"/>
              <w:rPr>
                <w:color w:val="FFFFFF" w:themeColor="background1"/>
                <w:sz w:val="18"/>
                <w:szCs w:val="18"/>
              </w:rPr>
            </w:pPr>
            <w:r>
              <w:rPr>
                <w:color w:val="FFFFFF" w:themeColor="background1"/>
                <w:sz w:val="18"/>
              </w:rPr>
              <w:t>Investimet</w:t>
            </w:r>
          </w:p>
        </w:tc>
        <w:tc>
          <w:tcPr>
            <w:tcW w:w="7139" w:type="dxa"/>
            <w:vAlign w:val="center"/>
          </w:tcPr>
          <w:p w14:paraId="5FDCA7F8" w14:textId="15CC51BE" w:rsidR="00785308"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F0D29"/>
                <w:sz w:val="18"/>
                <w:szCs w:val="18"/>
              </w:rPr>
            </w:pPr>
            <w:r>
              <w:rPr>
                <w:rFonts w:asciiTheme="majorHAnsi" w:hAnsiTheme="majorHAnsi"/>
                <w:color w:val="0F0D29"/>
                <w:sz w:val="18"/>
              </w:rPr>
              <w:t>Gjithsej 47 mil. euro janë paraparë për promovimin dhe zgjerimin e sistemeve ekzistuese të NQ-së në Kosovë, të financuara nga donatorët dhe komunat përkatëse.</w:t>
            </w:r>
          </w:p>
          <w:p w14:paraId="0F3DBDC8" w14:textId="2A4D734B" w:rsidR="00785308" w:rsidRPr="004A64EF" w:rsidRDefault="00785308">
            <w:pPr>
              <w:spacing w:before="20" w:after="2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F0D29"/>
                <w:sz w:val="18"/>
                <w:szCs w:val="18"/>
              </w:rPr>
            </w:pPr>
            <w:r>
              <w:rPr>
                <w:rFonts w:asciiTheme="majorHAnsi" w:hAnsiTheme="majorHAnsi"/>
                <w:color w:val="0F0D29"/>
                <w:sz w:val="18"/>
              </w:rPr>
              <w:t xml:space="preserve">Prej tyre, rreth 28 mil. euro janë ende të hapura për t’u disbursuar deri në vitin 2030 (3 mil. euro (Prishtinë) 25 mil. euro për NQ Gjakova). Nga këto 28 mil., 25 mil. euro vijnë nga fondet e donatorëve dhe 3 mil. euro nga NP (Burimi: Konsultimet me donatorët). </w:t>
            </w:r>
          </w:p>
        </w:tc>
      </w:tr>
      <w:tr w:rsidR="005C57AD" w:rsidRPr="004A64EF" w14:paraId="5554D82D"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61D16058" w14:textId="77777777" w:rsidR="005C57AD" w:rsidRPr="004A64EF" w:rsidRDefault="005C57AD">
            <w:pPr>
              <w:spacing w:before="20" w:after="20"/>
              <w:jc w:val="left"/>
              <w:rPr>
                <w:color w:val="FFFFFF" w:themeColor="background1"/>
                <w:sz w:val="18"/>
                <w:szCs w:val="18"/>
              </w:rPr>
            </w:pPr>
            <w:r>
              <w:rPr>
                <w:color w:val="FFFFFF" w:themeColor="background1"/>
                <w:sz w:val="18"/>
              </w:rPr>
              <w:t>Institucioni përgjegjës</w:t>
            </w:r>
          </w:p>
        </w:tc>
        <w:tc>
          <w:tcPr>
            <w:tcW w:w="7139" w:type="dxa"/>
            <w:vAlign w:val="center"/>
          </w:tcPr>
          <w:p w14:paraId="3869FE7D" w14:textId="77777777"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“Termokos” Prishtinë, NQ Gjakovë</w:t>
            </w:r>
          </w:p>
        </w:tc>
      </w:tr>
      <w:tr w:rsidR="005C57AD" w:rsidRPr="004A64EF" w14:paraId="7AA6AB8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32F61D3A" w14:textId="77777777" w:rsidR="005C57AD" w:rsidRPr="004A64EF" w:rsidRDefault="005C57AD">
            <w:pPr>
              <w:spacing w:before="20" w:after="20"/>
              <w:jc w:val="left"/>
              <w:rPr>
                <w:color w:val="FFFFFF" w:themeColor="background1"/>
                <w:sz w:val="18"/>
                <w:szCs w:val="18"/>
              </w:rPr>
            </w:pPr>
            <w:r>
              <w:rPr>
                <w:color w:val="FFFFFF" w:themeColor="background1"/>
                <w:sz w:val="18"/>
              </w:rPr>
              <w:t>Treguesit e progresit</w:t>
            </w:r>
          </w:p>
        </w:tc>
        <w:tc>
          <w:tcPr>
            <w:tcW w:w="7139" w:type="dxa"/>
            <w:vAlign w:val="center"/>
          </w:tcPr>
          <w:p w14:paraId="26CBFC9C"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e humbjeve të rrjetit; numri i konsumatorëve të kyçur në NQ Termokos dhe NQ Gjakova; kursimet përfundimtare të energjisë (ktoe); kursimet primare të energjisë (ktoe)</w:t>
            </w:r>
          </w:p>
        </w:tc>
      </w:tr>
      <w:tr w:rsidR="005C57AD" w:rsidRPr="00976D33" w14:paraId="25336AE8" w14:textId="77777777">
        <w:tc>
          <w:tcPr>
            <w:cnfStyle w:val="001000000000" w:firstRow="0" w:lastRow="0" w:firstColumn="1" w:lastColumn="0" w:oddVBand="0" w:evenVBand="0" w:oddHBand="0" w:evenHBand="0" w:firstRowFirstColumn="0" w:firstRowLastColumn="0" w:lastRowFirstColumn="0" w:lastRowLastColumn="0"/>
            <w:tcW w:w="2425" w:type="dxa"/>
          </w:tcPr>
          <w:p w14:paraId="670F8FD1" w14:textId="7D6C0F2E" w:rsidR="005C57AD" w:rsidRPr="004A64EF" w:rsidRDefault="005C57AD">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39" w:type="dxa"/>
          </w:tcPr>
          <w:p w14:paraId="5B0D383D" w14:textId="77777777" w:rsidR="005C57AD" w:rsidRPr="00976D33"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Dekarbonizimi, siguria energjetike</w:t>
            </w:r>
          </w:p>
        </w:tc>
      </w:tr>
    </w:tbl>
    <w:p w14:paraId="40990B97" w14:textId="77777777" w:rsidR="005C57AD" w:rsidRPr="00976D33" w:rsidRDefault="005C57AD" w:rsidP="005C57AD"/>
    <w:tbl>
      <w:tblPr>
        <w:tblStyle w:val="GridTable5Dark-Accent1"/>
        <w:tblW w:w="0" w:type="auto"/>
        <w:tblLook w:val="04A0" w:firstRow="1" w:lastRow="0" w:firstColumn="1" w:lastColumn="0" w:noHBand="0" w:noVBand="1"/>
      </w:tblPr>
      <w:tblGrid>
        <w:gridCol w:w="2425"/>
        <w:gridCol w:w="7139"/>
      </w:tblGrid>
      <w:tr w:rsidR="005C57AD" w:rsidRPr="004A64EF" w14:paraId="2589522D" w14:textId="77777777" w:rsidTr="7A23F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4A5E7A5E" w14:textId="10BCA5B7" w:rsidR="005C57AD" w:rsidRPr="004A64EF" w:rsidRDefault="005C57AD">
            <w:pPr>
              <w:spacing w:before="20" w:after="20"/>
              <w:jc w:val="left"/>
              <w:rPr>
                <w:color w:val="FFFFFF" w:themeColor="background1"/>
                <w:sz w:val="18"/>
                <w:szCs w:val="18"/>
              </w:rPr>
            </w:pPr>
            <w:bookmarkStart w:id="241" w:name="_Toc71247192"/>
            <w:bookmarkStart w:id="242" w:name="_Toc138210171"/>
            <w:bookmarkStart w:id="243" w:name="_Toc138998472"/>
            <w:r>
              <w:rPr>
                <w:color w:val="FFFFFF" w:themeColor="background1"/>
                <w:sz w:val="18"/>
              </w:rPr>
              <w:t>PM 32: Rinovimi i ndërtesave të qeverisë qendrore</w:t>
            </w:r>
            <w:bookmarkEnd w:id="241"/>
            <w:bookmarkEnd w:id="242"/>
            <w:bookmarkEnd w:id="243"/>
            <w:r>
              <w:rPr>
                <w:color w:val="FFFFFF" w:themeColor="background1"/>
                <w:sz w:val="18"/>
              </w:rPr>
              <w:t xml:space="preserve"> </w:t>
            </w:r>
          </w:p>
        </w:tc>
      </w:tr>
      <w:tr w:rsidR="005C57AD" w:rsidRPr="004A64EF" w14:paraId="281D9C16" w14:textId="77777777" w:rsidTr="7A23F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20223CA6" w14:textId="15221830" w:rsidR="005C57AD" w:rsidRPr="004A64EF" w:rsidRDefault="005C57AD">
            <w:pPr>
              <w:spacing w:before="20" w:after="20"/>
              <w:jc w:val="left"/>
              <w:rPr>
                <w:b w:val="0"/>
                <w:bCs w:val="0"/>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Rinovimi i ndërtesave të qeverisë qendrore është një hap i rëndësishëm drejt arritjes së një sektori publik më të qëndrueshëm dhe më efiçient energjetik. Kjo përpjekje mund të ndihmojë në reduktimin e konsumit të energjisë, uljen e emetimeve të GS-ve dhe kursimin e parave në faturat e energjisë për një afat të gjatë.</w:t>
            </w:r>
          </w:p>
          <w:p w14:paraId="5C7D7DE6" w14:textId="1CB31C99" w:rsidR="005C57AD" w:rsidRPr="009B069F" w:rsidRDefault="005C57AD">
            <w:pPr>
              <w:spacing w:before="20" w:after="20"/>
              <w:jc w:val="left"/>
              <w:rPr>
                <w:b w:val="0"/>
                <w:bCs w:val="0"/>
                <w:color w:val="FFFFFF" w:themeColor="background1"/>
                <w:sz w:val="18"/>
                <w:szCs w:val="18"/>
              </w:rPr>
            </w:pPr>
            <w:r w:rsidRPr="009B069F">
              <w:rPr>
                <w:b w:val="0"/>
                <w:bCs w:val="0"/>
                <w:color w:val="FFFFFF" w:themeColor="background1"/>
                <w:sz w:val="18"/>
              </w:rPr>
              <w:t xml:space="preserve">Sipas </w:t>
            </w:r>
            <w:r>
              <w:rPr>
                <w:color w:val="FFFFFF" w:themeColor="background1"/>
                <w:sz w:val="18"/>
              </w:rPr>
              <w:t xml:space="preserve">nenit 11 (1) të Projektligjit për EE, </w:t>
            </w:r>
            <w:r w:rsidRPr="009B069F">
              <w:rPr>
                <w:b w:val="0"/>
                <w:bCs w:val="0"/>
                <w:color w:val="FFFFFF" w:themeColor="background1"/>
                <w:sz w:val="18"/>
              </w:rPr>
              <w:t>Qeveria e Republikës së Kosovës, përmes Ministrisë përgjegjëse për ndërtim, është e mandatuar të demonstrojë rol shembullor duke rinovuar çdo vit 3% të sipërfaqes totale të dobishme të ndërtesave të ngrohura dhe/ose të ftohura, të cilat janë në pronësi dhe përdoren nga institucionet e qeverisë qendrore, duke siguruar përputhshmërinë me kërkesat minimale të performancës energjetike të përcaktuara nga Ligji për Performancën Energjetike në Ndërtesa.</w:t>
            </w:r>
          </w:p>
          <w:p w14:paraId="5553D957" w14:textId="77777777" w:rsidR="005C57AD" w:rsidRPr="004A64EF" w:rsidRDefault="005C57AD">
            <w:pPr>
              <w:spacing w:before="20" w:after="20"/>
              <w:jc w:val="left"/>
              <w:rPr>
                <w:b w:val="0"/>
                <w:bCs w:val="0"/>
                <w:color w:val="FFFFFF" w:themeColor="background1"/>
                <w:sz w:val="18"/>
                <w:szCs w:val="18"/>
              </w:rPr>
            </w:pPr>
          </w:p>
          <w:p w14:paraId="0CC5B0F5" w14:textId="2695F744" w:rsidR="005C57AD" w:rsidRPr="00A02334" w:rsidRDefault="005C57AD">
            <w:pPr>
              <w:spacing w:before="20" w:after="20"/>
              <w:jc w:val="left"/>
              <w:rPr>
                <w:b w:val="0"/>
                <w:bCs w:val="0"/>
                <w:color w:val="FFFFFF" w:themeColor="background1"/>
                <w:sz w:val="18"/>
                <w:szCs w:val="18"/>
              </w:rPr>
            </w:pPr>
            <w:r>
              <w:rPr>
                <w:b w:val="0"/>
                <w:color w:val="FFFFFF" w:themeColor="background1"/>
                <w:sz w:val="18"/>
              </w:rPr>
              <w:t xml:space="preserve">Për më tepër, neni 11 (6) i Ligjit përcakton që Ministria përgjegjëse për ndërtim, në bashkëpunim të ngushtë me Ministrinë përgjegjëse për menaxhimin e ndërtesave publike, duhet të krijojë, mirëmbajë dhe të bëjë të disponueshëm publikisht një inventar të ndërtesave që janë në pronësi dhe përdoren nga institucionet e qeverisë qendrore. Ky inventar të paktën përmban të dhënat e mëposhtme: </w:t>
            </w:r>
          </w:p>
          <w:p w14:paraId="17224C05" w14:textId="77777777" w:rsidR="005C57AD" w:rsidRPr="004A64EF" w:rsidRDefault="005C57AD" w:rsidP="00AF7BBF">
            <w:pPr>
              <w:pStyle w:val="ListParagraph"/>
              <w:numPr>
                <w:ilvl w:val="0"/>
                <w:numId w:val="32"/>
              </w:numPr>
              <w:spacing w:before="20" w:after="20"/>
              <w:jc w:val="left"/>
              <w:rPr>
                <w:b w:val="0"/>
                <w:bCs w:val="0"/>
                <w:color w:val="FFFFFF" w:themeColor="background1"/>
                <w:sz w:val="18"/>
                <w:szCs w:val="18"/>
              </w:rPr>
            </w:pPr>
            <w:r>
              <w:rPr>
                <w:b w:val="0"/>
                <w:color w:val="FFFFFF" w:themeColor="background1"/>
                <w:sz w:val="18"/>
              </w:rPr>
              <w:t>sipërfaqen e bazës në m</w:t>
            </w:r>
            <w:r>
              <w:rPr>
                <w:b w:val="0"/>
                <w:color w:val="FFFFFF" w:themeColor="background1"/>
                <w:sz w:val="18"/>
                <w:vertAlign w:val="superscript"/>
              </w:rPr>
              <w:t>2</w:t>
            </w:r>
            <w:r>
              <w:rPr>
                <w:b w:val="0"/>
                <w:color w:val="FFFFFF" w:themeColor="background1"/>
                <w:sz w:val="18"/>
              </w:rPr>
              <w:t xml:space="preserve">; </w:t>
            </w:r>
          </w:p>
          <w:p w14:paraId="19CB2B51" w14:textId="77777777" w:rsidR="005C57AD" w:rsidRPr="004A64EF" w:rsidRDefault="005C57AD" w:rsidP="00AF7BBF">
            <w:pPr>
              <w:pStyle w:val="ListParagraph"/>
              <w:numPr>
                <w:ilvl w:val="0"/>
                <w:numId w:val="32"/>
              </w:numPr>
              <w:spacing w:before="20" w:after="20"/>
              <w:jc w:val="left"/>
              <w:rPr>
                <w:b w:val="0"/>
                <w:bCs w:val="0"/>
                <w:color w:val="FFFFFF" w:themeColor="background1"/>
                <w:sz w:val="18"/>
                <w:szCs w:val="18"/>
              </w:rPr>
            </w:pPr>
            <w:r>
              <w:rPr>
                <w:b w:val="0"/>
                <w:color w:val="FFFFFF" w:themeColor="background1"/>
                <w:sz w:val="18"/>
              </w:rPr>
              <w:t>performancën energjetike të çdo ndërtese ose të dhënat përkatëse energjetike.</w:t>
            </w:r>
          </w:p>
          <w:p w14:paraId="2249918D" w14:textId="7AC17AE3" w:rsidR="005C57AD" w:rsidRDefault="005C57AD">
            <w:pPr>
              <w:spacing w:before="20" w:after="20"/>
              <w:jc w:val="left"/>
              <w:rPr>
                <w:color w:val="FFFFFF" w:themeColor="background1"/>
                <w:sz w:val="18"/>
                <w:szCs w:val="18"/>
              </w:rPr>
            </w:pPr>
            <w:r>
              <w:rPr>
                <w:b w:val="0"/>
                <w:color w:val="FFFFFF" w:themeColor="background1"/>
                <w:sz w:val="18"/>
              </w:rPr>
              <w:lastRenderedPageBreak/>
              <w:t xml:space="preserve">Neni 11(7) i Ligjit kërkon që Ministria përgjegjëse për ndërtim t’ia dorëzojë Qeverisë për miratim planin tre (3) vjeçar të rinovimit të ndërtesave të qeverisë qendrore. </w:t>
            </w:r>
          </w:p>
          <w:p w14:paraId="7F045C2E" w14:textId="77777777" w:rsidR="00A13DC9" w:rsidRPr="00FE060B" w:rsidRDefault="00A13DC9">
            <w:pPr>
              <w:spacing w:before="20" w:after="20"/>
              <w:jc w:val="left"/>
              <w:rPr>
                <w:b w:val="0"/>
                <w:bCs w:val="0"/>
                <w:color w:val="FFFFFF" w:themeColor="background1"/>
                <w:sz w:val="18"/>
                <w:szCs w:val="18"/>
              </w:rPr>
            </w:pPr>
          </w:p>
          <w:p w14:paraId="4A589705" w14:textId="7481B297" w:rsidR="00A13DC9" w:rsidRPr="00FE060B" w:rsidRDefault="00A13DC9" w:rsidP="00A13DC9">
            <w:pPr>
              <w:spacing w:before="20" w:after="20"/>
              <w:jc w:val="left"/>
              <w:rPr>
                <w:color w:val="FFFFFF" w:themeColor="background1"/>
                <w:sz w:val="18"/>
                <w:szCs w:val="18"/>
              </w:rPr>
            </w:pPr>
            <w:r>
              <w:rPr>
                <w:b w:val="0"/>
                <w:color w:val="FFFFFF" w:themeColor="background1"/>
                <w:sz w:val="18"/>
              </w:rPr>
              <w:t>Sipas projeksioneve të investimeve të FKEE-së, gjatë periudhës 2025-2029, përmes linjave kreditore, do të financohen masat e efiçiencës së energjisë në 72 ndërtesa të qeverisë qendrore në vlerë prej 30.50 milionë euro.</w:t>
            </w:r>
          </w:p>
          <w:p w14:paraId="4A8C434A" w14:textId="77777777" w:rsidR="00A13DC9" w:rsidRPr="00FE060B" w:rsidRDefault="00A13DC9">
            <w:pPr>
              <w:spacing w:before="20" w:after="20"/>
              <w:jc w:val="left"/>
              <w:rPr>
                <w:color w:val="FFFFFF" w:themeColor="background1"/>
                <w:sz w:val="18"/>
                <w:szCs w:val="18"/>
              </w:rPr>
            </w:pPr>
          </w:p>
          <w:p w14:paraId="6B654BE6" w14:textId="4B3E6F01" w:rsidR="005C57AD" w:rsidRPr="004A64EF" w:rsidRDefault="003B73BE">
            <w:pPr>
              <w:spacing w:before="20" w:after="20"/>
              <w:jc w:val="left"/>
              <w:rPr>
                <w:b w:val="0"/>
                <w:bCs w:val="0"/>
                <w:color w:val="FFFFFF" w:themeColor="background1"/>
                <w:sz w:val="18"/>
                <w:szCs w:val="18"/>
              </w:rPr>
            </w:pPr>
            <w:r>
              <w:rPr>
                <w:b w:val="0"/>
                <w:color w:val="FFFFFF" w:themeColor="background1"/>
                <w:sz w:val="18"/>
              </w:rPr>
              <w:t>Rinovimi i ndërtesave të qeverisë qendrore jo vetëm që rezulton në kursim të energjisë dhe përmirësime strukturore dhe funksionale, por gjithashtu rrit përfitimin ekonomik, produktivitetin e fuqisë punëtore, përfitimet shëndetësore dhe sociale</w:t>
            </w:r>
            <w:r>
              <w:rPr>
                <w:color w:val="FFFFFF" w:themeColor="background1"/>
                <w:sz w:val="18"/>
              </w:rPr>
              <w:t>.</w:t>
            </w:r>
          </w:p>
        </w:tc>
      </w:tr>
      <w:tr w:rsidR="005C57AD" w:rsidRPr="004A64EF" w14:paraId="67963F18" w14:textId="77777777" w:rsidTr="7A23FCD7">
        <w:tc>
          <w:tcPr>
            <w:cnfStyle w:val="001000000000" w:firstRow="0" w:lastRow="0" w:firstColumn="1" w:lastColumn="0" w:oddVBand="0" w:evenVBand="0" w:oddHBand="0" w:evenHBand="0" w:firstRowFirstColumn="0" w:firstRowLastColumn="0" w:lastRowFirstColumn="0" w:lastRowLastColumn="0"/>
            <w:tcW w:w="2425" w:type="dxa"/>
            <w:vAlign w:val="center"/>
          </w:tcPr>
          <w:p w14:paraId="12F9B044" w14:textId="77777777" w:rsidR="005C57AD" w:rsidRPr="004A64EF" w:rsidRDefault="005C57AD">
            <w:pPr>
              <w:spacing w:before="20" w:after="20"/>
              <w:jc w:val="left"/>
              <w:rPr>
                <w:color w:val="FFFFFF" w:themeColor="background1"/>
                <w:sz w:val="18"/>
                <w:szCs w:val="18"/>
              </w:rPr>
            </w:pPr>
            <w:r>
              <w:rPr>
                <w:color w:val="FFFFFF" w:themeColor="background1"/>
                <w:sz w:val="18"/>
              </w:rPr>
              <w:lastRenderedPageBreak/>
              <w:t>Sektori/lloji</w:t>
            </w:r>
          </w:p>
        </w:tc>
        <w:tc>
          <w:tcPr>
            <w:tcW w:w="7139" w:type="dxa"/>
            <w:vAlign w:val="center"/>
          </w:tcPr>
          <w:p w14:paraId="0FEBE3FE" w14:textId="77777777"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Energjetik/rregullator, teknik</w:t>
            </w:r>
          </w:p>
        </w:tc>
      </w:tr>
      <w:tr w:rsidR="005C57AD" w:rsidRPr="004A64EF" w14:paraId="5C0E50D9" w14:textId="77777777" w:rsidTr="7A23F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9FF61ED" w14:textId="77777777" w:rsidR="005C57AD" w:rsidRPr="004A64EF" w:rsidRDefault="005C57AD">
            <w:pPr>
              <w:spacing w:before="20" w:after="20"/>
              <w:jc w:val="left"/>
              <w:rPr>
                <w:color w:val="FFFFFF" w:themeColor="background1"/>
                <w:sz w:val="18"/>
                <w:szCs w:val="18"/>
              </w:rPr>
            </w:pPr>
            <w:r>
              <w:rPr>
                <w:color w:val="FFFFFF" w:themeColor="background1"/>
                <w:sz w:val="18"/>
              </w:rPr>
              <w:t>Statusi i implementimit</w:t>
            </w:r>
          </w:p>
        </w:tc>
        <w:tc>
          <w:tcPr>
            <w:tcW w:w="7139" w:type="dxa"/>
            <w:vAlign w:val="center"/>
          </w:tcPr>
          <w:p w14:paraId="255C6B49"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Në implementim/i planifikuar</w:t>
            </w:r>
          </w:p>
          <w:p w14:paraId="658C8D1C" w14:textId="67FE0CFC" w:rsidR="005C57AD" w:rsidRPr="004A64EF" w:rsidRDefault="005C57AD" w:rsidP="00AF7BBF">
            <w:pPr>
              <w:pStyle w:val="ListParagraph"/>
              <w:numPr>
                <w:ilvl w:val="0"/>
                <w:numId w:val="36"/>
              </w:numPr>
              <w:spacing w:before="20" w:after="2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Sipas projekt SRN-së, kategoria e ndërtesave publike përfshin 1028 ndërtesa, ndërsa inventari i ndërtesave të qeverisë qendrore përfshin vetëm 385 ndërtesa me një sipërfaqe totale prej 881694 m</w:t>
            </w:r>
            <w:r>
              <w:rPr>
                <w:rFonts w:asciiTheme="majorHAnsi" w:hAnsiTheme="majorHAnsi"/>
                <w:sz w:val="18"/>
                <w:vertAlign w:val="superscript"/>
              </w:rPr>
              <w:t>2</w:t>
            </w:r>
            <w:r>
              <w:rPr>
                <w:rFonts w:asciiTheme="majorHAnsi" w:hAnsiTheme="majorHAnsi"/>
                <w:sz w:val="18"/>
              </w:rPr>
              <w:t>. Cak është rinovimi i 3% të sipërfaqes totale të ndërtesave të qeverisë qendrore në vit, duke filluar nga viti 2024.</w:t>
            </w:r>
          </w:p>
        </w:tc>
      </w:tr>
      <w:tr w:rsidR="005C57AD" w:rsidRPr="004A64EF" w14:paraId="56F16CB2" w14:textId="77777777" w:rsidTr="7A23FCD7">
        <w:tc>
          <w:tcPr>
            <w:cnfStyle w:val="001000000000" w:firstRow="0" w:lastRow="0" w:firstColumn="1" w:lastColumn="0" w:oddVBand="0" w:evenVBand="0" w:oddHBand="0" w:evenHBand="0" w:firstRowFirstColumn="0" w:firstRowLastColumn="0" w:lastRowFirstColumn="0" w:lastRowLastColumn="0"/>
            <w:tcW w:w="2425" w:type="dxa"/>
            <w:vAlign w:val="center"/>
          </w:tcPr>
          <w:p w14:paraId="2C408154" w14:textId="77777777" w:rsidR="005C57AD" w:rsidRPr="004A64EF" w:rsidRDefault="005C57AD">
            <w:pPr>
              <w:spacing w:before="20" w:after="20"/>
              <w:jc w:val="left"/>
              <w:rPr>
                <w:color w:val="FFFFFF" w:themeColor="background1"/>
                <w:sz w:val="18"/>
                <w:szCs w:val="18"/>
              </w:rPr>
            </w:pPr>
            <w:r>
              <w:rPr>
                <w:color w:val="FFFFFF" w:themeColor="background1"/>
                <w:sz w:val="18"/>
              </w:rPr>
              <w:t>Efektet kuantitative</w:t>
            </w:r>
          </w:p>
        </w:tc>
        <w:tc>
          <w:tcPr>
            <w:tcW w:w="7139" w:type="dxa"/>
            <w:vAlign w:val="center"/>
          </w:tcPr>
          <w:p w14:paraId="41AE4DF4" w14:textId="50805D3F"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Kursime vjetore prej 0.36 ktoe në periudhën 2024-2031, në bazë të një norme vjetore rinovimi prej 3% </w:t>
            </w:r>
            <w:r>
              <w:rPr>
                <w:sz w:val="18"/>
              </w:rPr>
              <w:br/>
              <w:t>Burimi: vlerësimet e ekspertëve bazuar në Strategjinë e Energjisë dhe projekt SRN</w:t>
            </w:r>
          </w:p>
        </w:tc>
      </w:tr>
      <w:tr w:rsidR="005C57AD" w:rsidRPr="004A64EF" w14:paraId="76A7CDF1" w14:textId="77777777" w:rsidTr="7A23F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6E3C774" w14:textId="77777777" w:rsidR="005C57AD" w:rsidRPr="004A64EF" w:rsidRDefault="005C57AD">
            <w:pPr>
              <w:spacing w:before="20" w:after="20"/>
              <w:jc w:val="left"/>
              <w:rPr>
                <w:color w:val="FFFFFF" w:themeColor="background1"/>
                <w:sz w:val="18"/>
                <w:szCs w:val="18"/>
              </w:rPr>
            </w:pPr>
            <w:r>
              <w:rPr>
                <w:color w:val="FFFFFF" w:themeColor="background1"/>
                <w:sz w:val="18"/>
              </w:rPr>
              <w:t>Investimet</w:t>
            </w:r>
          </w:p>
        </w:tc>
        <w:tc>
          <w:tcPr>
            <w:tcW w:w="7139" w:type="dxa"/>
            <w:vAlign w:val="center"/>
          </w:tcPr>
          <w:p w14:paraId="6B6757FF" w14:textId="19936CAA" w:rsidR="005C57AD" w:rsidRPr="004A64EF" w:rsidRDefault="0098516A">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rFonts w:asciiTheme="majorHAnsi" w:hAnsiTheme="majorHAnsi"/>
                <w:color w:val="000000"/>
                <w:sz w:val="18"/>
              </w:rPr>
              <w:t>5.04 milionë euro në vit (2024-2031)</w:t>
            </w:r>
            <w:r>
              <w:rPr>
                <w:rFonts w:asciiTheme="majorHAnsi" w:hAnsiTheme="majorHAnsi"/>
                <w:color w:val="000000"/>
                <w:sz w:val="18"/>
              </w:rPr>
              <w:br/>
            </w:r>
            <w:r>
              <w:rPr>
                <w:sz w:val="18"/>
              </w:rPr>
              <w:t>Burimi: vlerësimet e ekspertëve bazuar në Strategjinë e Energjisë dhe projekt SRN</w:t>
            </w:r>
          </w:p>
        </w:tc>
      </w:tr>
      <w:tr w:rsidR="005C57AD" w:rsidRPr="004A64EF" w14:paraId="0E624C05" w14:textId="77777777" w:rsidTr="7A23FCD7">
        <w:tc>
          <w:tcPr>
            <w:cnfStyle w:val="001000000000" w:firstRow="0" w:lastRow="0" w:firstColumn="1" w:lastColumn="0" w:oddVBand="0" w:evenVBand="0" w:oddHBand="0" w:evenHBand="0" w:firstRowFirstColumn="0" w:firstRowLastColumn="0" w:lastRowFirstColumn="0" w:lastRowLastColumn="0"/>
            <w:tcW w:w="2425" w:type="dxa"/>
            <w:vAlign w:val="center"/>
          </w:tcPr>
          <w:p w14:paraId="1E947D94" w14:textId="77777777" w:rsidR="005C57AD" w:rsidRPr="004A64EF" w:rsidRDefault="005C57AD">
            <w:pPr>
              <w:spacing w:before="20" w:after="20"/>
              <w:jc w:val="left"/>
              <w:rPr>
                <w:color w:val="FFFFFF" w:themeColor="background1"/>
                <w:sz w:val="18"/>
                <w:szCs w:val="18"/>
              </w:rPr>
            </w:pPr>
            <w:r>
              <w:rPr>
                <w:color w:val="FFFFFF" w:themeColor="background1"/>
                <w:sz w:val="18"/>
              </w:rPr>
              <w:t>Institucioni përgjegjës</w:t>
            </w:r>
          </w:p>
        </w:tc>
        <w:tc>
          <w:tcPr>
            <w:tcW w:w="7139" w:type="dxa"/>
            <w:vAlign w:val="center"/>
          </w:tcPr>
          <w:p w14:paraId="41A26750" w14:textId="79EA582A"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MMPHI, ME, FKEE, ministria përgjegjëse për ndërtesat e administratës publike</w:t>
            </w:r>
          </w:p>
        </w:tc>
      </w:tr>
      <w:tr w:rsidR="005C57AD" w:rsidRPr="004A64EF" w14:paraId="4438487C" w14:textId="77777777" w:rsidTr="7A23F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C0B1B21" w14:textId="77777777" w:rsidR="005C57AD" w:rsidRPr="004A64EF" w:rsidRDefault="005C57AD">
            <w:pPr>
              <w:spacing w:before="20" w:after="20"/>
              <w:jc w:val="left"/>
              <w:rPr>
                <w:color w:val="FFFFFF" w:themeColor="background1"/>
                <w:sz w:val="18"/>
                <w:szCs w:val="18"/>
              </w:rPr>
            </w:pPr>
            <w:r>
              <w:rPr>
                <w:color w:val="FFFFFF" w:themeColor="background1"/>
                <w:sz w:val="18"/>
              </w:rPr>
              <w:t>Treguesit e progresit</w:t>
            </w:r>
          </w:p>
        </w:tc>
        <w:tc>
          <w:tcPr>
            <w:tcW w:w="7139" w:type="dxa"/>
            <w:vAlign w:val="center"/>
          </w:tcPr>
          <w:p w14:paraId="011CAD7D"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e sipërfaqes së objekteve qeverisjes qendrore të rinovuara; kursimet përfundimtare të energjisë (ktoe); kursimet primare të energjisë (ktoe)</w:t>
            </w:r>
          </w:p>
        </w:tc>
      </w:tr>
      <w:tr w:rsidR="005C57AD" w:rsidRPr="00976D33" w14:paraId="23A348DF" w14:textId="77777777" w:rsidTr="7A23FCD7">
        <w:tc>
          <w:tcPr>
            <w:cnfStyle w:val="001000000000" w:firstRow="0" w:lastRow="0" w:firstColumn="1" w:lastColumn="0" w:oddVBand="0" w:evenVBand="0" w:oddHBand="0" w:evenHBand="0" w:firstRowFirstColumn="0" w:firstRowLastColumn="0" w:lastRowFirstColumn="0" w:lastRowLastColumn="0"/>
            <w:tcW w:w="2425" w:type="dxa"/>
          </w:tcPr>
          <w:p w14:paraId="3E41A01B" w14:textId="5791194D" w:rsidR="005C57AD" w:rsidRPr="004A64EF" w:rsidRDefault="005C57AD">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39" w:type="dxa"/>
          </w:tcPr>
          <w:p w14:paraId="76A7EFB1" w14:textId="77777777" w:rsidR="005C57AD" w:rsidRPr="00976D33"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Dekarbonizimi, siguria energjetike</w:t>
            </w:r>
          </w:p>
        </w:tc>
      </w:tr>
    </w:tbl>
    <w:p w14:paraId="4A2F5852" w14:textId="77777777" w:rsidR="005C57AD" w:rsidRPr="00976D33" w:rsidRDefault="005C57AD" w:rsidP="005C57AD">
      <w:pPr>
        <w:ind w:left="-90"/>
        <w:rPr>
          <w:rFonts w:ascii="Calibri" w:hAnsi="Calibri"/>
        </w:rPr>
      </w:pPr>
    </w:p>
    <w:tbl>
      <w:tblPr>
        <w:tblStyle w:val="GridTable5Dark-Accent1"/>
        <w:tblW w:w="0" w:type="auto"/>
        <w:tblLook w:val="04A0" w:firstRow="1" w:lastRow="0" w:firstColumn="1" w:lastColumn="0" w:noHBand="0" w:noVBand="1"/>
      </w:tblPr>
      <w:tblGrid>
        <w:gridCol w:w="2425"/>
        <w:gridCol w:w="7139"/>
      </w:tblGrid>
      <w:tr w:rsidR="005C57AD" w:rsidRPr="004A64EF" w14:paraId="09B6A00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155C1C4E" w14:textId="272515A4" w:rsidR="005C57AD" w:rsidRPr="004A64EF" w:rsidRDefault="005C57AD">
            <w:pPr>
              <w:spacing w:before="20" w:after="20"/>
              <w:jc w:val="left"/>
              <w:rPr>
                <w:color w:val="FFFFFF" w:themeColor="background1"/>
                <w:sz w:val="18"/>
                <w:szCs w:val="18"/>
              </w:rPr>
            </w:pPr>
            <w:bookmarkStart w:id="244" w:name="_Toc71247193"/>
            <w:bookmarkStart w:id="245" w:name="_Toc138210172"/>
            <w:bookmarkStart w:id="246" w:name="_Toc138998473"/>
            <w:r>
              <w:rPr>
                <w:color w:val="FFFFFF" w:themeColor="background1"/>
                <w:sz w:val="18"/>
              </w:rPr>
              <w:t>PM 33: Rinovimi i ndërtesave publik</w:t>
            </w:r>
            <w:bookmarkEnd w:id="244"/>
            <w:bookmarkEnd w:id="245"/>
            <w:bookmarkEnd w:id="246"/>
            <w:r w:rsidR="009B069F">
              <w:rPr>
                <w:color w:val="FFFFFF" w:themeColor="background1"/>
                <w:sz w:val="18"/>
              </w:rPr>
              <w:t>e</w:t>
            </w:r>
            <w:r>
              <w:rPr>
                <w:color w:val="FFFFFF" w:themeColor="background1"/>
                <w:sz w:val="18"/>
              </w:rPr>
              <w:t xml:space="preserve"> </w:t>
            </w:r>
          </w:p>
        </w:tc>
      </w:tr>
      <w:tr w:rsidR="005C57AD" w:rsidRPr="004A64EF" w14:paraId="4412351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2B765BD2" w14:textId="1C828E0D" w:rsidR="00231EAF" w:rsidRPr="004A64EF" w:rsidRDefault="00231EAF" w:rsidP="00231EAF">
            <w:pPr>
              <w:spacing w:before="20" w:after="20"/>
              <w:jc w:val="left"/>
              <w:rPr>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Ashtu si në rastin e qeverisë qendrore, autoritetet vendore duhet të demonstrojnë një rol shembullor. Nuk ka asnjë obligim specifik në Projektligjin për Efiçiencën e energjisë për komunat, por në nenin 11 (10) përcakton si në vijim: “Qeveria e Kosovës do t’i inkurajojë institucion</w:t>
            </w:r>
            <w:r w:rsidR="0037748E">
              <w:rPr>
                <w:b w:val="0"/>
                <w:color w:val="FFFFFF" w:themeColor="background1"/>
                <w:sz w:val="18"/>
              </w:rPr>
              <w:t>et e tjera</w:t>
            </w:r>
            <w:r>
              <w:rPr>
                <w:b w:val="0"/>
                <w:color w:val="FFFFFF" w:themeColor="background1"/>
                <w:sz w:val="18"/>
              </w:rPr>
              <w:t xml:space="preserve"> publike që nuk i përkasin institucioneve qeveritare të nivelit qendror, duke përfshirë organet e nivelit lokal, si dhe organet e tjera të rregulluara nga e drejta publike, që të zbatojnë planet për rinovimin e ndërtesave në pronësi dhe të uzurpuara prej tyre, duke ndjekur rolin shembullor të institucioneve qeveritare të ndërtesave të nivelit qendror, siç parashikohet në paragrafin 1 të këtij neni.” </w:t>
            </w:r>
          </w:p>
          <w:p w14:paraId="76AD446D" w14:textId="77777777" w:rsidR="00231EAF" w:rsidRPr="004A64EF" w:rsidRDefault="00231EAF" w:rsidP="00231EAF">
            <w:pPr>
              <w:spacing w:before="20" w:after="20"/>
              <w:jc w:val="left"/>
              <w:rPr>
                <w:b w:val="0"/>
                <w:bCs w:val="0"/>
                <w:color w:val="FFFFFF" w:themeColor="background1"/>
                <w:sz w:val="18"/>
                <w:szCs w:val="18"/>
              </w:rPr>
            </w:pPr>
          </w:p>
          <w:p w14:paraId="70271230" w14:textId="77777777" w:rsidR="00231EAF" w:rsidRPr="004A64EF" w:rsidRDefault="00231EAF" w:rsidP="00231EAF">
            <w:pPr>
              <w:spacing w:before="20" w:after="20"/>
              <w:jc w:val="left"/>
              <w:rPr>
                <w:b w:val="0"/>
                <w:bCs w:val="0"/>
                <w:color w:val="FFFFFF" w:themeColor="background1"/>
                <w:sz w:val="18"/>
                <w:szCs w:val="18"/>
              </w:rPr>
            </w:pPr>
            <w:r>
              <w:rPr>
                <w:b w:val="0"/>
                <w:color w:val="FFFFFF" w:themeColor="background1"/>
                <w:sz w:val="18"/>
              </w:rPr>
              <w:t>Projekti i Kosovës për Efiçiencë të Energjisë dhe Energji të Ripërtëritshme (KEEREP), i udhëhequr nga Ministria e Ekonomisë dhe i mbështetur nga një kredi nga Banka Botërore, është miratuar nga Kuvendi i Kosovës në janar të vitit 2015 me datën fillestare të përfundimit më 31 dhjetor 2023. Ministria vendosi të ritenderojë LOTIN 2 - Pako 6 për shkak të reagimeve për kushtet e objektit, dhe përfundimi i projektit u vazhdua deri më 30 qershor 2024, pas miratimit dhe disponueshmërisë së fondeve të mbetura nga Fondi i Kosovës për Efiçiencë të Energjisë.</w:t>
            </w:r>
          </w:p>
          <w:p w14:paraId="25F1C0BD" w14:textId="1B56ED5D" w:rsidR="00231EAF" w:rsidRDefault="00231EAF" w:rsidP="00231EAF">
            <w:pPr>
              <w:spacing w:before="20" w:after="20"/>
              <w:jc w:val="left"/>
              <w:rPr>
                <w:color w:val="FFFFFF" w:themeColor="background1"/>
                <w:sz w:val="18"/>
                <w:szCs w:val="18"/>
              </w:rPr>
            </w:pPr>
            <w:r>
              <w:rPr>
                <w:b w:val="0"/>
                <w:color w:val="FFFFFF" w:themeColor="background1"/>
                <w:sz w:val="18"/>
              </w:rPr>
              <w:t>Deri më tani, shumë ndërtesa publike janë rinovuar përmes aktiviteteve të Fondit për Efiçiencë të Energjisë. Fondi për EE planifikon të vazhdojë të mbështesë rinovimin e ndërtesave publike të mbetura në nivel lokal.</w:t>
            </w:r>
          </w:p>
          <w:p w14:paraId="28D7BB67" w14:textId="77777777" w:rsidR="004B17E2" w:rsidRDefault="004B17E2" w:rsidP="00231EAF">
            <w:pPr>
              <w:spacing w:before="20" w:after="20"/>
              <w:jc w:val="left"/>
              <w:rPr>
                <w:color w:val="FFFFFF" w:themeColor="background1"/>
                <w:sz w:val="18"/>
                <w:szCs w:val="18"/>
              </w:rPr>
            </w:pPr>
          </w:p>
          <w:p w14:paraId="0B7B2986" w14:textId="76C530E0" w:rsidR="004B17E2" w:rsidRPr="00FE060B" w:rsidRDefault="004B17E2" w:rsidP="00231EAF">
            <w:pPr>
              <w:spacing w:before="20" w:after="20"/>
              <w:jc w:val="left"/>
              <w:rPr>
                <w:color w:val="FFFFFF" w:themeColor="background1"/>
                <w:sz w:val="18"/>
                <w:szCs w:val="18"/>
              </w:rPr>
            </w:pPr>
            <w:r>
              <w:rPr>
                <w:b w:val="0"/>
                <w:color w:val="FFFFFF" w:themeColor="background1"/>
                <w:sz w:val="18"/>
              </w:rPr>
              <w:t>Sipas projeksioneve të investimeve të FKEE-së, gjatë periudhës 2025-2029, përmes linjave kreditore, do të financohen masat e efiçiencës së energjisë në 200 ndërtesa komunale në vlerë prej 39.50 milionë euro.</w:t>
            </w:r>
          </w:p>
          <w:p w14:paraId="13761D37" w14:textId="7DB53442" w:rsidR="5F25BFDF" w:rsidRPr="004A64EF" w:rsidRDefault="5F25BFDF" w:rsidP="5F25BFDF">
            <w:pPr>
              <w:spacing w:before="20" w:after="20"/>
              <w:jc w:val="left"/>
              <w:rPr>
                <w:b w:val="0"/>
                <w:bCs w:val="0"/>
                <w:color w:val="FFFFFF" w:themeColor="background1"/>
                <w:sz w:val="18"/>
                <w:szCs w:val="18"/>
              </w:rPr>
            </w:pPr>
          </w:p>
          <w:p w14:paraId="12A44C5D" w14:textId="7635BE1F" w:rsidR="005C57AD" w:rsidRPr="004A64EF" w:rsidRDefault="336BCD50">
            <w:pPr>
              <w:spacing w:before="20" w:after="20"/>
              <w:jc w:val="left"/>
              <w:rPr>
                <w:b w:val="0"/>
                <w:color w:val="FFFFFF" w:themeColor="background1"/>
                <w:sz w:val="18"/>
                <w:szCs w:val="18"/>
              </w:rPr>
            </w:pPr>
            <w:r>
              <w:rPr>
                <w:b w:val="0"/>
                <w:color w:val="FFFFFF" w:themeColor="background1"/>
                <w:sz w:val="18"/>
              </w:rPr>
              <w:t>Rinovimi i ndërtesave publike do të rrisë përfitimet ekonomike, produktivitetin e fuqisë punëtore, përfitimet shëndetësore dhe sociale.</w:t>
            </w:r>
          </w:p>
        </w:tc>
      </w:tr>
      <w:tr w:rsidR="005C57AD" w:rsidRPr="004A64EF" w14:paraId="73A33454"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098AD09B" w14:textId="77777777" w:rsidR="005C57AD" w:rsidRPr="004A64EF" w:rsidRDefault="005C57AD">
            <w:pPr>
              <w:spacing w:before="20" w:after="20"/>
              <w:jc w:val="left"/>
              <w:rPr>
                <w:color w:val="FFFFFF" w:themeColor="background1"/>
                <w:sz w:val="18"/>
                <w:szCs w:val="18"/>
              </w:rPr>
            </w:pPr>
            <w:r>
              <w:rPr>
                <w:color w:val="FFFFFF" w:themeColor="background1"/>
                <w:sz w:val="18"/>
              </w:rPr>
              <w:t>Sektori/lloji</w:t>
            </w:r>
          </w:p>
        </w:tc>
        <w:tc>
          <w:tcPr>
            <w:tcW w:w="7139" w:type="dxa"/>
            <w:vAlign w:val="center"/>
          </w:tcPr>
          <w:p w14:paraId="2D716E5A" w14:textId="77777777"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Energjetik/rregullator, teknik</w:t>
            </w:r>
          </w:p>
        </w:tc>
      </w:tr>
      <w:tr w:rsidR="005C57AD" w:rsidRPr="004A64EF" w14:paraId="7B67973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71B7F36" w14:textId="77777777" w:rsidR="005C57AD" w:rsidRPr="004A64EF" w:rsidRDefault="005C57AD">
            <w:pPr>
              <w:spacing w:before="20" w:after="20"/>
              <w:jc w:val="left"/>
              <w:rPr>
                <w:color w:val="FFFFFF" w:themeColor="background1"/>
                <w:sz w:val="18"/>
                <w:szCs w:val="18"/>
              </w:rPr>
            </w:pPr>
            <w:r>
              <w:rPr>
                <w:color w:val="FFFFFF" w:themeColor="background1"/>
                <w:sz w:val="18"/>
              </w:rPr>
              <w:t>Statusi i implementimit</w:t>
            </w:r>
          </w:p>
        </w:tc>
        <w:tc>
          <w:tcPr>
            <w:tcW w:w="7139" w:type="dxa"/>
            <w:vAlign w:val="center"/>
          </w:tcPr>
          <w:p w14:paraId="54EC2ED4"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Në zbatim</w:t>
            </w:r>
          </w:p>
          <w:p w14:paraId="03CD70A8"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Sipas KEEREP, 86 ndërtesa publike në Kosovë, duke përfshirë objektet shëndetësore, universitetet, konviktet, zyrat dhe ndërtesat administrative, u janë nënshtruar rinovimit të efiçiencës së energjisë, që paraqet një investim prej 13.8 milionë euro. Nga këto rinovime kanë përfituar rreth 41,104 persona dhe kursimet vjetore të kostos së energjisë arrijnë në rreth 2 milionë euro. Aktualisht, punimet për rinovimin e 12 ndërtesave publike të tjera janë duke vazhduar.</w:t>
            </w:r>
          </w:p>
        </w:tc>
      </w:tr>
      <w:tr w:rsidR="005C57AD" w:rsidRPr="004A64EF" w14:paraId="0412D064"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50225142" w14:textId="77777777" w:rsidR="005C57AD" w:rsidRPr="004A64EF" w:rsidRDefault="005C57AD">
            <w:pPr>
              <w:spacing w:before="20" w:after="20"/>
              <w:jc w:val="left"/>
              <w:rPr>
                <w:color w:val="FFFFFF" w:themeColor="background1"/>
                <w:sz w:val="18"/>
                <w:szCs w:val="18"/>
              </w:rPr>
            </w:pPr>
            <w:r>
              <w:rPr>
                <w:color w:val="FFFFFF" w:themeColor="background1"/>
                <w:sz w:val="18"/>
              </w:rPr>
              <w:lastRenderedPageBreak/>
              <w:t>Efektet kuantitative</w:t>
            </w:r>
          </w:p>
        </w:tc>
        <w:tc>
          <w:tcPr>
            <w:tcW w:w="7139" w:type="dxa"/>
            <w:vAlign w:val="center"/>
          </w:tcPr>
          <w:p w14:paraId="4F94371A" w14:textId="256F932D"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Kursimet vjetore: 2024-2030</w:t>
            </w:r>
            <w:r w:rsidR="0054522C" w:rsidRPr="004A64EF">
              <w:rPr>
                <w:rStyle w:val="FootnoteReference"/>
                <w:sz w:val="18"/>
                <w:szCs w:val="18"/>
              </w:rPr>
              <w:footnoteReference w:id="16"/>
            </w:r>
            <w:r>
              <w:rPr>
                <w:sz w:val="18"/>
              </w:rPr>
              <w:t xml:space="preserve">: 0.313 ktoe </w:t>
            </w:r>
            <w:r>
              <w:rPr>
                <w:sz w:val="18"/>
              </w:rPr>
              <w:br/>
              <w:t>Burimi: vlerësimet e ekspertëve bazuar në Strategjinë e Energjisë dhe projekt BRE</w:t>
            </w:r>
          </w:p>
        </w:tc>
      </w:tr>
      <w:tr w:rsidR="005C57AD" w:rsidRPr="004A64EF" w14:paraId="4F2F52D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0D14E0A" w14:textId="77777777" w:rsidR="005C57AD" w:rsidRPr="004A64EF" w:rsidRDefault="005C57AD">
            <w:pPr>
              <w:spacing w:before="20" w:after="20"/>
              <w:jc w:val="left"/>
              <w:rPr>
                <w:color w:val="FFFFFF" w:themeColor="background1"/>
                <w:sz w:val="18"/>
                <w:szCs w:val="18"/>
              </w:rPr>
            </w:pPr>
            <w:r>
              <w:rPr>
                <w:color w:val="FFFFFF" w:themeColor="background1"/>
                <w:sz w:val="18"/>
              </w:rPr>
              <w:t>Investimet</w:t>
            </w:r>
          </w:p>
        </w:tc>
        <w:tc>
          <w:tcPr>
            <w:tcW w:w="7139" w:type="dxa"/>
            <w:vAlign w:val="center"/>
          </w:tcPr>
          <w:p w14:paraId="58ABBAEF" w14:textId="3F08D97E"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rFonts w:asciiTheme="majorHAnsi" w:hAnsiTheme="majorHAnsi"/>
                <w:color w:val="000000"/>
                <w:sz w:val="18"/>
              </w:rPr>
              <w:t>4.86 mil. euro në vit (2024-2030)</w:t>
            </w:r>
            <w:r>
              <w:rPr>
                <w:rFonts w:asciiTheme="majorHAnsi" w:hAnsiTheme="majorHAnsi"/>
                <w:color w:val="000000"/>
                <w:sz w:val="18"/>
              </w:rPr>
              <w:br/>
            </w:r>
            <w:r>
              <w:rPr>
                <w:sz w:val="18"/>
              </w:rPr>
              <w:t>Burimi: vlerësimet e ekspertëve bazuar në Strategjinë e Energjisë dhe projekt SRN</w:t>
            </w:r>
          </w:p>
        </w:tc>
      </w:tr>
      <w:tr w:rsidR="005C57AD" w:rsidRPr="004A64EF" w14:paraId="11D8F6F1"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6589F126" w14:textId="77777777" w:rsidR="005C57AD" w:rsidRPr="004A64EF" w:rsidRDefault="005C57AD">
            <w:pPr>
              <w:spacing w:before="20" w:after="20"/>
              <w:jc w:val="left"/>
              <w:rPr>
                <w:color w:val="FFFFFF" w:themeColor="background1"/>
                <w:sz w:val="18"/>
                <w:szCs w:val="18"/>
              </w:rPr>
            </w:pPr>
            <w:r>
              <w:rPr>
                <w:color w:val="FFFFFF" w:themeColor="background1"/>
                <w:sz w:val="18"/>
              </w:rPr>
              <w:t>Institucioni përgjegjës</w:t>
            </w:r>
          </w:p>
        </w:tc>
        <w:tc>
          <w:tcPr>
            <w:tcW w:w="7139" w:type="dxa"/>
            <w:vAlign w:val="center"/>
          </w:tcPr>
          <w:p w14:paraId="77F51FFC" w14:textId="4697A180"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Komunat, ME, MMPHI, FKEE</w:t>
            </w:r>
          </w:p>
        </w:tc>
      </w:tr>
      <w:tr w:rsidR="005C57AD" w:rsidRPr="004A64EF" w14:paraId="150A42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4B8640B6" w14:textId="77777777" w:rsidR="005C57AD" w:rsidRPr="004A64EF" w:rsidRDefault="005C57AD">
            <w:pPr>
              <w:spacing w:before="20" w:after="20"/>
              <w:jc w:val="left"/>
              <w:rPr>
                <w:color w:val="FFFFFF" w:themeColor="background1"/>
                <w:sz w:val="18"/>
                <w:szCs w:val="18"/>
              </w:rPr>
            </w:pPr>
            <w:r>
              <w:rPr>
                <w:color w:val="FFFFFF" w:themeColor="background1"/>
                <w:sz w:val="18"/>
              </w:rPr>
              <w:t>Treguesit e progresit</w:t>
            </w:r>
          </w:p>
        </w:tc>
        <w:tc>
          <w:tcPr>
            <w:tcW w:w="7139" w:type="dxa"/>
            <w:vAlign w:val="center"/>
          </w:tcPr>
          <w:p w14:paraId="786D52B1"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e sipërfaqes së ndërtesave publike të rinovuara; kursimet përfundimtare të energjisë (ktoe); kursimet primare të energjisë (ktoe)</w:t>
            </w:r>
          </w:p>
        </w:tc>
      </w:tr>
      <w:tr w:rsidR="005C57AD" w:rsidRPr="00976D33" w14:paraId="3D6CBA4C" w14:textId="77777777">
        <w:tc>
          <w:tcPr>
            <w:cnfStyle w:val="001000000000" w:firstRow="0" w:lastRow="0" w:firstColumn="1" w:lastColumn="0" w:oddVBand="0" w:evenVBand="0" w:oddHBand="0" w:evenHBand="0" w:firstRowFirstColumn="0" w:firstRowLastColumn="0" w:lastRowFirstColumn="0" w:lastRowLastColumn="0"/>
            <w:tcW w:w="2425" w:type="dxa"/>
          </w:tcPr>
          <w:p w14:paraId="45A88EAA" w14:textId="588CC901" w:rsidR="005C57AD" w:rsidRPr="004A64EF" w:rsidRDefault="005C57AD">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39" w:type="dxa"/>
          </w:tcPr>
          <w:p w14:paraId="6E75EF5D" w14:textId="77777777" w:rsidR="005C57AD" w:rsidRPr="00976D33"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Dekarbonizimi, siguria energjetike</w:t>
            </w:r>
          </w:p>
        </w:tc>
      </w:tr>
    </w:tbl>
    <w:p w14:paraId="0F33C4A9" w14:textId="77777777" w:rsidR="005C57AD" w:rsidRPr="00976D33" w:rsidRDefault="005C57AD" w:rsidP="005C57AD">
      <w:pPr>
        <w:ind w:left="-90"/>
        <w:rPr>
          <w:rFonts w:ascii="Calibri" w:hAnsi="Calibri"/>
        </w:rPr>
      </w:pPr>
    </w:p>
    <w:tbl>
      <w:tblPr>
        <w:tblStyle w:val="GridTable5Dark-Accent1"/>
        <w:tblW w:w="0" w:type="auto"/>
        <w:tblLook w:val="04A0" w:firstRow="1" w:lastRow="0" w:firstColumn="1" w:lastColumn="0" w:noHBand="0" w:noVBand="1"/>
      </w:tblPr>
      <w:tblGrid>
        <w:gridCol w:w="2425"/>
        <w:gridCol w:w="7139"/>
      </w:tblGrid>
      <w:tr w:rsidR="005C57AD" w:rsidRPr="00976D33" w14:paraId="6F82A43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764FD3F0" w14:textId="36845282" w:rsidR="005C57AD" w:rsidRPr="00976D33" w:rsidRDefault="005C57AD">
            <w:pPr>
              <w:spacing w:before="20" w:after="20"/>
              <w:jc w:val="left"/>
              <w:rPr>
                <w:color w:val="FFFFFF" w:themeColor="background1"/>
                <w:sz w:val="18"/>
                <w:szCs w:val="18"/>
              </w:rPr>
            </w:pPr>
            <w:bookmarkStart w:id="247" w:name="_Toc71247194"/>
            <w:bookmarkStart w:id="248" w:name="_Toc138210173"/>
            <w:bookmarkStart w:id="249" w:name="_Toc138998474"/>
            <w:r>
              <w:rPr>
                <w:color w:val="FFFFFF" w:themeColor="background1"/>
                <w:sz w:val="18"/>
              </w:rPr>
              <w:t>PM 34: Prokurimi publik i gjelbër</w:t>
            </w:r>
            <w:bookmarkEnd w:id="247"/>
            <w:bookmarkEnd w:id="248"/>
            <w:bookmarkEnd w:id="249"/>
          </w:p>
        </w:tc>
      </w:tr>
      <w:tr w:rsidR="005C57AD" w:rsidRPr="00976D33" w14:paraId="2A3A819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01E369FE" w14:textId="77777777" w:rsidR="005C57AD" w:rsidRPr="00976D33" w:rsidRDefault="005C57AD">
            <w:pPr>
              <w:rPr>
                <w:b w:val="0"/>
                <w:bCs w:val="0"/>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 xml:space="preserve">Jo të gjitha teknologjitë e reja kanë standardin më të lartë të efiçiencës së energjisë, prandaj duhet gjetur më e mira. Sektori publik ka problem të madh me përzgjedhjen e teknologjisë më efiçiente sepse çmimi është kriteri që merr pjesë me peshën më të madhe në vendimin përfundimtar. Prokurimi publik i gjelbër mund ta ndihmojë </w:t>
            </w:r>
            <w:r>
              <w:rPr>
                <w:color w:val="FFFFFF" w:themeColor="background1"/>
                <w:sz w:val="18"/>
              </w:rPr>
              <w:t>sektorin publik</w:t>
            </w:r>
            <w:r>
              <w:rPr>
                <w:b w:val="0"/>
                <w:color w:val="FFFFFF" w:themeColor="background1"/>
                <w:sz w:val="18"/>
              </w:rPr>
              <w:t xml:space="preserve"> për të kursyer para në kuptim afatgjatë. Kjo është për shkak se produktet dhe shërbimet e përshtatshme për mjedisin mund të jenë më efiçiente energjetike dhe me kosto efektive gjatë ciklit të tyre të jetëgjatësisë. Përveç kësaj, prokurimi publik i gjelbër mund të ndihmojë në uljen e kostove të depozitimit të mbeturinave dhe shmangien e kostos së dëmtimit të mjedisit. </w:t>
            </w:r>
            <w:r>
              <w:rPr>
                <w:color w:val="FFFFFF" w:themeColor="background1"/>
                <w:sz w:val="18"/>
              </w:rPr>
              <w:t>Sektori publik</w:t>
            </w:r>
            <w:r>
              <w:rPr>
                <w:b w:val="0"/>
                <w:color w:val="FFFFFF" w:themeColor="background1"/>
                <w:sz w:val="18"/>
              </w:rPr>
              <w:t xml:space="preserve"> ka përgjegjësi të udhëheqë me shembuj dhe të promovojë praktika të qëndrueshme. Prokurimi publik i gjelbër mund të ndihmojë në demonstrimin e përkushtimit të organizatave të sektorit publik ndaj qëndrueshmërisë dhe mund të frymëzojë organizatat tjera që t’i ndjekin këta shembuj.</w:t>
            </w:r>
          </w:p>
          <w:p w14:paraId="3B6E2D22" w14:textId="518C85F9" w:rsidR="005C57AD" w:rsidRPr="00976D33" w:rsidRDefault="005C57AD">
            <w:pPr>
              <w:rPr>
                <w:color w:val="FFFFFF" w:themeColor="background1"/>
                <w:sz w:val="18"/>
                <w:szCs w:val="18"/>
              </w:rPr>
            </w:pPr>
            <w:r>
              <w:rPr>
                <w:b w:val="0"/>
                <w:color w:val="FFFFFF" w:themeColor="background1"/>
                <w:sz w:val="18"/>
              </w:rPr>
              <w:t>Neni 18 i projektligjit për Efiçiencën e Energjisë mandaton bashkëpunimin ndërmjet Ministrisë së Ekonomisë dhe Komisionit Rregullativ të Prokurimit Publik për të zhvilluar procedura dhe udhëzime për integrimin e efiçiencës së energjisë në prokurimin publik, duke u fokusuar në efektivitetin e kostos, përshtatshmërinë ekonomike, qëndrueshmërinë, përputhshmërinë teknike dhe konkurrencën e ndershme. Gjithashtu, ministria, në bashkëpunim me ministrinë e ndërtimit dhe nën mbikëqyrjen e qeverisë, do të krijojë udhëzime për prokurimin publik të gjelbër lidhur me efiçiencën e energjisë.</w:t>
            </w:r>
          </w:p>
          <w:p w14:paraId="2E19AE25" w14:textId="16FC7B13" w:rsidR="005C57AD" w:rsidRPr="00976D33" w:rsidRDefault="005C57AD">
            <w:pPr>
              <w:rPr>
                <w:b w:val="0"/>
                <w:color w:val="FFFFFF" w:themeColor="background1"/>
                <w:sz w:val="18"/>
                <w:szCs w:val="18"/>
              </w:rPr>
            </w:pPr>
            <w:r>
              <w:rPr>
                <w:b w:val="0"/>
                <w:color w:val="FFFFFF" w:themeColor="background1"/>
                <w:sz w:val="18"/>
              </w:rPr>
              <w:t>Lidhur me aktet nënligjore, neni 43(4) i Projektligjit për Efiçiencën e Energjisë kërkon që ME, duke punuar së bashku me MMPHI, të hartojë rregullore brenda 12 muajve nga hyrja në fuqi e ligjit. Këto rregullore do të ofrojnë procedura dhe udhëzime të qarta për përdorimin e praktikave me efikasitet energjetike në prokurimet publike. Ato gjithashtu do të vendosin kufij monetarë kombëtarë për të ndihmuar në promovimin e përdorimit të teknologjive dhe produkteve me efiçiencë energjetike në projektet dhe blerjet publike.</w:t>
            </w:r>
          </w:p>
        </w:tc>
      </w:tr>
      <w:tr w:rsidR="005C57AD" w:rsidRPr="00976D33" w14:paraId="63BB0E75"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2189F730" w14:textId="77777777" w:rsidR="005C57AD" w:rsidRPr="00976D33" w:rsidRDefault="005C57AD">
            <w:pPr>
              <w:spacing w:before="20" w:after="20"/>
              <w:jc w:val="left"/>
              <w:rPr>
                <w:color w:val="FFFFFF" w:themeColor="background1"/>
                <w:sz w:val="18"/>
                <w:szCs w:val="18"/>
              </w:rPr>
            </w:pPr>
            <w:r>
              <w:rPr>
                <w:color w:val="FFFFFF" w:themeColor="background1"/>
                <w:sz w:val="18"/>
              </w:rPr>
              <w:t>Sektori/lloji</w:t>
            </w:r>
          </w:p>
        </w:tc>
        <w:tc>
          <w:tcPr>
            <w:tcW w:w="7139" w:type="dxa"/>
            <w:vAlign w:val="center"/>
          </w:tcPr>
          <w:p w14:paraId="44DCBFE8" w14:textId="77777777" w:rsidR="005C57AD" w:rsidRPr="00976D33"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Energjetik/rregullator, teknik</w:t>
            </w:r>
          </w:p>
        </w:tc>
      </w:tr>
      <w:tr w:rsidR="005C57AD" w:rsidRPr="00976D33" w14:paraId="00A971B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1A267CEB" w14:textId="77777777" w:rsidR="005C57AD" w:rsidRPr="00976D33" w:rsidRDefault="005C57AD">
            <w:pPr>
              <w:spacing w:before="20" w:after="20"/>
              <w:jc w:val="left"/>
              <w:rPr>
                <w:color w:val="FFFFFF" w:themeColor="background1"/>
                <w:sz w:val="18"/>
                <w:szCs w:val="18"/>
              </w:rPr>
            </w:pPr>
            <w:r>
              <w:rPr>
                <w:color w:val="FFFFFF" w:themeColor="background1"/>
                <w:sz w:val="18"/>
              </w:rPr>
              <w:t>Statusi i implementimit</w:t>
            </w:r>
          </w:p>
        </w:tc>
        <w:tc>
          <w:tcPr>
            <w:tcW w:w="7139" w:type="dxa"/>
            <w:vAlign w:val="center"/>
          </w:tcPr>
          <w:p w14:paraId="5192F1C0" w14:textId="77777777" w:rsidR="005C57AD" w:rsidRPr="00976D33"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Në zbatim </w:t>
            </w:r>
          </w:p>
          <w:p w14:paraId="0D513D4D" w14:textId="77777777" w:rsidR="005C57AD" w:rsidRPr="00976D33" w:rsidRDefault="005C57AD" w:rsidP="00AF7BBF">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sz w:val="18"/>
                <w:szCs w:val="18"/>
              </w:rPr>
            </w:pPr>
            <w:r>
              <w:rPr>
                <w:sz w:val="18"/>
              </w:rPr>
              <w:t>Miratohet Udhëzimi Administrativ për kërkesat për efiçiencën e energjisë për blerjen e produkteve, shërbimeve dhe ndërtesave nga qeveria qendrore</w:t>
            </w:r>
          </w:p>
        </w:tc>
      </w:tr>
      <w:tr w:rsidR="005C57AD" w:rsidRPr="00976D33" w14:paraId="75061DDF"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7F7B480C" w14:textId="77777777" w:rsidR="005C57AD" w:rsidRPr="00976D33" w:rsidRDefault="005C57AD">
            <w:pPr>
              <w:spacing w:before="20" w:after="20"/>
              <w:jc w:val="left"/>
              <w:rPr>
                <w:color w:val="FFFFFF" w:themeColor="background1"/>
                <w:sz w:val="18"/>
                <w:szCs w:val="18"/>
              </w:rPr>
            </w:pPr>
            <w:r>
              <w:rPr>
                <w:color w:val="FFFFFF" w:themeColor="background1"/>
                <w:sz w:val="18"/>
              </w:rPr>
              <w:t>Efektet kuantitative</w:t>
            </w:r>
          </w:p>
        </w:tc>
        <w:tc>
          <w:tcPr>
            <w:tcW w:w="7139" w:type="dxa"/>
            <w:vAlign w:val="center"/>
          </w:tcPr>
          <w:p w14:paraId="3787EFC5" w14:textId="77777777" w:rsidR="005C57AD" w:rsidRPr="00976D33"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n/a</w:t>
            </w:r>
          </w:p>
        </w:tc>
      </w:tr>
      <w:tr w:rsidR="005C57AD" w:rsidRPr="00976D33" w14:paraId="5AB7A01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6B4F4E4" w14:textId="77777777" w:rsidR="005C57AD" w:rsidRPr="00976D33" w:rsidRDefault="005C57AD">
            <w:pPr>
              <w:spacing w:before="20" w:after="20"/>
              <w:jc w:val="left"/>
              <w:rPr>
                <w:color w:val="FFFFFF" w:themeColor="background1"/>
                <w:sz w:val="18"/>
                <w:szCs w:val="18"/>
              </w:rPr>
            </w:pPr>
            <w:r>
              <w:rPr>
                <w:color w:val="FFFFFF" w:themeColor="background1"/>
                <w:sz w:val="18"/>
              </w:rPr>
              <w:t>Investimet</w:t>
            </w:r>
          </w:p>
        </w:tc>
        <w:tc>
          <w:tcPr>
            <w:tcW w:w="7139" w:type="dxa"/>
            <w:vAlign w:val="center"/>
          </w:tcPr>
          <w:p w14:paraId="6723927C" w14:textId="77777777" w:rsidR="005C57AD" w:rsidRPr="00976D33"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n/a</w:t>
            </w:r>
          </w:p>
        </w:tc>
      </w:tr>
      <w:tr w:rsidR="005C57AD" w:rsidRPr="00976D33" w14:paraId="7634CA14"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5184CA80" w14:textId="77777777" w:rsidR="005C57AD" w:rsidRPr="00976D33" w:rsidRDefault="005C57AD">
            <w:pPr>
              <w:spacing w:before="20" w:after="20"/>
              <w:jc w:val="left"/>
              <w:rPr>
                <w:color w:val="FFFFFF" w:themeColor="background1"/>
                <w:sz w:val="18"/>
                <w:szCs w:val="18"/>
              </w:rPr>
            </w:pPr>
            <w:r>
              <w:rPr>
                <w:color w:val="FFFFFF" w:themeColor="background1"/>
                <w:sz w:val="18"/>
              </w:rPr>
              <w:t>Institucioni përgjegjës</w:t>
            </w:r>
          </w:p>
        </w:tc>
        <w:tc>
          <w:tcPr>
            <w:tcW w:w="7139" w:type="dxa"/>
            <w:vAlign w:val="center"/>
          </w:tcPr>
          <w:p w14:paraId="6E5962EB" w14:textId="593BFD44" w:rsidR="005C57AD" w:rsidRPr="00976D33" w:rsidRDefault="001A65E6">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MFPT, Fondi i Kosovës për Efiçiencë të Energjisë, ME, MMPHI</w:t>
            </w:r>
          </w:p>
        </w:tc>
      </w:tr>
      <w:tr w:rsidR="005C57AD" w:rsidRPr="00976D33" w14:paraId="2D9320F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2395314" w14:textId="77777777" w:rsidR="005C57AD" w:rsidRPr="00976D33" w:rsidRDefault="005C57AD">
            <w:pPr>
              <w:spacing w:before="20" w:after="20"/>
              <w:jc w:val="left"/>
              <w:rPr>
                <w:color w:val="FFFFFF" w:themeColor="background1"/>
                <w:sz w:val="18"/>
                <w:szCs w:val="18"/>
              </w:rPr>
            </w:pPr>
            <w:r>
              <w:rPr>
                <w:color w:val="FFFFFF" w:themeColor="background1"/>
                <w:sz w:val="18"/>
              </w:rPr>
              <w:t>Treguesit e progresit</w:t>
            </w:r>
          </w:p>
        </w:tc>
        <w:tc>
          <w:tcPr>
            <w:tcW w:w="7139" w:type="dxa"/>
            <w:vAlign w:val="center"/>
          </w:tcPr>
          <w:p w14:paraId="4C35232C" w14:textId="4F6B1D5C" w:rsidR="005C57AD" w:rsidRPr="00976D33"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Numri i prokurimeve “të gjelbra” të realizuara; Kursimet përfundimtare të energjisë (ktoe); Kursimet primare të energjisë (ktoe).</w:t>
            </w:r>
          </w:p>
        </w:tc>
      </w:tr>
      <w:tr w:rsidR="005C57AD" w:rsidRPr="00976D33" w14:paraId="618DFA6E" w14:textId="77777777">
        <w:tc>
          <w:tcPr>
            <w:cnfStyle w:val="001000000000" w:firstRow="0" w:lastRow="0" w:firstColumn="1" w:lastColumn="0" w:oddVBand="0" w:evenVBand="0" w:oddHBand="0" w:evenHBand="0" w:firstRowFirstColumn="0" w:firstRowLastColumn="0" w:lastRowFirstColumn="0" w:lastRowLastColumn="0"/>
            <w:tcW w:w="2425" w:type="dxa"/>
          </w:tcPr>
          <w:p w14:paraId="006425E8" w14:textId="4C23BD65" w:rsidR="005C57AD" w:rsidRPr="00976D33" w:rsidRDefault="005C57AD">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39" w:type="dxa"/>
          </w:tcPr>
          <w:p w14:paraId="1D0EF306" w14:textId="77777777" w:rsidR="005C57AD" w:rsidRPr="00976D33"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Dekarbonizimi, siguria energjetike, hulumtimi, inovacioni dhe konkurrueshmëria </w:t>
            </w:r>
          </w:p>
        </w:tc>
      </w:tr>
    </w:tbl>
    <w:p w14:paraId="1ECD409B" w14:textId="77777777" w:rsidR="005C57AD" w:rsidRPr="00976D33" w:rsidRDefault="005C57AD" w:rsidP="005C57AD">
      <w:pPr>
        <w:ind w:left="-90"/>
        <w:rPr>
          <w:rFonts w:ascii="Calibri" w:hAnsi="Calibri"/>
        </w:rPr>
      </w:pPr>
    </w:p>
    <w:tbl>
      <w:tblPr>
        <w:tblStyle w:val="GridTable5Dark-Accent1"/>
        <w:tblW w:w="0" w:type="auto"/>
        <w:tblLook w:val="04A0" w:firstRow="1" w:lastRow="0" w:firstColumn="1" w:lastColumn="0" w:noHBand="0" w:noVBand="1"/>
      </w:tblPr>
      <w:tblGrid>
        <w:gridCol w:w="2425"/>
        <w:gridCol w:w="7139"/>
      </w:tblGrid>
      <w:tr w:rsidR="005C57AD" w:rsidRPr="004A64EF" w14:paraId="43490FA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43342A56" w14:textId="4BF85431" w:rsidR="005C57AD" w:rsidRPr="004A64EF" w:rsidRDefault="005C57AD">
            <w:pPr>
              <w:spacing w:before="20" w:after="20"/>
              <w:jc w:val="left"/>
              <w:rPr>
                <w:color w:val="FFFFFF" w:themeColor="background1"/>
                <w:sz w:val="18"/>
                <w:szCs w:val="18"/>
              </w:rPr>
            </w:pPr>
            <w:bookmarkStart w:id="250" w:name="_Toc71247195"/>
            <w:bookmarkStart w:id="251" w:name="_Toc138210174"/>
            <w:bookmarkStart w:id="252" w:name="_Toc138998475"/>
            <w:bookmarkStart w:id="253" w:name="_Toc37795468"/>
            <w:r>
              <w:rPr>
                <w:color w:val="FFFFFF" w:themeColor="background1"/>
                <w:sz w:val="18"/>
              </w:rPr>
              <w:t xml:space="preserve">PM 35: </w:t>
            </w:r>
            <w:r w:rsidR="00B15BD4">
              <w:rPr>
                <w:color w:val="FFFFFF" w:themeColor="background1"/>
                <w:sz w:val="18"/>
              </w:rPr>
              <w:t>Sistemet e a</w:t>
            </w:r>
            <w:r>
              <w:rPr>
                <w:color w:val="FFFFFF" w:themeColor="background1"/>
                <w:sz w:val="18"/>
              </w:rPr>
              <w:t>uditimi</w:t>
            </w:r>
            <w:r w:rsidR="00B15BD4">
              <w:rPr>
                <w:color w:val="FFFFFF" w:themeColor="background1"/>
                <w:sz w:val="18"/>
              </w:rPr>
              <w:t>t</w:t>
            </w:r>
            <w:r>
              <w:rPr>
                <w:color w:val="FFFFFF" w:themeColor="background1"/>
                <w:sz w:val="18"/>
              </w:rPr>
              <w:t xml:space="preserve"> </w:t>
            </w:r>
            <w:r w:rsidR="00B15BD4">
              <w:rPr>
                <w:color w:val="FFFFFF" w:themeColor="background1"/>
                <w:sz w:val="18"/>
              </w:rPr>
              <w:t xml:space="preserve">energjetik </w:t>
            </w:r>
            <w:r>
              <w:rPr>
                <w:color w:val="FFFFFF" w:themeColor="background1"/>
                <w:sz w:val="18"/>
              </w:rPr>
              <w:t>dhe sistemeve të menaxhimit</w:t>
            </w:r>
            <w:bookmarkEnd w:id="250"/>
            <w:bookmarkEnd w:id="251"/>
            <w:bookmarkEnd w:id="252"/>
            <w:r w:rsidR="00B15BD4">
              <w:rPr>
                <w:color w:val="FFFFFF" w:themeColor="background1"/>
                <w:sz w:val="18"/>
              </w:rPr>
              <w:t xml:space="preserve"> energjisë</w:t>
            </w:r>
          </w:p>
        </w:tc>
      </w:tr>
      <w:tr w:rsidR="005C57AD" w:rsidRPr="004A64EF" w14:paraId="4112DBD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2D0EFD31" w14:textId="6F0A44AB" w:rsidR="001A65E6" w:rsidRPr="004A64EF" w:rsidRDefault="005C57AD" w:rsidP="001A65E6">
            <w:pPr>
              <w:rPr>
                <w:b w:val="0"/>
                <w:bCs w:val="0"/>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Neni 12 i Projektligjit për Efiçiencën e Energjisë përcakton se ndërmarrjet e kategorizuara si kategoria e parë duhet të kryejnë auditime gjithëpërfshirëse të energjisë çdo katër vjet duke përdorur sisteme të certifikuara të menaxhimit të energjisë ose mjedisit. Këto auditime synojnë të identifikojnë mundësitë e kursimit të energjisë dhe të rekomandojnë masat e efiçiencës bazuar në të dhënat e përditësuara dhe të matshme të konsumit të energjisë. Ndërmarrjeve u kërkohet të mbajnë të dhënat e auditimit për të paktën një dekadë dhe t’i raportojnë ministrisë për implementimin e sistemit të menaxhimit të energjisë.</w:t>
            </w:r>
          </w:p>
          <w:p w14:paraId="33140D9A" w14:textId="77777777" w:rsidR="001A65E6" w:rsidRPr="004A64EF" w:rsidRDefault="001A65E6" w:rsidP="001A65E6">
            <w:pPr>
              <w:rPr>
                <w:b w:val="0"/>
                <w:bCs w:val="0"/>
                <w:color w:val="FFFFFF" w:themeColor="background1"/>
                <w:sz w:val="18"/>
                <w:szCs w:val="18"/>
              </w:rPr>
            </w:pPr>
            <w:r>
              <w:rPr>
                <w:b w:val="0"/>
                <w:color w:val="FFFFFF" w:themeColor="background1"/>
                <w:sz w:val="18"/>
              </w:rPr>
              <w:t xml:space="preserve">Sipas nenit 12(10) Ministria me akt nënligjor përcakton rregullat për kryerjen e auditimeve energjetike. </w:t>
            </w:r>
          </w:p>
          <w:p w14:paraId="235AADC1" w14:textId="7EBA9959" w:rsidR="001A65E6" w:rsidRPr="004A64EF" w:rsidRDefault="001A65E6" w:rsidP="001A65E6">
            <w:pPr>
              <w:rPr>
                <w:b w:val="0"/>
                <w:bCs w:val="0"/>
                <w:color w:val="FFFFFF" w:themeColor="background1"/>
                <w:sz w:val="18"/>
                <w:szCs w:val="18"/>
              </w:rPr>
            </w:pPr>
            <w:r>
              <w:rPr>
                <w:b w:val="0"/>
                <w:color w:val="FFFFFF" w:themeColor="background1"/>
                <w:sz w:val="18"/>
              </w:rPr>
              <w:lastRenderedPageBreak/>
              <w:t>Neni 13 përshkruan përgjegjësitë që ndërlidhen me auditorët e energjisë. Ministria bashkëpunon me ministritë e sektorit për të përcaktuar procesin e trajnimit, certifikimit dhe regjistrimit të auditorëve të energjisë në të gjithë sektorët e ndërtimit, industrisë dhe transportit. Programet e trajnimit dhe certifikimit për auditorët e energjisë ofrohen sipas programeve të akredituara, të certifikuara ose të barasvlershme. Ministria mban një regjistër publik të auditorëve të energjisë, auditimeve të kryera dhe ndërmarrjeve që i nënshtrohen auditimeve të detyrueshme. Regjistrimet e auditorëve të energjisë janë të vlefshme për pesë vjet dhe të ripërtëritshme në bazë të kritereve të përcaktuara në aktet nënligjore.</w:t>
            </w:r>
          </w:p>
          <w:p w14:paraId="0E62D5C1" w14:textId="77F939DF" w:rsidR="001A65E6" w:rsidRPr="004A64EF" w:rsidRDefault="001A65E6" w:rsidP="5F25BFDF">
            <w:pPr>
              <w:rPr>
                <w:b w:val="0"/>
                <w:bCs w:val="0"/>
                <w:color w:val="FFFFFF" w:themeColor="background1"/>
                <w:sz w:val="18"/>
                <w:szCs w:val="18"/>
              </w:rPr>
            </w:pPr>
            <w:r>
              <w:rPr>
                <w:b w:val="0"/>
                <w:color w:val="FFFFFF" w:themeColor="background1"/>
                <w:sz w:val="18"/>
              </w:rPr>
              <w:t>Neni 43(1.6) i Projektligjit për Efiçiencën e Energjisë kërkon që brenda një viti nga hyrja në fuqi e këtij ligji, Ministria e Ekonomisë të nxjerrë një Rregullore që përcakton kriteret minimale për auditimet energjetike, duke përfshirë auditimet e kryera në sistemet e menaxhimit të energjisë.</w:t>
            </w:r>
          </w:p>
          <w:p w14:paraId="7AEBBF32" w14:textId="1ADBD0A8" w:rsidR="001A65E6" w:rsidRPr="004A64EF" w:rsidRDefault="00952A27" w:rsidP="001A65E6">
            <w:pPr>
              <w:rPr>
                <w:b w:val="0"/>
                <w:color w:val="FFFFFF" w:themeColor="background1"/>
                <w:sz w:val="18"/>
                <w:szCs w:val="18"/>
              </w:rPr>
            </w:pPr>
            <w:r>
              <w:rPr>
                <w:b w:val="0"/>
                <w:color w:val="FFFFFF" w:themeColor="background1"/>
                <w:sz w:val="18"/>
              </w:rPr>
              <w:t xml:space="preserve"> Sistemet e auditimit dhe menaxhimit të energjisë, përveç përmirësimit të efiçiencës së energjisë, do të krijojnë gjithashtu mundësi për diversitet gjinor në sektorin energjetik.</w:t>
            </w:r>
          </w:p>
        </w:tc>
      </w:tr>
      <w:tr w:rsidR="005C57AD" w:rsidRPr="004A64EF" w14:paraId="7E4E4D52"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0B87EE78" w14:textId="77777777" w:rsidR="005C57AD" w:rsidRPr="004A64EF" w:rsidRDefault="005C57AD">
            <w:pPr>
              <w:spacing w:before="20" w:after="20"/>
              <w:jc w:val="left"/>
              <w:rPr>
                <w:color w:val="FFFFFF" w:themeColor="background1"/>
                <w:sz w:val="18"/>
                <w:szCs w:val="18"/>
              </w:rPr>
            </w:pPr>
            <w:r>
              <w:rPr>
                <w:color w:val="FFFFFF" w:themeColor="background1"/>
                <w:sz w:val="18"/>
              </w:rPr>
              <w:lastRenderedPageBreak/>
              <w:t>Sektori/lloji</w:t>
            </w:r>
          </w:p>
        </w:tc>
        <w:tc>
          <w:tcPr>
            <w:tcW w:w="7139" w:type="dxa"/>
            <w:vAlign w:val="center"/>
          </w:tcPr>
          <w:p w14:paraId="78D429A3" w14:textId="77777777"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Ndërtesat dhe industria/rregullator, teknik</w:t>
            </w:r>
          </w:p>
        </w:tc>
      </w:tr>
      <w:tr w:rsidR="005C57AD" w:rsidRPr="004A64EF" w14:paraId="701C84F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1CF92D6A" w14:textId="77777777" w:rsidR="005C57AD" w:rsidRPr="004A64EF" w:rsidRDefault="005C57AD">
            <w:pPr>
              <w:spacing w:before="20" w:after="20"/>
              <w:jc w:val="left"/>
              <w:rPr>
                <w:color w:val="FFFFFF" w:themeColor="background1"/>
                <w:sz w:val="18"/>
                <w:szCs w:val="18"/>
              </w:rPr>
            </w:pPr>
            <w:r>
              <w:rPr>
                <w:color w:val="FFFFFF" w:themeColor="background1"/>
                <w:sz w:val="18"/>
              </w:rPr>
              <w:t>Statusi i implementimit</w:t>
            </w:r>
          </w:p>
        </w:tc>
        <w:tc>
          <w:tcPr>
            <w:tcW w:w="7139" w:type="dxa"/>
            <w:vAlign w:val="center"/>
          </w:tcPr>
          <w:p w14:paraId="1E500145" w14:textId="77777777" w:rsidR="005C57AD" w:rsidRPr="004A64EF" w:rsidRDefault="005C57AD">
            <w:pPr>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Në zbatim </w:t>
            </w:r>
          </w:p>
          <w:p w14:paraId="7E4D6BA9" w14:textId="78DAEAA2" w:rsidR="005C57AD" w:rsidRPr="004A64EF" w:rsidRDefault="005C57AD" w:rsidP="00AF7BBF">
            <w:pPr>
              <w:pStyle w:val="ListParagraph"/>
              <w:numPr>
                <w:ilvl w:val="0"/>
                <w:numId w:val="36"/>
              </w:numPr>
              <w:ind w:left="403"/>
              <w:cnfStyle w:val="000000100000" w:firstRow="0" w:lastRow="0" w:firstColumn="0" w:lastColumn="0" w:oddVBand="0" w:evenVBand="0" w:oddHBand="1" w:evenHBand="0" w:firstRowFirstColumn="0" w:firstRowLastColumn="0" w:lastRowFirstColumn="0" w:lastRowLastColumn="0"/>
              <w:rPr>
                <w:sz w:val="18"/>
                <w:szCs w:val="18"/>
              </w:rPr>
            </w:pPr>
            <w:r>
              <w:rPr>
                <w:sz w:val="18"/>
              </w:rPr>
              <w:t>Në vitin 2021, 114 auditorë të energjisë janë trajnuar dhe certifikuar nga Qendra për Energji të Qëndrueshme, që vepron në kuadër të Universitetit të Prishtinës.</w:t>
            </w:r>
          </w:p>
          <w:p w14:paraId="7B282A0D" w14:textId="15A853CA" w:rsidR="005C57AD" w:rsidRPr="004A64EF" w:rsidRDefault="005C57AD" w:rsidP="00AF7BBF">
            <w:pPr>
              <w:pStyle w:val="ListParagraph"/>
              <w:numPr>
                <w:ilvl w:val="0"/>
                <w:numId w:val="36"/>
              </w:numPr>
              <w:ind w:left="403"/>
              <w:cnfStyle w:val="000000100000" w:firstRow="0" w:lastRow="0" w:firstColumn="0" w:lastColumn="0" w:oddVBand="0" w:evenVBand="0" w:oddHBand="1" w:evenHBand="0" w:firstRowFirstColumn="0" w:firstRowLastColumn="0" w:lastRowFirstColumn="0" w:lastRowLastColumn="0"/>
              <w:rPr>
                <w:sz w:val="18"/>
                <w:szCs w:val="18"/>
              </w:rPr>
            </w:pPr>
            <w:r>
              <w:rPr>
                <w:sz w:val="18"/>
              </w:rPr>
              <w:t>Në vitin 2022, 48 auditorë të energjisë janë trajnuar dhe certifikuar nga Qendra për Energji të Qëndrueshme, që vepron në kuadër të Universitetit të Prishtinës.</w:t>
            </w:r>
          </w:p>
          <w:p w14:paraId="4EE23812" w14:textId="0E3AF5E6" w:rsidR="005C57AD" w:rsidRPr="004A64EF" w:rsidRDefault="005C57AD" w:rsidP="00AF7BBF">
            <w:pPr>
              <w:pStyle w:val="ListParagraph"/>
              <w:numPr>
                <w:ilvl w:val="0"/>
                <w:numId w:val="36"/>
              </w:numPr>
              <w:ind w:left="403"/>
              <w:cnfStyle w:val="000000100000" w:firstRow="0" w:lastRow="0" w:firstColumn="0" w:lastColumn="0" w:oddVBand="0" w:evenVBand="0" w:oddHBand="1" w:evenHBand="0" w:firstRowFirstColumn="0" w:firstRowLastColumn="0" w:lastRowFirstColumn="0" w:lastRowLastColumn="0"/>
              <w:rPr>
                <w:sz w:val="18"/>
                <w:szCs w:val="18"/>
              </w:rPr>
            </w:pPr>
            <w:r>
              <w:rPr>
                <w:sz w:val="18"/>
              </w:rPr>
              <w:t>Në vitin 2023, 40 auditorë të energjisë janë trajnuar dhe certifikuar nga Qendra për Energji të Qëndrueshme, që vepron në kuadër të Universitetit të Prishtinës.</w:t>
            </w:r>
          </w:p>
          <w:p w14:paraId="578DF469" w14:textId="67DB69C4" w:rsidR="005C57AD" w:rsidRPr="004A64EF" w:rsidRDefault="0038157B" w:rsidP="00AF7BBF">
            <w:pPr>
              <w:pStyle w:val="ListParagraph"/>
              <w:numPr>
                <w:ilvl w:val="0"/>
                <w:numId w:val="36"/>
              </w:numPr>
              <w:ind w:left="403"/>
              <w:cnfStyle w:val="000000100000" w:firstRow="0" w:lastRow="0" w:firstColumn="0" w:lastColumn="0" w:oddVBand="0" w:evenVBand="0" w:oddHBand="1" w:evenHBand="0" w:firstRowFirstColumn="0" w:firstRowLastColumn="0" w:lastRowFirstColumn="0" w:lastRowLastColumn="0"/>
              <w:rPr>
                <w:sz w:val="18"/>
                <w:szCs w:val="18"/>
              </w:rPr>
            </w:pPr>
            <w:r>
              <w:rPr>
                <w:sz w:val="18"/>
              </w:rPr>
              <w:t>Deri më tani janë certifikuar 226 auditorë (përfshirë 5 persona për sektorin e industrisë), prej të cilëve 156 meshkuj dhe 70 femra.</w:t>
            </w:r>
          </w:p>
          <w:p w14:paraId="7BE6533B" w14:textId="2EF75C0A" w:rsidR="005C57AD" w:rsidRPr="004A64EF" w:rsidRDefault="005C57AD" w:rsidP="00AF7BBF">
            <w:pPr>
              <w:pStyle w:val="ListParagraph"/>
              <w:numPr>
                <w:ilvl w:val="0"/>
                <w:numId w:val="36"/>
              </w:numPr>
              <w:ind w:left="403"/>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Më shumë se 3000 auditime janë kryer deri në mars të vitit 2024 (në sektorin rezidencial) në kuadër të programit të Fondit të Kosovës për Efiçiencë të Energjisë. </w:t>
            </w:r>
          </w:p>
          <w:p w14:paraId="4E13FEA3" w14:textId="339293E1" w:rsidR="005C57AD" w:rsidRPr="004A64EF" w:rsidRDefault="005C57AD" w:rsidP="00AF7BBF">
            <w:pPr>
              <w:pStyle w:val="ListParagraph"/>
              <w:numPr>
                <w:ilvl w:val="0"/>
                <w:numId w:val="36"/>
              </w:numPr>
              <w:ind w:left="403"/>
              <w:cnfStyle w:val="000000100000" w:firstRow="0" w:lastRow="0" w:firstColumn="0" w:lastColumn="0" w:oddVBand="0" w:evenVBand="0" w:oddHBand="1" w:evenHBand="0" w:firstRowFirstColumn="0" w:firstRowLastColumn="0" w:lastRowFirstColumn="0" w:lastRowLastColumn="0"/>
              <w:rPr>
                <w:sz w:val="18"/>
                <w:szCs w:val="18"/>
              </w:rPr>
            </w:pPr>
            <w:r>
              <w:rPr>
                <w:sz w:val="18"/>
              </w:rPr>
              <w:t>Deri në mesin e vitit 2024, regjistri do të jetë në funksion dhe më shumë informacion rreth auditimeve energj</w:t>
            </w:r>
            <w:r w:rsidR="004F7A79">
              <w:rPr>
                <w:sz w:val="18"/>
              </w:rPr>
              <w:t>etike</w:t>
            </w:r>
            <w:r>
              <w:rPr>
                <w:sz w:val="18"/>
              </w:rPr>
              <w:t xml:space="preserve"> do të jetë në dispozicion</w:t>
            </w:r>
          </w:p>
        </w:tc>
      </w:tr>
      <w:tr w:rsidR="005C57AD" w:rsidRPr="004A64EF" w14:paraId="5B4CD6B7"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1125B1BA" w14:textId="77777777" w:rsidR="005C57AD" w:rsidRPr="004A64EF" w:rsidRDefault="005C57AD">
            <w:pPr>
              <w:spacing w:before="20" w:after="20"/>
              <w:jc w:val="left"/>
              <w:rPr>
                <w:color w:val="FFFFFF" w:themeColor="background1"/>
                <w:sz w:val="18"/>
                <w:szCs w:val="18"/>
              </w:rPr>
            </w:pPr>
            <w:r>
              <w:rPr>
                <w:color w:val="FFFFFF" w:themeColor="background1"/>
                <w:sz w:val="18"/>
              </w:rPr>
              <w:t>Efektet kuantitative</w:t>
            </w:r>
          </w:p>
        </w:tc>
        <w:tc>
          <w:tcPr>
            <w:tcW w:w="7139" w:type="dxa"/>
            <w:vAlign w:val="center"/>
          </w:tcPr>
          <w:p w14:paraId="6E1FF6D2" w14:textId="77777777"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n/a</w:t>
            </w:r>
          </w:p>
        </w:tc>
      </w:tr>
      <w:tr w:rsidR="005C57AD" w:rsidRPr="004A64EF" w14:paraId="3E8BA07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2DD61135" w14:textId="77777777" w:rsidR="005C57AD" w:rsidRPr="004A64EF" w:rsidRDefault="005C57AD">
            <w:pPr>
              <w:spacing w:before="20" w:after="20"/>
              <w:jc w:val="left"/>
              <w:rPr>
                <w:color w:val="FFFFFF" w:themeColor="background1"/>
                <w:sz w:val="18"/>
                <w:szCs w:val="18"/>
              </w:rPr>
            </w:pPr>
            <w:r>
              <w:rPr>
                <w:color w:val="FFFFFF" w:themeColor="background1"/>
                <w:sz w:val="18"/>
              </w:rPr>
              <w:t>Investimet</w:t>
            </w:r>
          </w:p>
        </w:tc>
        <w:tc>
          <w:tcPr>
            <w:tcW w:w="7139" w:type="dxa"/>
            <w:vAlign w:val="center"/>
          </w:tcPr>
          <w:p w14:paraId="085EF938" w14:textId="5F98A9A9" w:rsidR="005C57AD" w:rsidRPr="004A64EF" w:rsidRDefault="009308F3">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0.35 mil. euro nga buxheti i Ministrisë së Ekonomisë për zbatimin e programit të trajnimit (Burimi: Konsultimet dhe vlerësimi i ekspertëve)</w:t>
            </w:r>
          </w:p>
        </w:tc>
      </w:tr>
      <w:tr w:rsidR="001A65E6" w:rsidRPr="004A64EF" w14:paraId="51C72EF8" w14:textId="77777777" w:rsidTr="00FF705C">
        <w:trPr>
          <w:trHeight w:val="269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D974415" w14:textId="77777777" w:rsidR="001A65E6" w:rsidRPr="004A64EF" w:rsidRDefault="001A65E6" w:rsidP="001A65E6">
            <w:pPr>
              <w:spacing w:before="20" w:after="20"/>
              <w:jc w:val="left"/>
              <w:rPr>
                <w:color w:val="FFFFFF" w:themeColor="background1"/>
                <w:sz w:val="18"/>
                <w:szCs w:val="18"/>
              </w:rPr>
            </w:pPr>
            <w:r>
              <w:rPr>
                <w:color w:val="FFFFFF" w:themeColor="background1"/>
                <w:sz w:val="18"/>
              </w:rPr>
              <w:t>Institucioni përgjegjës</w:t>
            </w:r>
          </w:p>
        </w:tc>
        <w:tc>
          <w:tcPr>
            <w:tcW w:w="7139" w:type="dxa"/>
            <w:vAlign w:val="center"/>
          </w:tcPr>
          <w:p w14:paraId="232D1555" w14:textId="3EF2151A" w:rsidR="001A65E6" w:rsidRPr="004A64EF" w:rsidRDefault="001A65E6" w:rsidP="001A65E6">
            <w:pPr>
              <w:cnfStyle w:val="000000000000" w:firstRow="0" w:lastRow="0" w:firstColumn="0" w:lastColumn="0" w:oddVBand="0" w:evenVBand="0" w:oddHBand="0" w:evenHBand="0" w:firstRowFirstColumn="0" w:firstRowLastColumn="0" w:lastRowFirstColumn="0" w:lastRowLastColumn="0"/>
              <w:rPr>
                <w:sz w:val="18"/>
                <w:szCs w:val="18"/>
              </w:rPr>
            </w:pPr>
            <w:r>
              <w:rPr>
                <w:sz w:val="18"/>
              </w:rPr>
              <w:t>Neni 8 (2.1) i Projektligjit për EE përcakton se ME, ose ministria në bashkëpunim me institucionet përgjegjëse në fushën e efiçiencës së energjisë siguron prezantimin e sistemit të menaxhimit të energjisë dhe auditimit energj</w:t>
            </w:r>
            <w:r w:rsidR="00683293">
              <w:rPr>
                <w:sz w:val="18"/>
              </w:rPr>
              <w:t>etik</w:t>
            </w:r>
            <w:r>
              <w:rPr>
                <w:sz w:val="18"/>
              </w:rPr>
              <w:t>.  Sipas nenit 8 (3.1.4), ME është përgjegjëse për kontrollin dhe mbikëqyrjen e përputhshmërisë së raportit të auditimit energj</w:t>
            </w:r>
            <w:r w:rsidR="00683293">
              <w:rPr>
                <w:sz w:val="18"/>
              </w:rPr>
              <w:t>etik</w:t>
            </w:r>
            <w:r>
              <w:rPr>
                <w:sz w:val="18"/>
              </w:rPr>
              <w:t xml:space="preserve"> me kërkesat e legjislacionit të Kosovës </w:t>
            </w:r>
          </w:p>
          <w:p w14:paraId="13982AAF" w14:textId="77777777" w:rsidR="001A65E6" w:rsidRPr="004A64EF" w:rsidRDefault="001A65E6" w:rsidP="001A65E6">
            <w:pPr>
              <w:cnfStyle w:val="000000000000" w:firstRow="0" w:lastRow="0" w:firstColumn="0" w:lastColumn="0" w:oddVBand="0" w:evenVBand="0" w:oddHBand="0" w:evenHBand="0" w:firstRowFirstColumn="0" w:firstRowLastColumn="0" w:lastRowFirstColumn="0" w:lastRowLastColumn="0"/>
              <w:rPr>
                <w:sz w:val="18"/>
                <w:szCs w:val="18"/>
              </w:rPr>
            </w:pPr>
            <w:r>
              <w:rPr>
                <w:sz w:val="18"/>
              </w:rPr>
              <w:t>Neni 9 përshkruan përgjegjësitë e mëposhtme:</w:t>
            </w:r>
          </w:p>
          <w:p w14:paraId="4FAA3605" w14:textId="5E398CB5" w:rsidR="001A65E6" w:rsidRPr="004A64EF" w:rsidRDefault="00821114" w:rsidP="00AF7BBF">
            <w:pPr>
              <w:numPr>
                <w:ilvl w:val="0"/>
                <w:numId w:val="106"/>
              </w:numPr>
              <w:cnfStyle w:val="000000000000" w:firstRow="0" w:lastRow="0" w:firstColumn="0" w:lastColumn="0" w:oddVBand="0" w:evenVBand="0" w:oddHBand="0" w:evenHBand="0" w:firstRowFirstColumn="0" w:firstRowLastColumn="0" w:lastRowFirstColumn="0" w:lastRowLastColumn="0"/>
              <w:rPr>
                <w:sz w:val="18"/>
                <w:szCs w:val="18"/>
              </w:rPr>
            </w:pPr>
            <w:r>
              <w:rPr>
                <w:sz w:val="18"/>
              </w:rPr>
              <w:t>ME, në bashkëpunim me institucionet e tjera përgjegjëse, përgatit programe certifikimi për auditorët e energjisë dhe personat që zbatojnë menaxhimin e energjisë në industri dhe vendos kriteret për këto programe.</w:t>
            </w:r>
          </w:p>
          <w:p w14:paraId="5E1B20D3" w14:textId="4C851EF6" w:rsidR="001A65E6" w:rsidRPr="00FF705C" w:rsidRDefault="001A65E6" w:rsidP="001A65E6">
            <w:pPr>
              <w:numPr>
                <w:ilvl w:val="0"/>
                <w:numId w:val="106"/>
              </w:numPr>
              <w:cnfStyle w:val="000000000000" w:firstRow="0" w:lastRow="0" w:firstColumn="0" w:lastColumn="0" w:oddVBand="0" w:evenVBand="0" w:oddHBand="0" w:evenHBand="0" w:firstRowFirstColumn="0" w:firstRowLastColumn="0" w:lastRowFirstColumn="0" w:lastRowLastColumn="0"/>
              <w:rPr>
                <w:sz w:val="18"/>
                <w:szCs w:val="18"/>
              </w:rPr>
            </w:pPr>
            <w:r>
              <w:rPr>
                <w:sz w:val="18"/>
              </w:rPr>
              <w:t>Institucionet arsimore të akredituara ose subjekt</w:t>
            </w:r>
            <w:r w:rsidR="0037748E">
              <w:rPr>
                <w:sz w:val="18"/>
              </w:rPr>
              <w:t>et e tjera</w:t>
            </w:r>
            <w:r>
              <w:rPr>
                <w:sz w:val="18"/>
              </w:rPr>
              <w:t xml:space="preserve"> të autorizuara janë përgjegjëse për trajnimin e auditorëve të energjisë.</w:t>
            </w:r>
          </w:p>
        </w:tc>
      </w:tr>
      <w:tr w:rsidR="001A65E6" w:rsidRPr="004A64EF" w14:paraId="6F7B22E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161C4A5" w14:textId="77777777" w:rsidR="001A65E6" w:rsidRPr="004A64EF" w:rsidRDefault="001A65E6" w:rsidP="001A65E6">
            <w:pPr>
              <w:spacing w:before="20" w:after="20"/>
              <w:jc w:val="left"/>
              <w:rPr>
                <w:color w:val="FFFFFF" w:themeColor="background1"/>
                <w:sz w:val="18"/>
                <w:szCs w:val="18"/>
              </w:rPr>
            </w:pPr>
            <w:r>
              <w:rPr>
                <w:color w:val="FFFFFF" w:themeColor="background1"/>
                <w:sz w:val="18"/>
              </w:rPr>
              <w:t>Treguesit e progresit</w:t>
            </w:r>
          </w:p>
        </w:tc>
        <w:tc>
          <w:tcPr>
            <w:tcW w:w="7139" w:type="dxa"/>
            <w:vAlign w:val="center"/>
          </w:tcPr>
          <w:p w14:paraId="7EC1E500" w14:textId="77777777" w:rsidR="001A65E6" w:rsidRPr="004A64EF" w:rsidRDefault="001A65E6" w:rsidP="001A65E6">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Numri i auditimeve; numri i sistemeve të menaxhimit të energjisë të instaluara; kursimet përfundimtare të energjisë (ktoe); kursimet primare të energjisë (ktoe)</w:t>
            </w:r>
          </w:p>
        </w:tc>
      </w:tr>
      <w:tr w:rsidR="001A65E6" w:rsidRPr="00976D33" w14:paraId="49F4DAC2" w14:textId="77777777">
        <w:tc>
          <w:tcPr>
            <w:cnfStyle w:val="001000000000" w:firstRow="0" w:lastRow="0" w:firstColumn="1" w:lastColumn="0" w:oddVBand="0" w:evenVBand="0" w:oddHBand="0" w:evenHBand="0" w:firstRowFirstColumn="0" w:firstRowLastColumn="0" w:lastRowFirstColumn="0" w:lastRowLastColumn="0"/>
            <w:tcW w:w="2425" w:type="dxa"/>
          </w:tcPr>
          <w:p w14:paraId="61F66243" w14:textId="1BE1A174" w:rsidR="001A65E6" w:rsidRPr="004A64EF" w:rsidRDefault="001A65E6" w:rsidP="001A65E6">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39" w:type="dxa"/>
          </w:tcPr>
          <w:p w14:paraId="442491A9" w14:textId="77777777" w:rsidR="001A65E6" w:rsidRPr="00976D33" w:rsidRDefault="001A65E6" w:rsidP="001A65E6">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Dekarbonizimi, siguria energjetike, hulumtimi, inovacioni dhe konkurrueshmëria </w:t>
            </w:r>
          </w:p>
        </w:tc>
      </w:tr>
    </w:tbl>
    <w:p w14:paraId="4A2E4143" w14:textId="77777777" w:rsidR="009A7A8D" w:rsidRPr="00976D33" w:rsidRDefault="009A7A8D" w:rsidP="005C57AD"/>
    <w:tbl>
      <w:tblPr>
        <w:tblStyle w:val="GridTable5Dark-Accent1"/>
        <w:tblW w:w="0" w:type="auto"/>
        <w:tblLook w:val="04A0" w:firstRow="1" w:lastRow="0" w:firstColumn="1" w:lastColumn="0" w:noHBand="0" w:noVBand="1"/>
      </w:tblPr>
      <w:tblGrid>
        <w:gridCol w:w="2425"/>
        <w:gridCol w:w="7139"/>
      </w:tblGrid>
      <w:tr w:rsidR="005C57AD" w:rsidRPr="004A64EF" w14:paraId="58FE903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2EE31738" w14:textId="38CF08DA" w:rsidR="005C57AD" w:rsidRPr="004A64EF" w:rsidRDefault="005C57AD">
            <w:pPr>
              <w:spacing w:before="20" w:after="20"/>
              <w:jc w:val="left"/>
              <w:rPr>
                <w:color w:val="FFFFFF" w:themeColor="background1"/>
                <w:sz w:val="18"/>
                <w:szCs w:val="18"/>
              </w:rPr>
            </w:pPr>
            <w:bookmarkStart w:id="254" w:name="_Toc71247196"/>
            <w:bookmarkStart w:id="255" w:name="_Toc138210175"/>
            <w:bookmarkStart w:id="256" w:name="_Toc138998476"/>
            <w:bookmarkStart w:id="257" w:name="_Toc37795469"/>
            <w:bookmarkEnd w:id="253"/>
            <w:r>
              <w:rPr>
                <w:color w:val="FFFFFF" w:themeColor="background1"/>
                <w:sz w:val="18"/>
              </w:rPr>
              <w:t>PM 36: Fushata për efiçiencë të energjisë</w:t>
            </w:r>
            <w:bookmarkEnd w:id="254"/>
            <w:bookmarkEnd w:id="255"/>
            <w:bookmarkEnd w:id="256"/>
          </w:p>
        </w:tc>
      </w:tr>
      <w:tr w:rsidR="005C57AD" w:rsidRPr="004A64EF" w14:paraId="30E1E2E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771FF562" w14:textId="40FF96A4" w:rsidR="005C57AD" w:rsidRPr="004A64EF" w:rsidRDefault="005C57AD" w:rsidP="5F25BFDF">
            <w:pPr>
              <w:rPr>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Një nga përfitimet kryesore të programeve të informimit të konsumatorëve për efiçiencën e energjisë është se ato i ndihmojnë konsumatorët të kursejnë para në faturat e tyre të energjisë. Kjo bëhet duke ofruar informacion se si të përdorin energjinë në mënyrë më efiçiente, në mënyrë që konsumatorët të mund të reduktojnë konsumin e tyre të energjisë dhe kështu të jenë në gjendje të kursejnë para në faturat e tyre të shërbimeve. Në përgjithësi, programet e informimit të konsumatorëve për efiçiencë të energjisë janë një mjet kritik për promovimin e përdorimit të qëndrueshëm të energjisë dhe reduktimin e kostove të energjisë, emetimeve dhe ndikimeve të tjera negative mjedisore. Neni 14 (1) i Ligjit për EE përcakton se ME do të ndërmarrë veprimet e duhura për të promovuar dhe lehtësuar përdorimin efiçient të energjisë nga konsumatorët e vegjël të energjisë, përfshirë konsumatorët vendor.</w:t>
            </w:r>
          </w:p>
          <w:p w14:paraId="38EE8144" w14:textId="5837348E" w:rsidR="005C57AD" w:rsidRPr="004A64EF" w:rsidRDefault="190B1E2E" w:rsidP="00CC1C48">
            <w:pPr>
              <w:rPr>
                <w:b w:val="0"/>
                <w:color w:val="FFFFFF" w:themeColor="background1"/>
                <w:sz w:val="18"/>
                <w:szCs w:val="18"/>
              </w:rPr>
            </w:pPr>
            <w:r>
              <w:rPr>
                <w:b w:val="0"/>
                <w:color w:val="FFFFFF" w:themeColor="background1"/>
                <w:sz w:val="18"/>
              </w:rPr>
              <w:t>Në hartimin dhe zbatimin e fushatave të informimit të konsumatorëve, do të jetë thelbësore të përfshihen nevojat dhe sfidat specifike me të cilat përballen audiencat e synuara, duke ofruar materiale edukative dhe informative, duke shfaqur modele dhe shembuj pozitivë.</w:t>
            </w:r>
          </w:p>
        </w:tc>
      </w:tr>
      <w:tr w:rsidR="005C57AD" w:rsidRPr="004A64EF" w14:paraId="5690ECBE"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64CA592F" w14:textId="77777777" w:rsidR="005C57AD" w:rsidRPr="004A64EF" w:rsidRDefault="005C57AD">
            <w:pPr>
              <w:spacing w:before="20" w:after="20"/>
              <w:jc w:val="left"/>
              <w:rPr>
                <w:color w:val="FFFFFF" w:themeColor="background1"/>
                <w:sz w:val="18"/>
                <w:szCs w:val="18"/>
              </w:rPr>
            </w:pPr>
            <w:r>
              <w:rPr>
                <w:color w:val="FFFFFF" w:themeColor="background1"/>
                <w:sz w:val="18"/>
              </w:rPr>
              <w:lastRenderedPageBreak/>
              <w:t>Sektori/lloji</w:t>
            </w:r>
          </w:p>
        </w:tc>
        <w:tc>
          <w:tcPr>
            <w:tcW w:w="7139" w:type="dxa"/>
            <w:vAlign w:val="center"/>
          </w:tcPr>
          <w:p w14:paraId="41CC52CA" w14:textId="77777777"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Energjetik/teknik</w:t>
            </w:r>
          </w:p>
        </w:tc>
      </w:tr>
      <w:tr w:rsidR="005C57AD" w:rsidRPr="004A64EF" w14:paraId="312F855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10D71B4E" w14:textId="77777777" w:rsidR="005C57AD" w:rsidRPr="004A64EF" w:rsidRDefault="005C57AD">
            <w:pPr>
              <w:spacing w:before="20" w:after="20"/>
              <w:jc w:val="left"/>
              <w:rPr>
                <w:color w:val="FFFFFF" w:themeColor="background1"/>
                <w:sz w:val="18"/>
                <w:szCs w:val="18"/>
              </w:rPr>
            </w:pPr>
            <w:r>
              <w:rPr>
                <w:color w:val="FFFFFF" w:themeColor="background1"/>
                <w:sz w:val="18"/>
              </w:rPr>
              <w:t>Statusi i implementimit</w:t>
            </w:r>
          </w:p>
        </w:tc>
        <w:tc>
          <w:tcPr>
            <w:tcW w:w="7139" w:type="dxa"/>
            <w:vAlign w:val="center"/>
          </w:tcPr>
          <w:p w14:paraId="273F307E"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Në zbatim</w:t>
            </w:r>
          </w:p>
          <w:p w14:paraId="3E340B3E" w14:textId="664EF41D" w:rsidR="005C57AD" w:rsidRPr="004A64EF" w:rsidRDefault="005C57AD" w:rsidP="00AF7BBF">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sz w:val="18"/>
                <w:szCs w:val="18"/>
              </w:rPr>
            </w:pPr>
            <w:r>
              <w:rPr>
                <w:sz w:val="18"/>
              </w:rPr>
              <w:t>ME ka zhvilluar fushata promovuese për efiçiencë të energjisë dhe BRE-të gjatë viteve 2016-2018. Këto fushata promovuese synonin të ndërgjegjësonin të gjitha kategoritë e konsumatorëve të energjisë, duke reflektuar mbi rëndësinë e përdorimit të masave të kursimit të energjisë dhe BRE-ve.</w:t>
            </w:r>
          </w:p>
          <w:p w14:paraId="6DA02F93" w14:textId="7DF7DBFE" w:rsidR="005C57AD" w:rsidRPr="004A64EF" w:rsidRDefault="005C57AD" w:rsidP="00AF7BBF">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sz w:val="18"/>
                <w:szCs w:val="18"/>
              </w:rPr>
            </w:pPr>
            <w:r>
              <w:rPr>
                <w:sz w:val="18"/>
              </w:rPr>
              <w:t>Fushatat kanë përfshirë vendosjen e billbordeve dhe transmetimin e reklamave promovuese në monitorët LED në qytete të ndryshme të Kosovës dhe në zona të ndryshme, varësisht nga sektori i synuar. Në vitin 2016, fushata u fokusua në sektorin e industrisë, duke theksuar rëndësinë e masave të efiçiencës së energjisë dhe BRE-ve në këtë sektor. Në vitin 2017, fokusi ishte në rëndësinë e masave të EE-së dhe BRE-të në sektorin e shërbimeve (publike dhe private), ndërsa në vitin 2018 fokusi ishte në sektorin e transportit (publik dhe privat).</w:t>
            </w:r>
          </w:p>
          <w:p w14:paraId="354E0361" w14:textId="77777777" w:rsidR="005C57AD" w:rsidRPr="004A64EF" w:rsidRDefault="005C57AD" w:rsidP="00AF7BBF">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Në vitin 2022, janë shpallur dy thirrje për subvencionim të pajisjeve efikase të ngrohjes ekonomike për qytetarët, </w:t>
            </w:r>
          </w:p>
          <w:p w14:paraId="0CE46626" w14:textId="30C59C80" w:rsidR="005C57AD" w:rsidRPr="004A64EF" w:rsidRDefault="001A65E6" w:rsidP="00AF7BBF">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sz w:val="18"/>
                <w:szCs w:val="18"/>
              </w:rPr>
            </w:pPr>
            <w:r>
              <w:rPr>
                <w:sz w:val="18"/>
              </w:rPr>
              <w:t>Në vitin 2023 dhe fillim të vitit 2024, në kuadër të Paketës për Mbështetje të Energjisë, Objektivi I, Masa 6, Ministria e Ekonomisë ka lansuar një fushatë në nivel kombëtar me 11 video, duke përfshirë dëshmi dhe udhëzime, të transmetuara në kanale të ndryshme televizive. Këto video u transmetuan disa herë gjatë orëve kryesore të transmetimit. Ministri dhe zyrtarët e Ministrisë zhvilluan intervista dhe konferenca për shtyp në platforma të ndryshme mediatike për të promovuar subvencionet e energjisë. U organizuan pesë ngjarje publike, duke përfshirë një ceremoni nënshkrimi dhe konferenca për shtyp, për t’u angazhuar me qytetarët dhe mediat në Pakon për Mbështetje të Energjisë. Për më tepër, ministria zhvilloi një fushatë të gjerë në mediat sociale, duke arritur mbi 28,000 ndjekës në Facebook dhe duke u angazhuar në platforma të ndryshme, përfshirë YouTube dhe Instagram. Fondi i Kosovës për Efiçiencë të Energjisë ka shfrytëzuar edhe mediat sociale, me postime dhe video në Facebook duke arritur një audiencë prej 95,000.</w:t>
            </w:r>
          </w:p>
        </w:tc>
      </w:tr>
      <w:tr w:rsidR="005C57AD" w:rsidRPr="004A64EF" w14:paraId="5D5A3CDF"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071B23AA" w14:textId="77777777" w:rsidR="005C57AD" w:rsidRPr="004A64EF" w:rsidRDefault="005C57AD">
            <w:pPr>
              <w:spacing w:before="20" w:after="20"/>
              <w:jc w:val="left"/>
              <w:rPr>
                <w:color w:val="FFFFFF" w:themeColor="background1"/>
                <w:sz w:val="18"/>
                <w:szCs w:val="18"/>
              </w:rPr>
            </w:pPr>
            <w:r>
              <w:rPr>
                <w:color w:val="FFFFFF" w:themeColor="background1"/>
                <w:sz w:val="18"/>
              </w:rPr>
              <w:t>Efektet kuantitative</w:t>
            </w:r>
          </w:p>
        </w:tc>
        <w:tc>
          <w:tcPr>
            <w:tcW w:w="7139" w:type="dxa"/>
            <w:vAlign w:val="center"/>
          </w:tcPr>
          <w:p w14:paraId="3733E80E" w14:textId="77777777"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n/a</w:t>
            </w:r>
          </w:p>
        </w:tc>
      </w:tr>
      <w:tr w:rsidR="005C57AD" w:rsidRPr="000A65E6" w14:paraId="2A10AF8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9DE2468" w14:textId="77777777" w:rsidR="005C57AD" w:rsidRPr="004A64EF" w:rsidRDefault="005C57AD">
            <w:pPr>
              <w:spacing w:before="20" w:after="20"/>
              <w:jc w:val="left"/>
              <w:rPr>
                <w:color w:val="FFFFFF" w:themeColor="background1"/>
                <w:sz w:val="18"/>
                <w:szCs w:val="18"/>
              </w:rPr>
            </w:pPr>
            <w:r>
              <w:rPr>
                <w:color w:val="FFFFFF" w:themeColor="background1"/>
                <w:sz w:val="18"/>
              </w:rPr>
              <w:t>Investimet</w:t>
            </w:r>
          </w:p>
        </w:tc>
        <w:tc>
          <w:tcPr>
            <w:tcW w:w="7139" w:type="dxa"/>
            <w:vAlign w:val="center"/>
          </w:tcPr>
          <w:p w14:paraId="0A278B1E" w14:textId="75806D75"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~0,34 mil. euro (2025-2030) </w:t>
            </w:r>
            <w:r>
              <w:rPr>
                <w:sz w:val="18"/>
              </w:rPr>
              <w:br/>
              <w:t>Burimi: Vlerësimet e ekspertëve</w:t>
            </w:r>
          </w:p>
        </w:tc>
      </w:tr>
      <w:tr w:rsidR="005C57AD" w:rsidRPr="004A64EF" w14:paraId="12BFDD69"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5D29A4C7" w14:textId="77777777" w:rsidR="005C57AD" w:rsidRPr="004A64EF" w:rsidRDefault="005C57AD">
            <w:pPr>
              <w:spacing w:before="20" w:after="20"/>
              <w:jc w:val="left"/>
              <w:rPr>
                <w:color w:val="FFFFFF" w:themeColor="background1"/>
                <w:sz w:val="18"/>
                <w:szCs w:val="18"/>
              </w:rPr>
            </w:pPr>
            <w:r>
              <w:rPr>
                <w:color w:val="FFFFFF" w:themeColor="background1"/>
                <w:sz w:val="18"/>
              </w:rPr>
              <w:t>Institucioni përgjegjës</w:t>
            </w:r>
          </w:p>
        </w:tc>
        <w:tc>
          <w:tcPr>
            <w:tcW w:w="7139" w:type="dxa"/>
            <w:vAlign w:val="center"/>
          </w:tcPr>
          <w:p w14:paraId="21A359FC" w14:textId="7E8E1E49"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ME, FKEE, MFPT</w:t>
            </w:r>
          </w:p>
        </w:tc>
      </w:tr>
      <w:tr w:rsidR="005C57AD" w:rsidRPr="004A64EF" w14:paraId="796B96C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59DB5D9" w14:textId="77777777" w:rsidR="005C57AD" w:rsidRPr="004A64EF" w:rsidRDefault="005C57AD">
            <w:pPr>
              <w:spacing w:before="20" w:after="20"/>
              <w:jc w:val="left"/>
              <w:rPr>
                <w:color w:val="FFFFFF" w:themeColor="background1"/>
                <w:sz w:val="18"/>
                <w:szCs w:val="18"/>
              </w:rPr>
            </w:pPr>
            <w:r>
              <w:rPr>
                <w:color w:val="FFFFFF" w:themeColor="background1"/>
                <w:sz w:val="18"/>
              </w:rPr>
              <w:t>Treguesit e progresit</w:t>
            </w:r>
          </w:p>
        </w:tc>
        <w:tc>
          <w:tcPr>
            <w:tcW w:w="7139" w:type="dxa"/>
            <w:vAlign w:val="center"/>
          </w:tcPr>
          <w:p w14:paraId="6E562237"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Numri i fushatave të realizuara </w:t>
            </w:r>
          </w:p>
        </w:tc>
      </w:tr>
      <w:tr w:rsidR="005C57AD" w:rsidRPr="00976D33" w14:paraId="2841D88A" w14:textId="77777777">
        <w:tc>
          <w:tcPr>
            <w:cnfStyle w:val="001000000000" w:firstRow="0" w:lastRow="0" w:firstColumn="1" w:lastColumn="0" w:oddVBand="0" w:evenVBand="0" w:oddHBand="0" w:evenHBand="0" w:firstRowFirstColumn="0" w:firstRowLastColumn="0" w:lastRowFirstColumn="0" w:lastRowLastColumn="0"/>
            <w:tcW w:w="2425" w:type="dxa"/>
          </w:tcPr>
          <w:p w14:paraId="2F837734" w14:textId="1B5237CA" w:rsidR="005C57AD" w:rsidRPr="004A64EF" w:rsidRDefault="005C57AD">
            <w:pPr>
              <w:spacing w:before="20" w:after="20"/>
              <w:jc w:val="left"/>
              <w:rPr>
                <w:color w:val="FFFFFF" w:themeColor="background1"/>
                <w:sz w:val="18"/>
                <w:szCs w:val="18"/>
              </w:rPr>
            </w:pPr>
            <w:r>
              <w:rPr>
                <w:color w:val="FFFFFF" w:themeColor="background1"/>
                <w:sz w:val="18"/>
              </w:rPr>
              <w:t xml:space="preserve">Lidhja me dimensionet </w:t>
            </w:r>
            <w:r w:rsidR="0037748E">
              <w:rPr>
                <w:color w:val="FFFFFF" w:themeColor="background1"/>
                <w:sz w:val="18"/>
              </w:rPr>
              <w:t xml:space="preserve">e </w:t>
            </w:r>
            <w:r>
              <w:rPr>
                <w:color w:val="FFFFFF" w:themeColor="background1"/>
                <w:sz w:val="18"/>
              </w:rPr>
              <w:t>tjera</w:t>
            </w:r>
          </w:p>
        </w:tc>
        <w:tc>
          <w:tcPr>
            <w:tcW w:w="7139" w:type="dxa"/>
          </w:tcPr>
          <w:p w14:paraId="6180E0ED" w14:textId="77777777" w:rsidR="005C57AD" w:rsidRPr="00976D33"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Dekarbonizimi, siguria energjetike</w:t>
            </w:r>
          </w:p>
        </w:tc>
      </w:tr>
    </w:tbl>
    <w:p w14:paraId="011CE3F4" w14:textId="77777777" w:rsidR="005C57AD" w:rsidRPr="00976D33" w:rsidRDefault="005C57AD" w:rsidP="005C57AD">
      <w:pPr>
        <w:ind w:left="-90"/>
        <w:rPr>
          <w:rFonts w:ascii="Calibri" w:hAnsi="Calibri"/>
          <w:u w:val="single"/>
        </w:rPr>
      </w:pPr>
    </w:p>
    <w:tbl>
      <w:tblPr>
        <w:tblStyle w:val="GridTable5Dark-Accent1"/>
        <w:tblW w:w="0" w:type="auto"/>
        <w:tblLook w:val="04A0" w:firstRow="1" w:lastRow="0" w:firstColumn="1" w:lastColumn="0" w:noHBand="0" w:noVBand="1"/>
      </w:tblPr>
      <w:tblGrid>
        <w:gridCol w:w="2425"/>
        <w:gridCol w:w="7139"/>
      </w:tblGrid>
      <w:tr w:rsidR="005C57AD" w:rsidRPr="004A64EF" w14:paraId="5B7CA945" w14:textId="77777777" w:rsidTr="7A23F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4C61B57F" w14:textId="79B1B1F8" w:rsidR="005C57AD" w:rsidRPr="004A64EF" w:rsidRDefault="005C57AD">
            <w:pPr>
              <w:spacing w:before="20" w:after="20"/>
              <w:jc w:val="left"/>
              <w:rPr>
                <w:color w:val="FFFFFF" w:themeColor="background1"/>
                <w:sz w:val="18"/>
                <w:szCs w:val="18"/>
              </w:rPr>
            </w:pPr>
            <w:bookmarkStart w:id="258" w:name="_Toc71247197"/>
            <w:bookmarkStart w:id="259" w:name="_Toc138210176"/>
            <w:bookmarkStart w:id="260" w:name="_Toc138998477"/>
            <w:bookmarkStart w:id="261" w:name="_Ref164897610"/>
            <w:bookmarkStart w:id="262" w:name="_Toc37795470"/>
            <w:bookmarkEnd w:id="257"/>
            <w:r>
              <w:rPr>
                <w:color w:val="FFFFFF" w:themeColor="background1"/>
                <w:sz w:val="18"/>
              </w:rPr>
              <w:t xml:space="preserve">PM 37: </w:t>
            </w:r>
            <w:bookmarkEnd w:id="258"/>
            <w:r>
              <w:rPr>
                <w:color w:val="FFFFFF" w:themeColor="background1"/>
                <w:sz w:val="18"/>
              </w:rPr>
              <w:t>Rritja e përdorimit të teknologjive efiçiente në sektorin rezidencial</w:t>
            </w:r>
            <w:bookmarkEnd w:id="259"/>
            <w:bookmarkEnd w:id="260"/>
            <w:bookmarkEnd w:id="261"/>
          </w:p>
        </w:tc>
      </w:tr>
      <w:tr w:rsidR="005C57AD" w:rsidRPr="004A64EF" w14:paraId="14A3A79F" w14:textId="77777777" w:rsidTr="7A23F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5876A317" w14:textId="77777777" w:rsidR="005C57AD" w:rsidRPr="004A64EF" w:rsidRDefault="005C57AD">
            <w:pPr>
              <w:spacing w:before="20" w:after="20"/>
              <w:jc w:val="left"/>
              <w:rPr>
                <w:rFonts w:asciiTheme="majorHAnsi" w:hAnsiTheme="majorHAnsi" w:cstheme="majorHAnsi"/>
                <w:b w:val="0"/>
                <w:color w:val="FFFFFF" w:themeColor="background1"/>
                <w:sz w:val="18"/>
                <w:szCs w:val="18"/>
              </w:rPr>
            </w:pPr>
            <w:r>
              <w:rPr>
                <w:rFonts w:asciiTheme="majorHAnsi" w:hAnsiTheme="majorHAnsi"/>
                <w:color w:val="FFFFFF" w:themeColor="background1"/>
                <w:sz w:val="18"/>
              </w:rPr>
              <w:t>Përshkrimi i shkurtër dhe objektivi:</w:t>
            </w:r>
            <w:r>
              <w:rPr>
                <w:rFonts w:asciiTheme="majorHAnsi" w:hAnsiTheme="majorHAnsi"/>
                <w:b w:val="0"/>
                <w:color w:val="FFFFFF" w:themeColor="background1"/>
                <w:sz w:val="18"/>
              </w:rPr>
              <w:t xml:space="preserve"> Teknologjitë të ngrohjes më efiçiente do të kontribuojnë në kursimin e energjisë, zvogëlimin e ndotjes së ajrit të jashtëm dhe të brendshëm, rritjen e pjesëmarrjeve të BER-ve dhe komoditet më të mirë të jetesës.</w:t>
            </w:r>
          </w:p>
          <w:p w14:paraId="5A5BA031" w14:textId="77777777" w:rsidR="005C57AD" w:rsidRPr="004A64EF" w:rsidRDefault="005C57AD">
            <w:pPr>
              <w:spacing w:before="20" w:after="20"/>
              <w:jc w:val="left"/>
              <w:rPr>
                <w:rFonts w:asciiTheme="majorHAnsi" w:hAnsiTheme="majorHAnsi" w:cstheme="majorHAnsi"/>
                <w:b w:val="0"/>
                <w:color w:val="FFFFFF" w:themeColor="background1"/>
                <w:sz w:val="18"/>
                <w:szCs w:val="18"/>
              </w:rPr>
            </w:pPr>
            <w:r>
              <w:rPr>
                <w:rFonts w:asciiTheme="majorHAnsi" w:hAnsiTheme="majorHAnsi"/>
                <w:b w:val="0"/>
                <w:color w:val="FFFFFF" w:themeColor="background1"/>
                <w:sz w:val="18"/>
              </w:rPr>
              <w:t>Në vitin 2022, ME ka realizuar dy thirrje për subvencionimin e pajisjeve efiçiente të ngrohjes për qytetarët, në vlerë prej 6 milionë euro. Pajisjet që janë subvencionuar përfshijnë:</w:t>
            </w:r>
          </w:p>
          <w:p w14:paraId="081D54CA" w14:textId="77777777" w:rsidR="005C57AD" w:rsidRPr="004A64EF" w:rsidRDefault="005C57AD" w:rsidP="00AF7BBF">
            <w:pPr>
              <w:pStyle w:val="ListParagraph"/>
              <w:numPr>
                <w:ilvl w:val="0"/>
                <w:numId w:val="62"/>
              </w:numPr>
              <w:spacing w:before="20" w:after="20"/>
              <w:ind w:left="567"/>
              <w:jc w:val="left"/>
              <w:rPr>
                <w:rFonts w:asciiTheme="majorHAnsi" w:hAnsiTheme="majorHAnsi" w:cstheme="majorHAnsi"/>
                <w:b w:val="0"/>
                <w:color w:val="FFFFFF" w:themeColor="background1"/>
                <w:sz w:val="18"/>
                <w:szCs w:val="18"/>
              </w:rPr>
            </w:pPr>
            <w:r>
              <w:rPr>
                <w:rFonts w:asciiTheme="majorHAnsi" w:hAnsiTheme="majorHAnsi"/>
                <w:b w:val="0"/>
                <w:color w:val="FFFFFF" w:themeColor="background1"/>
                <w:sz w:val="18"/>
              </w:rPr>
              <w:t>Për stufat me dru, pelet dhe briket, mbështetja është deri në 70% të vlerës së investimit ose deri në 1200 euro.</w:t>
            </w:r>
          </w:p>
          <w:p w14:paraId="684A8CD1" w14:textId="77777777" w:rsidR="005C57AD" w:rsidRPr="004A64EF" w:rsidRDefault="005C57AD" w:rsidP="00AF7BBF">
            <w:pPr>
              <w:pStyle w:val="ListParagraph"/>
              <w:numPr>
                <w:ilvl w:val="0"/>
                <w:numId w:val="62"/>
              </w:numPr>
              <w:spacing w:before="20" w:after="20"/>
              <w:ind w:left="567"/>
              <w:jc w:val="left"/>
              <w:rPr>
                <w:rFonts w:asciiTheme="majorHAnsi" w:hAnsiTheme="majorHAnsi" w:cstheme="majorHAnsi"/>
                <w:b w:val="0"/>
                <w:color w:val="FFFFFF" w:themeColor="background1"/>
                <w:sz w:val="18"/>
                <w:szCs w:val="18"/>
              </w:rPr>
            </w:pPr>
            <w:r>
              <w:rPr>
                <w:rFonts w:asciiTheme="majorHAnsi" w:hAnsiTheme="majorHAnsi"/>
                <w:b w:val="0"/>
                <w:color w:val="FFFFFF" w:themeColor="background1"/>
                <w:sz w:val="18"/>
              </w:rPr>
              <w:t xml:space="preserve">Për pompat termike, mbështetja është deri në 30 përqind ose deri në 2500 euro, </w:t>
            </w:r>
          </w:p>
          <w:p w14:paraId="0F091A0D" w14:textId="77777777" w:rsidR="005C57AD" w:rsidRPr="004A64EF" w:rsidRDefault="005C57AD" w:rsidP="00AF7BBF">
            <w:pPr>
              <w:pStyle w:val="ListParagraph"/>
              <w:numPr>
                <w:ilvl w:val="0"/>
                <w:numId w:val="62"/>
              </w:numPr>
              <w:spacing w:before="20" w:after="20"/>
              <w:ind w:left="567"/>
              <w:jc w:val="left"/>
              <w:rPr>
                <w:rFonts w:asciiTheme="majorHAnsi" w:hAnsiTheme="majorHAnsi" w:cstheme="majorHAnsi"/>
                <w:b w:val="0"/>
                <w:color w:val="FFFFFF" w:themeColor="background1"/>
                <w:sz w:val="18"/>
                <w:szCs w:val="18"/>
              </w:rPr>
            </w:pPr>
            <w:r>
              <w:rPr>
                <w:rFonts w:asciiTheme="majorHAnsi" w:hAnsiTheme="majorHAnsi"/>
                <w:b w:val="0"/>
                <w:color w:val="FFFFFF" w:themeColor="background1"/>
                <w:sz w:val="18"/>
              </w:rPr>
              <w:t xml:space="preserve">Për kondicionerë efiçientë, subvencionohet 40 përqind e vlerës ose deri në 400 euro dhe </w:t>
            </w:r>
          </w:p>
          <w:p w14:paraId="6B391C51" w14:textId="77777777" w:rsidR="005C57AD" w:rsidRPr="004A64EF" w:rsidRDefault="005C57AD" w:rsidP="00AF7BBF">
            <w:pPr>
              <w:pStyle w:val="ListParagraph"/>
              <w:numPr>
                <w:ilvl w:val="0"/>
                <w:numId w:val="62"/>
              </w:numPr>
              <w:spacing w:before="20" w:after="20"/>
              <w:ind w:left="567"/>
              <w:jc w:val="left"/>
              <w:rPr>
                <w:rFonts w:asciiTheme="majorHAnsi" w:hAnsiTheme="majorHAnsi" w:cstheme="majorHAnsi"/>
                <w:b w:val="0"/>
                <w:color w:val="FFFFFF" w:themeColor="background1"/>
                <w:sz w:val="18"/>
                <w:szCs w:val="18"/>
              </w:rPr>
            </w:pPr>
            <w:r>
              <w:rPr>
                <w:rFonts w:asciiTheme="majorHAnsi" w:hAnsiTheme="majorHAnsi"/>
                <w:b w:val="0"/>
                <w:color w:val="FFFFFF" w:themeColor="background1"/>
                <w:sz w:val="18"/>
              </w:rPr>
              <w:t>Për stufa individuale efiçiente me biomasë subvencionohen 90 për qind ose 560 euro (për familjet në skemat sociale) dhe 70 për qind ose 435 euro për të tjerët.</w:t>
            </w:r>
          </w:p>
          <w:p w14:paraId="1F6FD2E0" w14:textId="77777777" w:rsidR="002C5AF9" w:rsidRPr="004A64EF" w:rsidRDefault="002C5AF9" w:rsidP="002C5AF9">
            <w:pPr>
              <w:spacing w:before="20" w:after="20"/>
              <w:jc w:val="left"/>
              <w:rPr>
                <w:rFonts w:asciiTheme="majorHAnsi" w:hAnsiTheme="majorHAnsi" w:cstheme="majorHAnsi"/>
                <w:bCs w:val="0"/>
                <w:color w:val="FFFFFF" w:themeColor="background1"/>
                <w:sz w:val="18"/>
                <w:szCs w:val="18"/>
              </w:rPr>
            </w:pPr>
          </w:p>
          <w:p w14:paraId="3A0F5414" w14:textId="623B402A" w:rsidR="00E952DF" w:rsidRPr="004A64EF" w:rsidRDefault="00095155" w:rsidP="00E952DF">
            <w:pPr>
              <w:spacing w:before="20" w:after="20"/>
              <w:jc w:val="left"/>
              <w:rPr>
                <w:rFonts w:asciiTheme="majorHAnsi" w:hAnsiTheme="majorHAnsi" w:cstheme="majorHAnsi"/>
                <w:b w:val="0"/>
                <w:bCs w:val="0"/>
                <w:color w:val="FFFFFF" w:themeColor="background1"/>
                <w:sz w:val="18"/>
                <w:szCs w:val="18"/>
              </w:rPr>
            </w:pPr>
            <w:r>
              <w:rPr>
                <w:rFonts w:asciiTheme="majorHAnsi" w:hAnsiTheme="majorHAnsi"/>
                <w:b w:val="0"/>
                <w:color w:val="FFFFFF" w:themeColor="background1"/>
                <w:sz w:val="18"/>
              </w:rPr>
              <w:t xml:space="preserve">Sipas Paketës për Mbështetje të Energjinë - Planit të Veprimit, Objekti I, Ministria e Ekonomisë është përgjegjëse për zbatimin e Masës 4, e cila ka si qëllim efiçiencën e energjisë  në sektorin rezidencial përmes teknologjive të ndryshme të subvencionuara, duke përfshirë pajisje efiçiente për ngrohjeje, ku mbështeten pompat e ngrohjes, pompat e ngrohjes ajër-ajër (tipi inverter), stufat me biomasë të përshtatshme me mjedisin dhe kaldaja me biomasë (komponentët e tjerë të Masës 4 përfshijnë pajisjet efiçiente shtëpiake, sistemet diellore për ngrohjen e ujit (që kontribuojnë në PM 26) dhe sistemet solare fotovoltaike për prodhimin e energjisë elektrike (që kontribuojnë në PM 11/PM 18). Të gjitha nënmasat përveç atyre për energjinë solare fotovoltaike u lansuan në vitin 2023 ku thirrjet për aplikime janë mbyllur. Gjatë vitit 2024 janë hapur thirrje shtesë. Buxheti total i ndarë për masën 4 është </w:t>
            </w:r>
            <w:r>
              <w:rPr>
                <w:rFonts w:asciiTheme="majorHAnsi" w:hAnsiTheme="majorHAnsi"/>
                <w:color w:val="FFFFFF" w:themeColor="background1"/>
                <w:sz w:val="18"/>
              </w:rPr>
              <w:t>10 milionë euro.</w:t>
            </w:r>
          </w:p>
          <w:p w14:paraId="4D45954A" w14:textId="77777777" w:rsidR="00E952DF" w:rsidRPr="004A64EF" w:rsidRDefault="00E952DF" w:rsidP="00E952DF">
            <w:pPr>
              <w:spacing w:before="20" w:after="20"/>
              <w:jc w:val="left"/>
              <w:rPr>
                <w:rFonts w:asciiTheme="majorHAnsi" w:hAnsiTheme="majorHAnsi" w:cstheme="majorHAnsi"/>
                <w:b w:val="0"/>
                <w:bCs w:val="0"/>
                <w:color w:val="FFFFFF" w:themeColor="background1"/>
                <w:sz w:val="18"/>
                <w:szCs w:val="18"/>
              </w:rPr>
            </w:pPr>
            <w:r>
              <w:rPr>
                <w:rFonts w:asciiTheme="majorHAnsi" w:hAnsiTheme="majorHAnsi"/>
                <w:color w:val="FFFFFF" w:themeColor="background1"/>
                <w:sz w:val="18"/>
              </w:rPr>
              <w:t>Thirrjet për aplikime menaxhohen përmes platformës shtetërore e-Kosova dhe mbikëqyren nga komisionet e dedikuara përgjegjëse për vlerësim dhe shqyrtim.</w:t>
            </w:r>
          </w:p>
          <w:p w14:paraId="12B65667" w14:textId="79195A41" w:rsidR="00095155" w:rsidRDefault="00095155" w:rsidP="005A3EFB">
            <w:pPr>
              <w:spacing w:before="20" w:after="20"/>
              <w:jc w:val="left"/>
              <w:rPr>
                <w:rFonts w:asciiTheme="majorHAnsi" w:hAnsiTheme="majorHAnsi" w:cstheme="majorHAnsi"/>
                <w:color w:val="FFFFFF" w:themeColor="background1"/>
                <w:sz w:val="18"/>
                <w:szCs w:val="18"/>
              </w:rPr>
            </w:pPr>
            <w:r>
              <w:rPr>
                <w:rFonts w:asciiTheme="majorHAnsi" w:hAnsiTheme="majorHAnsi"/>
                <w:b w:val="0"/>
                <w:color w:val="FFFFFF" w:themeColor="background1"/>
                <w:sz w:val="18"/>
              </w:rPr>
              <w:lastRenderedPageBreak/>
              <w:t>Subvencione të veçanta u ofrohen prindërve vetë-ushqyes dhe personave në skemat e ndihmës sociale bazuar në nivelet e konsumit të energjisë elektrike.</w:t>
            </w:r>
          </w:p>
          <w:p w14:paraId="0C36B633" w14:textId="77777777" w:rsidR="00FF705C" w:rsidRPr="004A64EF" w:rsidRDefault="00FF705C" w:rsidP="005A3EFB">
            <w:pPr>
              <w:spacing w:before="20" w:after="20"/>
              <w:jc w:val="left"/>
              <w:rPr>
                <w:rFonts w:asciiTheme="majorHAnsi" w:hAnsiTheme="majorHAnsi" w:cstheme="majorHAnsi"/>
                <w:b w:val="0"/>
                <w:bCs w:val="0"/>
                <w:color w:val="FFFFFF" w:themeColor="background1"/>
                <w:sz w:val="18"/>
                <w:szCs w:val="18"/>
              </w:rPr>
            </w:pPr>
          </w:p>
          <w:p w14:paraId="4E86B99D" w14:textId="0D43F3F2" w:rsidR="00095155" w:rsidRPr="004A64EF" w:rsidRDefault="00C54C6E" w:rsidP="00095155">
            <w:pPr>
              <w:spacing w:before="20" w:after="20"/>
              <w:jc w:val="left"/>
              <w:rPr>
                <w:rFonts w:asciiTheme="majorHAnsi" w:hAnsiTheme="majorHAnsi" w:cstheme="majorBidi"/>
                <w:color w:val="FFFFFF" w:themeColor="background1"/>
                <w:sz w:val="18"/>
                <w:szCs w:val="18"/>
              </w:rPr>
            </w:pPr>
            <w:r>
              <w:rPr>
                <w:rFonts w:asciiTheme="majorHAnsi" w:hAnsiTheme="majorHAnsi"/>
                <w:b w:val="0"/>
                <w:color w:val="FFFFFF" w:themeColor="background1"/>
                <w:sz w:val="18"/>
              </w:rPr>
              <w:t>Për më tepër, një analizë ex-post e politikave dhe masave të tilla do të kontribuojë në vlerësimin e efektivitetit të subvencionimit të pajisjeve shtëpiake dhe do të eksplorojë dinamika gjinore ndërvepruese në përdorimin dhe funksionimin e teknologjive, duke ndihmuar në përmirësimin e zbatimit të politikave që synojnë familjet.</w:t>
            </w:r>
          </w:p>
          <w:p w14:paraId="4E995A33" w14:textId="77777777" w:rsidR="00695F2B" w:rsidRPr="004A64EF" w:rsidRDefault="00695F2B" w:rsidP="00095155">
            <w:pPr>
              <w:spacing w:before="20" w:after="20"/>
              <w:jc w:val="left"/>
              <w:rPr>
                <w:rFonts w:asciiTheme="majorHAnsi" w:hAnsiTheme="majorHAnsi" w:cstheme="majorHAnsi"/>
                <w:b w:val="0"/>
                <w:bCs w:val="0"/>
                <w:color w:val="FFFFFF" w:themeColor="background1"/>
                <w:sz w:val="18"/>
                <w:szCs w:val="18"/>
              </w:rPr>
            </w:pPr>
          </w:p>
          <w:p w14:paraId="6F4AD160" w14:textId="06F84104" w:rsidR="00913758" w:rsidRPr="004A64EF" w:rsidRDefault="002C5AF9" w:rsidP="001A65E6">
            <w:pPr>
              <w:spacing w:before="20" w:after="20"/>
              <w:jc w:val="left"/>
              <w:rPr>
                <w:rFonts w:asciiTheme="majorHAnsi" w:hAnsiTheme="majorHAnsi" w:cstheme="majorBidi"/>
                <w:b w:val="0"/>
                <w:bCs w:val="0"/>
                <w:color w:val="FFFFFF" w:themeColor="background1"/>
                <w:sz w:val="18"/>
                <w:szCs w:val="18"/>
              </w:rPr>
            </w:pPr>
            <w:r>
              <w:rPr>
                <w:rFonts w:asciiTheme="majorHAnsi" w:hAnsiTheme="majorHAnsi"/>
                <w:b w:val="0"/>
                <w:color w:val="FFFFFF" w:themeColor="background1"/>
                <w:sz w:val="18"/>
              </w:rPr>
              <w:t>Për të arritur caqet e efiçiencës së energjisë, vazhdimi i promovimit të teknologjive efiçiente të ngrohjes nga ana e kërkesës është thelbësor. Kështu, në skenarin WAM, subvencionet financiare vazhdohen deri në vitin 2030 për të rritur pjesëmarrjen e teknologjive efiçiente në sektorin rezidencial. Kjo masë mundëson zëvendësimin e stufave joefiçiente me biomasë (me efiçiencë rreth 50%) dhe ngrohëseve individualë elektrikë me teknologji më efiçiente siç janë pompat e nxehtësisë (me efiçiencë ~250%) ose stufat efiçiente me biomasë (me efiçiencë ~85%).</w:t>
            </w:r>
          </w:p>
          <w:p w14:paraId="6AB3F3FA" w14:textId="3EB96790" w:rsidR="001A65E6" w:rsidRPr="004A64EF" w:rsidRDefault="001A65E6" w:rsidP="5F25BFDF">
            <w:pPr>
              <w:spacing w:before="20" w:after="20" w:line="276" w:lineRule="auto"/>
              <w:jc w:val="left"/>
              <w:rPr>
                <w:rFonts w:asciiTheme="majorHAnsi" w:hAnsiTheme="majorHAnsi" w:cstheme="majorBidi"/>
                <w:b w:val="0"/>
                <w:color w:val="FFFFFF" w:themeColor="background1"/>
                <w:sz w:val="18"/>
                <w:szCs w:val="18"/>
              </w:rPr>
            </w:pPr>
          </w:p>
        </w:tc>
      </w:tr>
      <w:tr w:rsidR="005C57AD" w:rsidRPr="004A64EF" w14:paraId="36A4F517" w14:textId="77777777" w:rsidTr="7A23FCD7">
        <w:tc>
          <w:tcPr>
            <w:cnfStyle w:val="001000000000" w:firstRow="0" w:lastRow="0" w:firstColumn="1" w:lastColumn="0" w:oddVBand="0" w:evenVBand="0" w:oddHBand="0" w:evenHBand="0" w:firstRowFirstColumn="0" w:firstRowLastColumn="0" w:lastRowFirstColumn="0" w:lastRowLastColumn="0"/>
            <w:tcW w:w="2425" w:type="dxa"/>
            <w:vAlign w:val="center"/>
          </w:tcPr>
          <w:p w14:paraId="65624485" w14:textId="77777777" w:rsidR="005C57AD" w:rsidRPr="004A64EF" w:rsidRDefault="005C57AD">
            <w:pPr>
              <w:spacing w:before="20" w:after="20"/>
              <w:jc w:val="left"/>
              <w:rPr>
                <w:color w:val="FFFFFF" w:themeColor="background1"/>
                <w:sz w:val="18"/>
                <w:szCs w:val="18"/>
              </w:rPr>
            </w:pPr>
            <w:r>
              <w:rPr>
                <w:color w:val="FFFFFF" w:themeColor="background1"/>
                <w:sz w:val="18"/>
              </w:rPr>
              <w:lastRenderedPageBreak/>
              <w:t>Sektori/lloji</w:t>
            </w:r>
          </w:p>
        </w:tc>
        <w:tc>
          <w:tcPr>
            <w:tcW w:w="7139" w:type="dxa"/>
            <w:vAlign w:val="center"/>
          </w:tcPr>
          <w:p w14:paraId="05EB8048" w14:textId="77777777"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Energjetik/teknik</w:t>
            </w:r>
          </w:p>
        </w:tc>
      </w:tr>
      <w:tr w:rsidR="005C57AD" w:rsidRPr="004A64EF" w14:paraId="7A1708B8" w14:textId="77777777" w:rsidTr="7A23F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715B5044" w14:textId="77777777" w:rsidR="005C57AD" w:rsidRPr="004A64EF" w:rsidRDefault="005C57AD">
            <w:pPr>
              <w:spacing w:before="20" w:after="20"/>
              <w:jc w:val="left"/>
              <w:rPr>
                <w:color w:val="FFFFFF" w:themeColor="background1"/>
                <w:sz w:val="18"/>
                <w:szCs w:val="18"/>
              </w:rPr>
            </w:pPr>
            <w:r>
              <w:rPr>
                <w:color w:val="FFFFFF" w:themeColor="background1"/>
                <w:sz w:val="18"/>
              </w:rPr>
              <w:t>Statusi i implementimit</w:t>
            </w:r>
          </w:p>
        </w:tc>
        <w:tc>
          <w:tcPr>
            <w:tcW w:w="7139" w:type="dxa"/>
            <w:vAlign w:val="center"/>
          </w:tcPr>
          <w:p w14:paraId="2DDA3745" w14:textId="1ACC9FAF" w:rsidR="001A65E6" w:rsidRPr="004A64EF" w:rsidRDefault="001A65E6" w:rsidP="001A65E6">
            <w:pPr>
              <w:spacing w:before="20" w:after="2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Në zbatim/masat shtesë në shqyrtim</w:t>
            </w:r>
          </w:p>
          <w:p w14:paraId="57232388" w14:textId="27871055" w:rsidR="005C57AD" w:rsidRPr="004A64EF" w:rsidRDefault="001A65E6" w:rsidP="001A65E6">
            <w:pPr>
              <w:spacing w:before="20" w:after="2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Në kuadër të Pakos për Mbështetje të Energjisë—Planit të Veprimit, Objektivit I, Masa 4 ka pranuar 21,425 kërkesa, nga të cilat kanë përfituar 15,030 përfitues dhe janë disbursuar 6,809,630,74 €. Deri në fund të shkurtit të vitit 2024, kërkesat e mbetura pritet të procesohen, duke shpenzuar 2 milionë euro shtesë. Nënmasa d) për sistemet solare PV do të lansohet zyrtarisht në shkurt të vitit 2024 me një alokim buxhetor prej 1 milion €, duke synuar përdorimin e buxhetit prej 10 milion € të alokuar për EE në sektorin rezidencial deri në TM4 - 2024.</w:t>
            </w:r>
          </w:p>
        </w:tc>
      </w:tr>
      <w:tr w:rsidR="005C57AD" w:rsidRPr="004A64EF" w14:paraId="2141EB67" w14:textId="77777777" w:rsidTr="7A23FCD7">
        <w:tc>
          <w:tcPr>
            <w:cnfStyle w:val="001000000000" w:firstRow="0" w:lastRow="0" w:firstColumn="1" w:lastColumn="0" w:oddVBand="0" w:evenVBand="0" w:oddHBand="0" w:evenHBand="0" w:firstRowFirstColumn="0" w:firstRowLastColumn="0" w:lastRowFirstColumn="0" w:lastRowLastColumn="0"/>
            <w:tcW w:w="2425" w:type="dxa"/>
            <w:vAlign w:val="center"/>
          </w:tcPr>
          <w:p w14:paraId="60B685C2" w14:textId="77777777" w:rsidR="005C57AD" w:rsidRPr="004A64EF" w:rsidRDefault="005C57AD">
            <w:pPr>
              <w:spacing w:before="20" w:after="20"/>
              <w:jc w:val="left"/>
              <w:rPr>
                <w:color w:val="FFFFFF" w:themeColor="background1"/>
                <w:sz w:val="18"/>
                <w:szCs w:val="18"/>
              </w:rPr>
            </w:pPr>
            <w:r>
              <w:rPr>
                <w:color w:val="FFFFFF" w:themeColor="background1"/>
                <w:sz w:val="18"/>
              </w:rPr>
              <w:t>Efektet kuantitative</w:t>
            </w:r>
          </w:p>
        </w:tc>
        <w:tc>
          <w:tcPr>
            <w:tcW w:w="7139" w:type="dxa"/>
            <w:vAlign w:val="center"/>
          </w:tcPr>
          <w:p w14:paraId="55365AB0" w14:textId="40BFC7F7"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 xml:space="preserve">~ Kursimet kumulative të energjisë deri në vitin 2030: </w:t>
            </w:r>
            <w:r>
              <w:rPr>
                <w:sz w:val="18"/>
              </w:rPr>
              <w:t>85 ktoe (WAM)</w:t>
            </w:r>
            <w:r>
              <w:rPr>
                <w:sz w:val="18"/>
              </w:rPr>
              <w:br/>
              <w:t>Burimi: vlerësimet e ekspertëve</w:t>
            </w:r>
          </w:p>
        </w:tc>
      </w:tr>
      <w:tr w:rsidR="005C57AD" w:rsidRPr="004A64EF" w14:paraId="1531BD7A" w14:textId="77777777" w:rsidTr="7A23F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78F0A39C" w14:textId="77777777" w:rsidR="005C57AD" w:rsidRPr="004A64EF" w:rsidRDefault="005C57AD">
            <w:pPr>
              <w:spacing w:before="20" w:after="20"/>
              <w:jc w:val="left"/>
              <w:rPr>
                <w:color w:val="FFFFFF" w:themeColor="background1"/>
                <w:sz w:val="18"/>
                <w:szCs w:val="18"/>
              </w:rPr>
            </w:pPr>
            <w:r>
              <w:rPr>
                <w:color w:val="FFFFFF" w:themeColor="background1"/>
                <w:sz w:val="18"/>
              </w:rPr>
              <w:t>Investimet</w:t>
            </w:r>
          </w:p>
        </w:tc>
        <w:tc>
          <w:tcPr>
            <w:tcW w:w="7139" w:type="dxa"/>
            <w:vAlign w:val="center"/>
          </w:tcPr>
          <w:p w14:paraId="42C185AB" w14:textId="7B459F92" w:rsidR="005C57AD" w:rsidRPr="004A64EF" w:rsidRDefault="00A40B72">
            <w:pPr>
              <w:spacing w:before="20" w:after="2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b/>
                <w:sz w:val="18"/>
              </w:rPr>
              <w:t>Pompat e nxehtësisë:</w:t>
            </w:r>
            <w:r>
              <w:rPr>
                <w:rFonts w:asciiTheme="majorHAnsi" w:hAnsiTheme="majorHAnsi"/>
                <w:sz w:val="18"/>
              </w:rPr>
              <w:t xml:space="preserve"> </w:t>
            </w:r>
            <w:r>
              <w:rPr>
                <w:rFonts w:asciiTheme="majorHAnsi" w:hAnsiTheme="majorHAnsi"/>
                <w:color w:val="000000"/>
                <w:sz w:val="18"/>
              </w:rPr>
              <w:t>5,65 milionë euro në vit (2024-2030</w:t>
            </w:r>
            <w:r w:rsidR="00C16C0A" w:rsidRPr="004A64EF">
              <w:rPr>
                <w:rStyle w:val="FootnoteReference"/>
                <w:rFonts w:cstheme="majorHAnsi"/>
                <w:color w:val="000000"/>
                <w:sz w:val="18"/>
                <w:szCs w:val="18"/>
              </w:rPr>
              <w:footnoteReference w:id="17"/>
            </w:r>
            <w:r>
              <w:rPr>
                <w:rFonts w:asciiTheme="majorHAnsi" w:hAnsiTheme="majorHAnsi"/>
                <w:color w:val="000000"/>
                <w:sz w:val="18"/>
              </w:rPr>
              <w:t>)</w:t>
            </w:r>
            <w:r>
              <w:rPr>
                <w:rFonts w:asciiTheme="majorHAnsi" w:hAnsiTheme="majorHAnsi"/>
                <w:color w:val="000000"/>
                <w:sz w:val="18"/>
              </w:rPr>
              <w:br/>
            </w:r>
            <w:r>
              <w:rPr>
                <w:rFonts w:asciiTheme="majorHAnsi" w:hAnsiTheme="majorHAnsi"/>
                <w:b/>
                <w:sz w:val="18"/>
              </w:rPr>
              <w:t>Stufat më efiçiente me biomasë:</w:t>
            </w:r>
            <w:r>
              <w:rPr>
                <w:rFonts w:asciiTheme="majorHAnsi" w:hAnsiTheme="majorHAnsi"/>
                <w:sz w:val="18"/>
              </w:rPr>
              <w:t xml:space="preserve"> </w:t>
            </w:r>
            <w:r>
              <w:rPr>
                <w:color w:val="000000"/>
                <w:sz w:val="18"/>
              </w:rPr>
              <w:t>1.00 milionë euro në vit (2024-2030) (përfshin investimet publike dhe private)</w:t>
            </w:r>
            <w:r>
              <w:rPr>
                <w:color w:val="000000"/>
                <w:sz w:val="18"/>
              </w:rPr>
              <w:br/>
            </w:r>
            <w:r>
              <w:rPr>
                <w:sz w:val="18"/>
              </w:rPr>
              <w:t>Burimi: vlerësimet e ekspertëve</w:t>
            </w:r>
          </w:p>
        </w:tc>
      </w:tr>
      <w:tr w:rsidR="005C57AD" w:rsidRPr="004A64EF" w14:paraId="25CFFDE9" w14:textId="77777777" w:rsidTr="7A23FCD7">
        <w:tc>
          <w:tcPr>
            <w:cnfStyle w:val="001000000000" w:firstRow="0" w:lastRow="0" w:firstColumn="1" w:lastColumn="0" w:oddVBand="0" w:evenVBand="0" w:oddHBand="0" w:evenHBand="0" w:firstRowFirstColumn="0" w:firstRowLastColumn="0" w:lastRowFirstColumn="0" w:lastRowLastColumn="0"/>
            <w:tcW w:w="2425" w:type="dxa"/>
            <w:vAlign w:val="center"/>
          </w:tcPr>
          <w:p w14:paraId="303EA852" w14:textId="77777777" w:rsidR="005C57AD" w:rsidRPr="004A64EF" w:rsidRDefault="005C57AD">
            <w:pPr>
              <w:spacing w:before="20" w:after="20"/>
              <w:jc w:val="left"/>
              <w:rPr>
                <w:color w:val="FFFFFF" w:themeColor="background1"/>
                <w:sz w:val="18"/>
                <w:szCs w:val="18"/>
              </w:rPr>
            </w:pPr>
            <w:r>
              <w:rPr>
                <w:color w:val="FFFFFF" w:themeColor="background1"/>
                <w:sz w:val="18"/>
              </w:rPr>
              <w:t>Institucioni përgjegjës</w:t>
            </w:r>
          </w:p>
        </w:tc>
        <w:tc>
          <w:tcPr>
            <w:tcW w:w="7139" w:type="dxa"/>
            <w:vAlign w:val="center"/>
          </w:tcPr>
          <w:p w14:paraId="6ECC11B3" w14:textId="13FDCA8E"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 xml:space="preserve">ME, komunat </w:t>
            </w:r>
          </w:p>
        </w:tc>
      </w:tr>
      <w:tr w:rsidR="005C57AD" w:rsidRPr="004A64EF" w14:paraId="21CE9E78" w14:textId="77777777" w:rsidTr="7A23FCD7">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374C8D1E" w14:textId="77777777" w:rsidR="005C57AD" w:rsidRPr="004A64EF" w:rsidRDefault="005C57AD">
            <w:pPr>
              <w:spacing w:before="20" w:after="20"/>
              <w:jc w:val="left"/>
              <w:rPr>
                <w:color w:val="FFFFFF" w:themeColor="background1"/>
                <w:sz w:val="18"/>
                <w:szCs w:val="18"/>
              </w:rPr>
            </w:pPr>
            <w:r>
              <w:rPr>
                <w:color w:val="FFFFFF" w:themeColor="background1"/>
                <w:sz w:val="18"/>
              </w:rPr>
              <w:t>Treguesit e progresit</w:t>
            </w:r>
          </w:p>
        </w:tc>
        <w:tc>
          <w:tcPr>
            <w:tcW w:w="7139" w:type="dxa"/>
            <w:vAlign w:val="center"/>
          </w:tcPr>
          <w:p w14:paraId="0ECE7797" w14:textId="686E3315"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Numri i konsumatorëve të lidhur me sistemet e reja efiçiente të ngrohjes</w:t>
            </w:r>
          </w:p>
        </w:tc>
      </w:tr>
      <w:tr w:rsidR="005C57AD" w:rsidRPr="00976D33" w14:paraId="1876B939" w14:textId="77777777" w:rsidTr="7A23FCD7">
        <w:tc>
          <w:tcPr>
            <w:cnfStyle w:val="001000000000" w:firstRow="0" w:lastRow="0" w:firstColumn="1" w:lastColumn="0" w:oddVBand="0" w:evenVBand="0" w:oddHBand="0" w:evenHBand="0" w:firstRowFirstColumn="0" w:firstRowLastColumn="0" w:lastRowFirstColumn="0" w:lastRowLastColumn="0"/>
            <w:tcW w:w="2425" w:type="dxa"/>
          </w:tcPr>
          <w:p w14:paraId="0EA2276E" w14:textId="0CF54BBD" w:rsidR="005C57AD" w:rsidRPr="004A64EF" w:rsidRDefault="005C57AD">
            <w:pPr>
              <w:spacing w:before="20" w:after="20"/>
              <w:jc w:val="left"/>
              <w:rPr>
                <w:color w:val="FFFFFF" w:themeColor="background1"/>
                <w:sz w:val="18"/>
                <w:szCs w:val="18"/>
              </w:rPr>
            </w:pPr>
            <w:r>
              <w:rPr>
                <w:color w:val="FFFFFF" w:themeColor="background1"/>
                <w:sz w:val="18"/>
              </w:rPr>
              <w:t xml:space="preserve">Lidhja me dimensionet </w:t>
            </w:r>
            <w:r w:rsidR="0037748E">
              <w:rPr>
                <w:color w:val="FFFFFF" w:themeColor="background1"/>
                <w:sz w:val="18"/>
              </w:rPr>
              <w:t xml:space="preserve">e </w:t>
            </w:r>
            <w:r>
              <w:rPr>
                <w:color w:val="FFFFFF" w:themeColor="background1"/>
                <w:sz w:val="18"/>
              </w:rPr>
              <w:t>tjera</w:t>
            </w:r>
          </w:p>
        </w:tc>
        <w:tc>
          <w:tcPr>
            <w:tcW w:w="7139" w:type="dxa"/>
          </w:tcPr>
          <w:p w14:paraId="7DCF6586" w14:textId="77777777" w:rsidR="005C57AD" w:rsidRPr="00976D33"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Dekarbonizimi, siguria energjetike, hulumtimi, inovacioni dhe konkurrueshmëria </w:t>
            </w:r>
          </w:p>
        </w:tc>
      </w:tr>
    </w:tbl>
    <w:p w14:paraId="7C559D89" w14:textId="77777777" w:rsidR="005C57AD" w:rsidRDefault="005C57AD" w:rsidP="006E6E51">
      <w:pPr>
        <w:rPr>
          <w:rFonts w:ascii="Calibri" w:hAnsi="Calibri"/>
          <w:u w:val="single"/>
        </w:rPr>
      </w:pPr>
    </w:p>
    <w:tbl>
      <w:tblPr>
        <w:tblStyle w:val="GridTable5Dark-Accent1"/>
        <w:tblW w:w="0" w:type="auto"/>
        <w:tblLook w:val="04A0" w:firstRow="1" w:lastRow="0" w:firstColumn="1" w:lastColumn="0" w:noHBand="0" w:noVBand="1"/>
      </w:tblPr>
      <w:tblGrid>
        <w:gridCol w:w="2425"/>
        <w:gridCol w:w="7139"/>
      </w:tblGrid>
      <w:tr w:rsidR="005C57AD" w:rsidRPr="004A64EF" w14:paraId="66943D5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7B898A86" w14:textId="2CAA2616" w:rsidR="005C57AD" w:rsidRPr="004A64EF" w:rsidRDefault="005C57AD">
            <w:pPr>
              <w:spacing w:before="20" w:after="20"/>
              <w:jc w:val="left"/>
              <w:rPr>
                <w:color w:val="FFFFFF" w:themeColor="background1"/>
                <w:sz w:val="18"/>
                <w:szCs w:val="18"/>
              </w:rPr>
            </w:pPr>
            <w:bookmarkStart w:id="263" w:name="_Toc138210177"/>
            <w:bookmarkStart w:id="264" w:name="_Toc138998478"/>
            <w:r>
              <w:rPr>
                <w:color w:val="FFFFFF" w:themeColor="background1"/>
                <w:sz w:val="18"/>
              </w:rPr>
              <w:t>PM 38: Masat e efiçiencës së energjisë në industri</w:t>
            </w:r>
            <w:bookmarkEnd w:id="263"/>
            <w:bookmarkEnd w:id="264"/>
          </w:p>
        </w:tc>
      </w:tr>
      <w:tr w:rsidR="005C57AD" w:rsidRPr="004A64EF" w14:paraId="39B90EA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600182BA" w14:textId="77777777" w:rsidR="005C57AD" w:rsidRPr="004A64EF" w:rsidRDefault="005C57AD">
            <w:pPr>
              <w:spacing w:before="20" w:after="20"/>
              <w:jc w:val="left"/>
              <w:rPr>
                <w:b w:val="0"/>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Bazuar në rekomandimin e sistemit të menaxhimit të energjisë, mund të zbatohen shumë masa të ndryshme. Diçka e rëndësishme është se realizimi i këtyre masave është pa kosto. Ekonomia e Kosovës po rritet së bashku me industrinë, veçanërisht ndërmarrjet e vogla dhe të mesme (NVM), kështu që teknologjitë e reja mund të futen në përdorim që në fillim.</w:t>
            </w:r>
          </w:p>
          <w:p w14:paraId="3500F0CA" w14:textId="77777777" w:rsidR="005C57AD" w:rsidRPr="004A64EF" w:rsidRDefault="005C57AD">
            <w:pPr>
              <w:spacing w:before="20" w:after="20"/>
              <w:jc w:val="left"/>
              <w:rPr>
                <w:b w:val="0"/>
                <w:color w:val="FFFFFF" w:themeColor="background1"/>
                <w:sz w:val="18"/>
                <w:szCs w:val="18"/>
              </w:rPr>
            </w:pPr>
            <w:r>
              <w:rPr>
                <w:b w:val="0"/>
                <w:color w:val="FFFFFF" w:themeColor="background1"/>
                <w:sz w:val="18"/>
              </w:rPr>
              <w:t xml:space="preserve">Veprimet themelore për efiçiencë të energjisë në industri përfshijnë: </w:t>
            </w:r>
          </w:p>
          <w:p w14:paraId="00223959" w14:textId="77777777" w:rsidR="005C57AD" w:rsidRPr="004A64EF" w:rsidRDefault="005C57AD" w:rsidP="00AF7BBF">
            <w:pPr>
              <w:pStyle w:val="ListParagraph"/>
              <w:numPr>
                <w:ilvl w:val="0"/>
                <w:numId w:val="62"/>
              </w:numPr>
              <w:spacing w:before="20" w:after="20"/>
              <w:ind w:left="567"/>
              <w:jc w:val="left"/>
              <w:rPr>
                <w:rFonts w:asciiTheme="majorHAnsi" w:hAnsiTheme="majorHAnsi" w:cstheme="majorHAnsi"/>
                <w:b w:val="0"/>
                <w:color w:val="FFFFFF" w:themeColor="background1"/>
                <w:sz w:val="18"/>
                <w:szCs w:val="18"/>
              </w:rPr>
            </w:pPr>
            <w:r>
              <w:rPr>
                <w:rFonts w:asciiTheme="majorHAnsi" w:hAnsiTheme="majorHAnsi"/>
                <w:b w:val="0"/>
                <w:color w:val="FFFFFF" w:themeColor="background1"/>
                <w:sz w:val="18"/>
              </w:rPr>
              <w:t>Listën e ndërmarrjeve të mëdha që i nënshtrohen auditimit të detyrueshëm të energjisë që do të publikohet</w:t>
            </w:r>
          </w:p>
          <w:p w14:paraId="3BFEB525" w14:textId="77777777" w:rsidR="005C57AD" w:rsidRPr="004A64EF" w:rsidRDefault="005C57AD" w:rsidP="00AF7BBF">
            <w:pPr>
              <w:pStyle w:val="ListParagraph"/>
              <w:numPr>
                <w:ilvl w:val="0"/>
                <w:numId w:val="62"/>
              </w:numPr>
              <w:spacing w:before="20" w:after="20"/>
              <w:ind w:left="567"/>
              <w:jc w:val="left"/>
              <w:rPr>
                <w:rFonts w:asciiTheme="majorHAnsi" w:hAnsiTheme="majorHAnsi" w:cstheme="majorHAnsi"/>
                <w:b w:val="0"/>
                <w:color w:val="FFFFFF" w:themeColor="background1"/>
                <w:sz w:val="18"/>
                <w:szCs w:val="18"/>
              </w:rPr>
            </w:pPr>
            <w:r>
              <w:rPr>
                <w:rFonts w:asciiTheme="majorHAnsi" w:hAnsiTheme="majorHAnsi"/>
                <w:b w:val="0"/>
                <w:color w:val="FFFFFF" w:themeColor="background1"/>
                <w:sz w:val="18"/>
              </w:rPr>
              <w:t>Rregulloren për kriteret minimale për auditimet e energjisë, duke përfshirë ato të kryera si pjesë e sistemeve të menaxhimit të energjisë</w:t>
            </w:r>
          </w:p>
          <w:p w14:paraId="35780D8E" w14:textId="77777777" w:rsidR="005C57AD" w:rsidRPr="004A64EF" w:rsidRDefault="005C57AD" w:rsidP="00AF7BBF">
            <w:pPr>
              <w:pStyle w:val="ListParagraph"/>
              <w:numPr>
                <w:ilvl w:val="0"/>
                <w:numId w:val="62"/>
              </w:numPr>
              <w:spacing w:before="20" w:after="20"/>
              <w:ind w:left="567"/>
              <w:jc w:val="left"/>
              <w:rPr>
                <w:rFonts w:asciiTheme="majorHAnsi" w:hAnsiTheme="majorHAnsi" w:cstheme="majorHAnsi"/>
                <w:b w:val="0"/>
                <w:color w:val="FFFFFF" w:themeColor="background1"/>
                <w:sz w:val="18"/>
                <w:szCs w:val="18"/>
              </w:rPr>
            </w:pPr>
            <w:r>
              <w:rPr>
                <w:rFonts w:asciiTheme="majorHAnsi" w:hAnsiTheme="majorHAnsi"/>
                <w:b w:val="0"/>
                <w:color w:val="FFFFFF" w:themeColor="background1"/>
                <w:sz w:val="18"/>
              </w:rPr>
              <w:t>Programin për të informuar për përfitimet e menaxhimit të energjisë dhe për të inkurajuar NMV-të që t’i nënshtrohen auditimeve të energjisë</w:t>
            </w:r>
          </w:p>
          <w:p w14:paraId="59ACE2E4" w14:textId="77777777" w:rsidR="005C57AD" w:rsidRPr="004A64EF" w:rsidRDefault="005C57AD" w:rsidP="00AF7BBF">
            <w:pPr>
              <w:pStyle w:val="ListParagraph"/>
              <w:numPr>
                <w:ilvl w:val="0"/>
                <w:numId w:val="62"/>
              </w:numPr>
              <w:spacing w:before="20" w:after="20"/>
              <w:ind w:left="567"/>
              <w:jc w:val="left"/>
              <w:rPr>
                <w:rFonts w:asciiTheme="majorHAnsi" w:hAnsiTheme="majorHAnsi" w:cstheme="majorHAnsi"/>
                <w:b w:val="0"/>
                <w:color w:val="FFFFFF" w:themeColor="background1"/>
                <w:sz w:val="18"/>
                <w:szCs w:val="18"/>
              </w:rPr>
            </w:pPr>
            <w:r>
              <w:rPr>
                <w:rFonts w:asciiTheme="majorHAnsi" w:hAnsiTheme="majorHAnsi"/>
                <w:b w:val="0"/>
                <w:color w:val="FFFFFF" w:themeColor="background1"/>
                <w:sz w:val="18"/>
              </w:rPr>
              <w:t>Subvencionimi i NV-ve për blerjen e makinerive të përpunimit të prodhimit</w:t>
            </w:r>
          </w:p>
          <w:p w14:paraId="1A68EA4F" w14:textId="03E4F488" w:rsidR="001A65E6" w:rsidRPr="004A64EF" w:rsidRDefault="001A65E6" w:rsidP="001A65E6">
            <w:pPr>
              <w:spacing w:before="20" w:after="20"/>
              <w:jc w:val="left"/>
              <w:rPr>
                <w:b w:val="0"/>
                <w:bCs w:val="0"/>
                <w:color w:val="FFFFFF" w:themeColor="background1"/>
                <w:sz w:val="18"/>
                <w:szCs w:val="18"/>
              </w:rPr>
            </w:pPr>
            <w:r>
              <w:rPr>
                <w:b w:val="0"/>
                <w:color w:val="FFFFFF" w:themeColor="background1"/>
                <w:sz w:val="18"/>
              </w:rPr>
              <w:t>Sipas Pakos për Mbështetje të Energjisë - Planit të Veprimit, Objektivit I, Ministria e Ekonomisë është përgjegjëse për Masën 5, duke synuar ndërhyrjet për efiçiencën e energjisë për ndërmarrjet mikro, të vogla dhe të mesme (NMVM), duke mbuluar teknologjitë e mëposhtme:</w:t>
            </w:r>
          </w:p>
          <w:p w14:paraId="45F19B03" w14:textId="525B84C1" w:rsidR="001A65E6" w:rsidRPr="004A64EF" w:rsidRDefault="001A65E6" w:rsidP="001A65E6">
            <w:pPr>
              <w:spacing w:before="20" w:after="20"/>
              <w:jc w:val="left"/>
              <w:rPr>
                <w:b w:val="0"/>
                <w:bCs w:val="0"/>
                <w:color w:val="FFFFFF" w:themeColor="background1"/>
                <w:sz w:val="18"/>
                <w:szCs w:val="18"/>
              </w:rPr>
            </w:pPr>
            <w:r>
              <w:rPr>
                <w:b w:val="0"/>
                <w:color w:val="FFFFFF" w:themeColor="background1"/>
                <w:sz w:val="18"/>
              </w:rPr>
              <w:t>a) Pajisjet efiçiente të ngrohjes: Programi subvencionon pompat termike ajër-ajër me efiçiencë të lartë dhe pompat termike deri në 35 kW ngarkesë ngrohjeje.</w:t>
            </w:r>
          </w:p>
          <w:p w14:paraId="60D49269" w14:textId="2884B1EB" w:rsidR="001A65E6" w:rsidRPr="004A64EF" w:rsidRDefault="001A65E6" w:rsidP="001A65E6">
            <w:pPr>
              <w:spacing w:before="20" w:after="20"/>
              <w:jc w:val="left"/>
              <w:rPr>
                <w:b w:val="0"/>
                <w:bCs w:val="0"/>
                <w:color w:val="FFFFFF" w:themeColor="background1"/>
                <w:sz w:val="18"/>
                <w:szCs w:val="18"/>
              </w:rPr>
            </w:pPr>
            <w:r>
              <w:rPr>
                <w:b w:val="0"/>
                <w:color w:val="FFFFFF" w:themeColor="background1"/>
                <w:sz w:val="18"/>
              </w:rPr>
              <w:t>b) Sistemet solare për ngrohësit e ujit: Subvencion për instalimin e sistemeve solare të ngrohjes së ujit.</w:t>
            </w:r>
          </w:p>
          <w:p w14:paraId="5601BB8E" w14:textId="68DA1EE9" w:rsidR="001A65E6" w:rsidRPr="004A64EF" w:rsidRDefault="001A65E6" w:rsidP="001A65E6">
            <w:pPr>
              <w:spacing w:before="20" w:after="20"/>
              <w:jc w:val="left"/>
              <w:rPr>
                <w:b w:val="0"/>
                <w:bCs w:val="0"/>
                <w:color w:val="FFFFFF" w:themeColor="background1"/>
                <w:sz w:val="18"/>
                <w:szCs w:val="18"/>
              </w:rPr>
            </w:pPr>
            <w:r>
              <w:rPr>
                <w:b w:val="0"/>
                <w:color w:val="FFFFFF" w:themeColor="background1"/>
                <w:sz w:val="18"/>
              </w:rPr>
              <w:t>c) Sistemet solare PV për prodhimin e energjisë elektrike: Stimuj për NMVM-të që të përdorin sisteme solare PV për prodhimin e energjisë elektrike në vend.</w:t>
            </w:r>
          </w:p>
          <w:p w14:paraId="1B8528A1" w14:textId="508CBD29" w:rsidR="001A65E6" w:rsidRPr="004A64EF" w:rsidRDefault="001A65E6" w:rsidP="001A65E6">
            <w:pPr>
              <w:spacing w:before="20" w:after="20"/>
              <w:jc w:val="left"/>
              <w:rPr>
                <w:b w:val="0"/>
                <w:bCs w:val="0"/>
                <w:color w:val="FFFFFF" w:themeColor="background1"/>
                <w:sz w:val="18"/>
                <w:szCs w:val="18"/>
              </w:rPr>
            </w:pPr>
            <w:r>
              <w:rPr>
                <w:b w:val="0"/>
                <w:color w:val="FFFFFF" w:themeColor="background1"/>
                <w:sz w:val="18"/>
              </w:rPr>
              <w:t>Grupi punues për hartimin e këtyre masave i dha prioritet bizneseve mikro dhe ndërmarrjeve në pronësi të grave gjatë procesit të zhvillimit.</w:t>
            </w:r>
          </w:p>
          <w:p w14:paraId="2136431A" w14:textId="28864398" w:rsidR="005C57AD" w:rsidRPr="004A64EF" w:rsidRDefault="001A65E6">
            <w:pPr>
              <w:spacing w:before="20" w:after="20"/>
              <w:jc w:val="left"/>
              <w:rPr>
                <w:b w:val="0"/>
                <w:color w:val="FFFFFF" w:themeColor="background1"/>
                <w:sz w:val="18"/>
                <w:szCs w:val="18"/>
              </w:rPr>
            </w:pPr>
            <w:r>
              <w:rPr>
                <w:b w:val="0"/>
                <w:color w:val="FFFFFF" w:themeColor="background1"/>
                <w:sz w:val="18"/>
              </w:rPr>
              <w:t>Nënmasa a.) u lansua në vitin 2023 dhe pritet të finalizohet në TM2 të vitit 2024. Nënmasat b.) dhe c.) do të lansohen në shkurt të vitit 2024. Buxheti i dedikuar për Masën 5 për NMVM-të në kuadër të programit është 5 milionë euro.</w:t>
            </w:r>
          </w:p>
        </w:tc>
      </w:tr>
      <w:tr w:rsidR="005C57AD" w:rsidRPr="004A64EF" w14:paraId="09F6BE59"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0B738D63" w14:textId="77777777" w:rsidR="005C57AD" w:rsidRPr="004A64EF" w:rsidRDefault="005C57AD">
            <w:pPr>
              <w:spacing w:before="20" w:after="20"/>
              <w:jc w:val="left"/>
              <w:rPr>
                <w:color w:val="FFFFFF" w:themeColor="background1"/>
                <w:sz w:val="18"/>
                <w:szCs w:val="18"/>
              </w:rPr>
            </w:pPr>
            <w:r>
              <w:rPr>
                <w:color w:val="FFFFFF" w:themeColor="background1"/>
                <w:sz w:val="18"/>
              </w:rPr>
              <w:t>Sektori/lloji</w:t>
            </w:r>
          </w:p>
        </w:tc>
        <w:tc>
          <w:tcPr>
            <w:tcW w:w="7139" w:type="dxa"/>
            <w:vAlign w:val="center"/>
          </w:tcPr>
          <w:p w14:paraId="6B03C057" w14:textId="77777777"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rPr>
              <w:t>Energjetik/rregullator, teknik</w:t>
            </w:r>
          </w:p>
        </w:tc>
      </w:tr>
      <w:tr w:rsidR="005C57AD" w:rsidRPr="004A64EF" w14:paraId="4336C96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9F10FCE" w14:textId="77777777" w:rsidR="005C57AD" w:rsidRPr="004A64EF" w:rsidRDefault="005C57AD">
            <w:pPr>
              <w:spacing w:before="20" w:after="20"/>
              <w:jc w:val="left"/>
              <w:rPr>
                <w:color w:val="FFFFFF" w:themeColor="background1"/>
                <w:sz w:val="18"/>
                <w:szCs w:val="18"/>
              </w:rPr>
            </w:pPr>
            <w:r>
              <w:rPr>
                <w:color w:val="FFFFFF" w:themeColor="background1"/>
                <w:sz w:val="18"/>
              </w:rPr>
              <w:lastRenderedPageBreak/>
              <w:t>Statusi i implementimit</w:t>
            </w:r>
          </w:p>
        </w:tc>
        <w:tc>
          <w:tcPr>
            <w:tcW w:w="7139" w:type="dxa"/>
            <w:vAlign w:val="center"/>
          </w:tcPr>
          <w:p w14:paraId="0BCB17F1"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rPr>
              <w:t>Në zbatim</w:t>
            </w:r>
          </w:p>
          <w:p w14:paraId="0FF849E0" w14:textId="5A44DFEB" w:rsidR="001A65E6" w:rsidRPr="004A64EF" w:rsidRDefault="001A65E6" w:rsidP="00AF7BBF">
            <w:pPr>
              <w:pStyle w:val="ListParagraph"/>
              <w:numPr>
                <w:ilvl w:val="0"/>
                <w:numId w:val="107"/>
              </w:numPr>
              <w:spacing w:before="20" w:after="2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rPr>
              <w:t>Sipas Pakos për Mbështetje të Energjisë - Planit të Veprimit, Objektivi I, Masa 5, numri i përgjithshëm i kërkesave të pranuara për nënmasën a) është 238, me 12 përfitues të aprovuar. Deri më tani, asnjë shumë nuk është disbursuar.</w:t>
            </w:r>
          </w:p>
        </w:tc>
      </w:tr>
      <w:tr w:rsidR="005C57AD" w:rsidRPr="004A64EF" w14:paraId="76D59BA3"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27D942A5" w14:textId="77777777" w:rsidR="005C57AD" w:rsidRPr="004A64EF" w:rsidRDefault="005C57AD">
            <w:pPr>
              <w:spacing w:before="20" w:after="20"/>
              <w:jc w:val="left"/>
              <w:rPr>
                <w:color w:val="FFFFFF" w:themeColor="background1"/>
                <w:sz w:val="18"/>
                <w:szCs w:val="18"/>
              </w:rPr>
            </w:pPr>
            <w:r>
              <w:rPr>
                <w:color w:val="FFFFFF" w:themeColor="background1"/>
                <w:sz w:val="18"/>
              </w:rPr>
              <w:t>Efektet kuantitative</w:t>
            </w:r>
          </w:p>
        </w:tc>
        <w:tc>
          <w:tcPr>
            <w:tcW w:w="7139" w:type="dxa"/>
            <w:vAlign w:val="center"/>
          </w:tcPr>
          <w:p w14:paraId="54DE7FB1" w14:textId="5245078B" w:rsidR="005C57AD" w:rsidRPr="004A64EF" w:rsidRDefault="00025EF6">
            <w:pPr>
              <w:spacing w:before="20" w:after="2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rPr>
              <w:t>Kursime të energjisë deri në 0,043 ktoe në vit në periudhën 2021-2023, kursime të energjisë prej 0,04 ktoe në vit në periudhën 2024-2040 (Burimi: vlerësimi i ekspertëve bazuar në qasjen e krahasimit rajonal)</w:t>
            </w:r>
          </w:p>
        </w:tc>
      </w:tr>
      <w:tr w:rsidR="00297BA4" w:rsidRPr="004A64EF" w14:paraId="73F63D8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7BC0C375" w14:textId="6D164761" w:rsidR="00297BA4" w:rsidRPr="004A64EF" w:rsidRDefault="00297BA4" w:rsidP="00297BA4">
            <w:pPr>
              <w:spacing w:before="20" w:after="20"/>
              <w:jc w:val="left"/>
              <w:rPr>
                <w:color w:val="FFFFFF" w:themeColor="background1"/>
                <w:sz w:val="18"/>
                <w:szCs w:val="18"/>
              </w:rPr>
            </w:pPr>
            <w:r>
              <w:rPr>
                <w:color w:val="FFFFFF" w:themeColor="background1"/>
                <w:sz w:val="18"/>
              </w:rPr>
              <w:t>Investimet</w:t>
            </w:r>
          </w:p>
        </w:tc>
        <w:tc>
          <w:tcPr>
            <w:tcW w:w="7139" w:type="dxa"/>
            <w:vAlign w:val="center"/>
          </w:tcPr>
          <w:p w14:paraId="2D175A76" w14:textId="178EE9CB" w:rsidR="00297BA4" w:rsidRPr="004A64EF" w:rsidRDefault="00147301" w:rsidP="00297BA4">
            <w:pPr>
              <w:spacing w:before="20" w:after="2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rPr>
              <w:t>1 milion euro (projekt i financuar nga donatorët), nevojat shtesë për investime të paqarta</w:t>
            </w:r>
          </w:p>
        </w:tc>
      </w:tr>
      <w:tr w:rsidR="00297BA4" w:rsidRPr="004A64EF" w14:paraId="545CB0D7"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48A43E83" w14:textId="77777777" w:rsidR="00297BA4" w:rsidRPr="004A64EF" w:rsidRDefault="00297BA4" w:rsidP="00297BA4">
            <w:pPr>
              <w:spacing w:before="20" w:after="20"/>
              <w:jc w:val="left"/>
              <w:rPr>
                <w:color w:val="FFFFFF" w:themeColor="background1"/>
                <w:sz w:val="18"/>
                <w:szCs w:val="18"/>
              </w:rPr>
            </w:pPr>
            <w:r>
              <w:rPr>
                <w:color w:val="FFFFFF" w:themeColor="background1"/>
                <w:sz w:val="18"/>
              </w:rPr>
              <w:t>Institucioni përgjegjës</w:t>
            </w:r>
          </w:p>
        </w:tc>
        <w:tc>
          <w:tcPr>
            <w:tcW w:w="7139" w:type="dxa"/>
            <w:vAlign w:val="center"/>
          </w:tcPr>
          <w:p w14:paraId="5FFEFDD5" w14:textId="76A498B9" w:rsidR="00297BA4" w:rsidRPr="004A64EF" w:rsidRDefault="002C2160" w:rsidP="00297BA4">
            <w:pPr>
              <w:spacing w:before="20" w:after="2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rPr>
              <w:t>MTI, ME, Fondi i Kosovës për Efiçiencë të Energjisë</w:t>
            </w:r>
          </w:p>
        </w:tc>
      </w:tr>
      <w:tr w:rsidR="00297BA4" w:rsidRPr="004A64EF" w14:paraId="0FAF59C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2F9077E" w14:textId="77777777" w:rsidR="00297BA4" w:rsidRPr="004A64EF" w:rsidRDefault="00297BA4" w:rsidP="00297BA4">
            <w:pPr>
              <w:spacing w:before="20" w:after="20"/>
              <w:jc w:val="left"/>
              <w:rPr>
                <w:color w:val="FFFFFF" w:themeColor="background1"/>
                <w:sz w:val="18"/>
                <w:szCs w:val="18"/>
              </w:rPr>
            </w:pPr>
            <w:r>
              <w:rPr>
                <w:color w:val="FFFFFF" w:themeColor="background1"/>
                <w:sz w:val="18"/>
              </w:rPr>
              <w:t>Treguesit e progresit</w:t>
            </w:r>
          </w:p>
        </w:tc>
        <w:tc>
          <w:tcPr>
            <w:tcW w:w="7139" w:type="dxa"/>
            <w:vAlign w:val="center"/>
          </w:tcPr>
          <w:p w14:paraId="26A12905" w14:textId="77777777" w:rsidR="00297BA4" w:rsidRPr="004A64EF" w:rsidRDefault="00297BA4" w:rsidP="00297BA4">
            <w:pPr>
              <w:spacing w:before="20" w:after="2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rPr>
              <w:t>Numri i auditimeve të energjisë të ndërmarrjeve të mëdha të kryera</w:t>
            </w:r>
          </w:p>
        </w:tc>
      </w:tr>
      <w:tr w:rsidR="00297BA4" w:rsidRPr="00976D33" w14:paraId="6BCCCD8D" w14:textId="77777777">
        <w:tc>
          <w:tcPr>
            <w:cnfStyle w:val="001000000000" w:firstRow="0" w:lastRow="0" w:firstColumn="1" w:lastColumn="0" w:oddVBand="0" w:evenVBand="0" w:oddHBand="0" w:evenHBand="0" w:firstRowFirstColumn="0" w:firstRowLastColumn="0" w:lastRowFirstColumn="0" w:lastRowLastColumn="0"/>
            <w:tcW w:w="2425" w:type="dxa"/>
          </w:tcPr>
          <w:p w14:paraId="55149B55" w14:textId="04DB1610" w:rsidR="00297BA4" w:rsidRPr="004A64EF" w:rsidRDefault="00297BA4" w:rsidP="00297BA4">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39" w:type="dxa"/>
          </w:tcPr>
          <w:p w14:paraId="1297FCE0" w14:textId="77777777" w:rsidR="00297BA4" w:rsidRPr="00976D33" w:rsidRDefault="00297BA4" w:rsidP="00297BA4">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Dekarbonizimi, siguria energjetike</w:t>
            </w:r>
          </w:p>
        </w:tc>
      </w:tr>
    </w:tbl>
    <w:p w14:paraId="2AF6928F" w14:textId="77777777" w:rsidR="005C57AD" w:rsidRPr="00976D33" w:rsidRDefault="005C57AD" w:rsidP="005C57AD">
      <w:pPr>
        <w:rPr>
          <w:rFonts w:ascii="Calibri" w:hAnsi="Calibri"/>
          <w:u w:val="single"/>
        </w:rPr>
      </w:pPr>
    </w:p>
    <w:tbl>
      <w:tblPr>
        <w:tblStyle w:val="GridTable5Dark-Accent1"/>
        <w:tblW w:w="0" w:type="auto"/>
        <w:tblLook w:val="04A0" w:firstRow="1" w:lastRow="0" w:firstColumn="1" w:lastColumn="0" w:noHBand="0" w:noVBand="1"/>
      </w:tblPr>
      <w:tblGrid>
        <w:gridCol w:w="2350"/>
        <w:gridCol w:w="7143"/>
      </w:tblGrid>
      <w:tr w:rsidR="0058443B" w:rsidRPr="004A64EF" w14:paraId="4A73506B" w14:textId="77777777" w:rsidTr="002901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2"/>
            <w:vAlign w:val="center"/>
          </w:tcPr>
          <w:p w14:paraId="284DC460" w14:textId="24247F1B" w:rsidR="0058443B" w:rsidRPr="004A64EF" w:rsidRDefault="0058443B">
            <w:pPr>
              <w:spacing w:before="20" w:after="20"/>
              <w:jc w:val="left"/>
              <w:rPr>
                <w:color w:val="FFFFFF" w:themeColor="background1"/>
                <w:sz w:val="18"/>
                <w:szCs w:val="18"/>
              </w:rPr>
            </w:pPr>
            <w:bookmarkStart w:id="265" w:name="_Toc138210178"/>
            <w:bookmarkStart w:id="266" w:name="_Toc138998479"/>
            <w:r>
              <w:rPr>
                <w:color w:val="FFFFFF" w:themeColor="background1"/>
                <w:sz w:val="18"/>
              </w:rPr>
              <w:t xml:space="preserve">PM </w:t>
            </w:r>
            <w:r w:rsidRPr="004A64EF">
              <w:rPr>
                <w:color w:val="FFFFFF" w:themeColor="background1"/>
                <w:sz w:val="18"/>
              </w:rPr>
              <w:fldChar w:fldCharType="begin"/>
            </w:r>
            <w:r w:rsidRPr="004A64EF">
              <w:rPr>
                <w:color w:val="FFFFFF" w:themeColor="background1"/>
                <w:sz w:val="18"/>
              </w:rPr>
              <w:instrText xml:space="preserve"> SEQ PAM \* ARABIC </w:instrText>
            </w:r>
            <w:r w:rsidRPr="004A64EF">
              <w:rPr>
                <w:color w:val="FFFFFF" w:themeColor="background1"/>
                <w:sz w:val="18"/>
              </w:rPr>
              <w:fldChar w:fldCharType="separate"/>
            </w:r>
            <w:r w:rsidR="003B7FFA">
              <w:rPr>
                <w:noProof/>
                <w:color w:val="FFFFFF" w:themeColor="background1"/>
                <w:sz w:val="18"/>
              </w:rPr>
              <w:t>3</w:t>
            </w:r>
            <w:r w:rsidRPr="004A64EF">
              <w:rPr>
                <w:color w:val="FFFFFF" w:themeColor="background1"/>
                <w:sz w:val="18"/>
              </w:rPr>
              <w:fldChar w:fldCharType="end"/>
            </w:r>
            <w:r>
              <w:rPr>
                <w:color w:val="FFFFFF" w:themeColor="background1"/>
                <w:sz w:val="18"/>
              </w:rPr>
              <w:t>9: Rritja e përdorimit të hekurudhave</w:t>
            </w:r>
            <w:bookmarkEnd w:id="265"/>
            <w:bookmarkEnd w:id="266"/>
            <w:r>
              <w:rPr>
                <w:color w:val="FFFFFF" w:themeColor="background1"/>
                <w:sz w:val="18"/>
              </w:rPr>
              <w:t xml:space="preserve"> nëpërmjet modernizimit dhe rehabilitimit të linjave hekurudhore</w:t>
            </w:r>
          </w:p>
        </w:tc>
      </w:tr>
      <w:tr w:rsidR="0058443B" w:rsidRPr="004A64EF" w14:paraId="67D1378B" w14:textId="77777777" w:rsidTr="002901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2"/>
            <w:vAlign w:val="center"/>
          </w:tcPr>
          <w:p w14:paraId="44E105E4" w14:textId="3917CA6E" w:rsidR="0058443B" w:rsidRPr="004A64EF" w:rsidRDefault="0058443B">
            <w:pPr>
              <w:spacing w:before="20" w:after="20"/>
              <w:rPr>
                <w:rFonts w:cstheme="minorHAnsi"/>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 xml:space="preserve">Transporti hekurudhor është më efiçient se transporti rrugor pasi përdor më pak energji për pasagjer ose ton sesa transporti rrugor. Mirëpo, për momentin në Kosovë nuk është kështu. Numri i pasagjerëve dhe tonëve është ulur ndjeshëm në dhjetë vitet e fundit, ndërkohë që konsumi i energjisë është pothuajse në të njëjtin nivel. Sistemi hekurudhor i Kosovës është në gjendje të keqe, me kufizime serioze strukturore që kufizojnë trafikun në 30-70 km/h. </w:t>
            </w:r>
          </w:p>
          <w:p w14:paraId="07ABE0AF" w14:textId="1C1AA6DC" w:rsidR="0058443B" w:rsidRPr="004A64EF" w:rsidRDefault="0058443B">
            <w:pPr>
              <w:spacing w:before="20" w:after="20"/>
              <w:rPr>
                <w:color w:val="FFFFFF" w:themeColor="background1"/>
                <w:sz w:val="18"/>
                <w:szCs w:val="18"/>
              </w:rPr>
            </w:pPr>
            <w:r>
              <w:rPr>
                <w:b w:val="0"/>
                <w:color w:val="FFFFFF" w:themeColor="background1"/>
                <w:sz w:val="18"/>
              </w:rPr>
              <w:t>Rritja e numrit të pasagjerëve dhe tonëve do të rrisë efiçiencën e energjisë, do të ulë ndotjen dhe potencialisht do të rrisë pjesëmarrjen e BER-ve në transport. Për më tepër, transporti hekurudhor pritet të rrisë mobilitetin dhe përfitimet për grupet e margjinalizuara, ku siguria, përballueshmëria dhe komoditeti që janë faktorë vendimtarë për inkurajimin e kalimit nga automjetet private në transportin hekurudhor.</w:t>
            </w:r>
          </w:p>
          <w:p w14:paraId="40390DBF" w14:textId="3928AB7E" w:rsidR="0058443B" w:rsidRPr="004A64EF" w:rsidRDefault="00C44D65" w:rsidP="00C44D65">
            <w:pPr>
              <w:spacing w:before="20" w:after="20"/>
              <w:rPr>
                <w:b w:val="0"/>
                <w:bCs w:val="0"/>
                <w:color w:val="FFFFFF" w:themeColor="background1"/>
                <w:sz w:val="18"/>
                <w:szCs w:val="18"/>
              </w:rPr>
            </w:pPr>
            <w:r>
              <w:rPr>
                <w:b w:val="0"/>
                <w:color w:val="FFFFFF" w:themeColor="background1"/>
                <w:sz w:val="18"/>
              </w:rPr>
              <w:t>Si pjesë e Planit të Veprimit për Strategjinë e Transportit Multimodal 2023-2025, objektivi është rritja e gjatësisë së hekurudhave të modernizuara në 149.1 km deri në vitin 2026 dhe 365 km deri në vitin 2030, dhe rritja e numrit të pasagjerëve hekurudhor në 400 mijë deri në vitin 2026 dhe 3 milionë deri në vitin 2030.</w:t>
            </w:r>
          </w:p>
        </w:tc>
      </w:tr>
      <w:tr w:rsidR="0058443B" w:rsidRPr="004A64EF" w14:paraId="5478C521" w14:textId="77777777" w:rsidTr="0029011D">
        <w:tc>
          <w:tcPr>
            <w:cnfStyle w:val="001000000000" w:firstRow="0" w:lastRow="0" w:firstColumn="1" w:lastColumn="0" w:oddVBand="0" w:evenVBand="0" w:oddHBand="0" w:evenHBand="0" w:firstRowFirstColumn="0" w:firstRowLastColumn="0" w:lastRowFirstColumn="0" w:lastRowLastColumn="0"/>
            <w:tcW w:w="2350" w:type="dxa"/>
            <w:vAlign w:val="center"/>
          </w:tcPr>
          <w:p w14:paraId="604CC38F" w14:textId="77777777" w:rsidR="0058443B" w:rsidRPr="004A64EF" w:rsidRDefault="0058443B">
            <w:pPr>
              <w:spacing w:before="20" w:after="20"/>
              <w:jc w:val="left"/>
              <w:rPr>
                <w:color w:val="FFFFFF" w:themeColor="background1"/>
                <w:sz w:val="18"/>
                <w:szCs w:val="18"/>
              </w:rPr>
            </w:pPr>
            <w:r>
              <w:rPr>
                <w:color w:val="FFFFFF" w:themeColor="background1"/>
                <w:sz w:val="18"/>
              </w:rPr>
              <w:t>Sektori/lloji</w:t>
            </w:r>
          </w:p>
        </w:tc>
        <w:tc>
          <w:tcPr>
            <w:tcW w:w="7143" w:type="dxa"/>
            <w:vAlign w:val="center"/>
          </w:tcPr>
          <w:p w14:paraId="7BF72CA6" w14:textId="77777777" w:rsidR="0058443B" w:rsidRPr="004A64EF" w:rsidRDefault="0058443B">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Energjetik/teknik</w:t>
            </w:r>
          </w:p>
        </w:tc>
      </w:tr>
      <w:tr w:rsidR="0058443B" w:rsidRPr="004A64EF" w14:paraId="2939C4C5" w14:textId="77777777" w:rsidTr="002901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vAlign w:val="center"/>
          </w:tcPr>
          <w:p w14:paraId="382F6153" w14:textId="77777777" w:rsidR="0058443B" w:rsidRPr="004A64EF" w:rsidRDefault="0058443B">
            <w:pPr>
              <w:spacing w:before="20" w:after="20"/>
              <w:jc w:val="left"/>
              <w:rPr>
                <w:color w:val="FFFFFF" w:themeColor="background1"/>
                <w:sz w:val="18"/>
                <w:szCs w:val="18"/>
              </w:rPr>
            </w:pPr>
            <w:r>
              <w:rPr>
                <w:color w:val="FFFFFF" w:themeColor="background1"/>
                <w:sz w:val="18"/>
              </w:rPr>
              <w:t>Statusi i implementimit</w:t>
            </w:r>
          </w:p>
        </w:tc>
        <w:tc>
          <w:tcPr>
            <w:tcW w:w="7143" w:type="dxa"/>
            <w:vAlign w:val="center"/>
          </w:tcPr>
          <w:p w14:paraId="0CB57AEE" w14:textId="002AC00A" w:rsidR="0058443B" w:rsidRPr="004A64EF" w:rsidRDefault="0058443B">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Në implementim. Në fund të vitit 2022, filloi puna në linjën hekurudhore Fushë Kosovë-Mitrovicë, faza e tretë e projektit, e cila rehabiliton 35 km trase dhe përmirëson pesë stacione. Pasi të përfundojë, Kosova do të lidhet me Serbinë dhe Maqedoninë e Veriut me një hekurudhë me shpejtësi të lartë (100 km/h). Është duke u zhvilluar rehabilitimi dhe modernizimi i përgjithshëm i linjës hekurudhore 10 (kufiri me Serbinë - Leshak - Fushë Kosovë - Hani i Elezit - kufiri me Maqedoninë e Veriut) (149.11 km). Faza I (kufiri me Maqedoninë e Veriut - Hani i Elezit - Fushë Kosovë) dhe Faza II (Fushë Kosovë - Mitrovicë) janë në rindërtim. Faza III (Mitrovicë – Leshak – kufiri me Serbinë), duke përfshirë sinjalizimin dhe telekomunikacionin, është në fazën e projektimit. Përveç kësaj, planifikohet ndërtimi i linjës hekurudhore Prishtinë - Fushë Kosovë - Aeroporti “Adem Jashari” (16.872 km), linja hekurudhore Prishtinë - Durrës dhe modernizimi i Hekurudhës Jugperëndimore (Klinë - Prizren) (58.831 km). Këto përmirësime do të rrisin sigurinë, shpejtësinë dhe kapacitetin, duke krijuar një infrastrukturë hekurudhore të ndërveprueshme në përputhje me standardet e BE-së, ku të gjitha punimet pritet të përfundojnë deri në vitin 2030.</w:t>
            </w:r>
          </w:p>
        </w:tc>
      </w:tr>
      <w:tr w:rsidR="0058443B" w:rsidRPr="004A64EF" w14:paraId="092A7DED" w14:textId="77777777" w:rsidTr="0029011D">
        <w:tc>
          <w:tcPr>
            <w:cnfStyle w:val="001000000000" w:firstRow="0" w:lastRow="0" w:firstColumn="1" w:lastColumn="0" w:oddVBand="0" w:evenVBand="0" w:oddHBand="0" w:evenHBand="0" w:firstRowFirstColumn="0" w:firstRowLastColumn="0" w:lastRowFirstColumn="0" w:lastRowLastColumn="0"/>
            <w:tcW w:w="2350" w:type="dxa"/>
            <w:vAlign w:val="center"/>
          </w:tcPr>
          <w:p w14:paraId="283E77E9" w14:textId="77777777" w:rsidR="0058443B" w:rsidRPr="004A64EF" w:rsidRDefault="0058443B">
            <w:pPr>
              <w:spacing w:before="20" w:after="20"/>
              <w:jc w:val="left"/>
              <w:rPr>
                <w:color w:val="FFFFFF" w:themeColor="background1"/>
                <w:sz w:val="18"/>
                <w:szCs w:val="18"/>
              </w:rPr>
            </w:pPr>
            <w:r>
              <w:rPr>
                <w:color w:val="FFFFFF" w:themeColor="background1"/>
                <w:sz w:val="18"/>
              </w:rPr>
              <w:t>Efektet kuantitative</w:t>
            </w:r>
          </w:p>
        </w:tc>
        <w:tc>
          <w:tcPr>
            <w:tcW w:w="7143" w:type="dxa"/>
            <w:vAlign w:val="center"/>
          </w:tcPr>
          <w:p w14:paraId="7F8ADDEA" w14:textId="60BDB999" w:rsidR="0058443B" w:rsidRPr="004A64EF" w:rsidRDefault="0058443B">
            <w:pPr>
              <w:spacing w:before="20" w:after="2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sz w:val="18"/>
              </w:rPr>
              <w:t>Rritja e numrit të pasagjerëve në transportin hekurudhor në 400 mijë deri në vitin 2026 dhe 3 milion deri në vitin 2030.</w:t>
            </w:r>
          </w:p>
          <w:p w14:paraId="0D7043A9" w14:textId="4065DD83" w:rsidR="0058443B" w:rsidRPr="004A64EF" w:rsidRDefault="0058443B">
            <w:pPr>
              <w:spacing w:before="20" w:after="2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sz w:val="18"/>
              </w:rPr>
              <w:t xml:space="preserve">12% e transportit ndërkufitar hekurudhor të mallrave deri në vitin 2026 dhe 35% deri në vitin 2030. </w:t>
            </w:r>
          </w:p>
          <w:p w14:paraId="26E0625E" w14:textId="2E593269" w:rsidR="0058443B" w:rsidRPr="004A64EF" w:rsidRDefault="00A27B43">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Burimi: Plani i Veprimit i Kosovës për Strategjinë e Transportit Multimodal 2023-2025</w:t>
            </w:r>
          </w:p>
        </w:tc>
      </w:tr>
      <w:tr w:rsidR="0058443B" w:rsidRPr="004A64EF" w14:paraId="445824E5" w14:textId="77777777" w:rsidTr="002901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vAlign w:val="center"/>
          </w:tcPr>
          <w:p w14:paraId="3E2DB567" w14:textId="77777777" w:rsidR="0058443B" w:rsidRPr="004A64EF" w:rsidRDefault="0058443B">
            <w:pPr>
              <w:spacing w:before="20" w:after="20"/>
              <w:jc w:val="left"/>
              <w:rPr>
                <w:color w:val="FFFFFF" w:themeColor="background1"/>
                <w:sz w:val="18"/>
                <w:szCs w:val="18"/>
              </w:rPr>
            </w:pPr>
            <w:r>
              <w:rPr>
                <w:color w:val="FFFFFF" w:themeColor="background1"/>
                <w:sz w:val="18"/>
              </w:rPr>
              <w:t>Investimet</w:t>
            </w:r>
          </w:p>
        </w:tc>
        <w:tc>
          <w:tcPr>
            <w:tcW w:w="7143" w:type="dxa"/>
            <w:vAlign w:val="center"/>
          </w:tcPr>
          <w:p w14:paraId="7A95151E" w14:textId="01296A14" w:rsidR="0058443B" w:rsidRPr="004A64EF" w:rsidRDefault="0058443B">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Gjithsej 880.4 mil. euro. (duke përfshirë 40 mil. euro kredi nga BERZH, 80 mil. euro kredi nga BEI dhe 130 mil. euro grant nga WBIF, 55.8 mil. euro nga MMPHI). Burimi: Plani i Veprimit i Kosovës për Strategjinë e Transportit Multimodal 2023-2025 </w:t>
            </w:r>
          </w:p>
        </w:tc>
      </w:tr>
      <w:tr w:rsidR="0058443B" w:rsidRPr="004A64EF" w14:paraId="73C2A2F9" w14:textId="77777777" w:rsidTr="0029011D">
        <w:tc>
          <w:tcPr>
            <w:cnfStyle w:val="001000000000" w:firstRow="0" w:lastRow="0" w:firstColumn="1" w:lastColumn="0" w:oddVBand="0" w:evenVBand="0" w:oddHBand="0" w:evenHBand="0" w:firstRowFirstColumn="0" w:firstRowLastColumn="0" w:lastRowFirstColumn="0" w:lastRowLastColumn="0"/>
            <w:tcW w:w="2350" w:type="dxa"/>
            <w:vAlign w:val="center"/>
          </w:tcPr>
          <w:p w14:paraId="048C4EEB" w14:textId="62B9E4AD" w:rsidR="0058443B" w:rsidRPr="004A64EF" w:rsidRDefault="0058443B">
            <w:pPr>
              <w:spacing w:before="20" w:after="20"/>
              <w:jc w:val="left"/>
              <w:rPr>
                <w:color w:val="FFFFFF" w:themeColor="background1"/>
                <w:sz w:val="18"/>
                <w:szCs w:val="18"/>
              </w:rPr>
            </w:pPr>
            <w:r>
              <w:rPr>
                <w:color w:val="FFFFFF" w:themeColor="background1"/>
                <w:sz w:val="18"/>
              </w:rPr>
              <w:t>Institucioni përgjegjës</w:t>
            </w:r>
          </w:p>
        </w:tc>
        <w:tc>
          <w:tcPr>
            <w:tcW w:w="7143" w:type="dxa"/>
            <w:vAlign w:val="center"/>
          </w:tcPr>
          <w:p w14:paraId="15BC4C2A" w14:textId="77777777" w:rsidR="0058443B" w:rsidRPr="004A64EF" w:rsidRDefault="0058443B">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Infrakos, MMPHI</w:t>
            </w:r>
          </w:p>
        </w:tc>
      </w:tr>
      <w:tr w:rsidR="0058443B" w:rsidRPr="004A64EF" w14:paraId="659B9793" w14:textId="77777777" w:rsidTr="002901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vAlign w:val="center"/>
          </w:tcPr>
          <w:p w14:paraId="0CF321BF" w14:textId="77777777" w:rsidR="0058443B" w:rsidRPr="004A64EF" w:rsidRDefault="0058443B">
            <w:pPr>
              <w:spacing w:before="20" w:after="20"/>
              <w:jc w:val="left"/>
              <w:rPr>
                <w:color w:val="FFFFFF" w:themeColor="background1"/>
                <w:sz w:val="18"/>
                <w:szCs w:val="18"/>
              </w:rPr>
            </w:pPr>
            <w:r>
              <w:rPr>
                <w:color w:val="FFFFFF" w:themeColor="background1"/>
                <w:sz w:val="18"/>
              </w:rPr>
              <w:t>Treguesit e progresit</w:t>
            </w:r>
          </w:p>
        </w:tc>
        <w:tc>
          <w:tcPr>
            <w:tcW w:w="7143" w:type="dxa"/>
            <w:vAlign w:val="center"/>
          </w:tcPr>
          <w:p w14:paraId="66625674" w14:textId="77777777" w:rsidR="0058443B" w:rsidRPr="004A64EF" w:rsidRDefault="0058443B">
            <w:pPr>
              <w:spacing w:before="20" w:after="20"/>
              <w:ind w:left="-22"/>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Numri i pasagjerëve; numri i tonëve; energjia përfundimtare e kursyer (ktoe)</w:t>
            </w:r>
          </w:p>
        </w:tc>
      </w:tr>
      <w:tr w:rsidR="0058443B" w:rsidRPr="00976D33" w14:paraId="2E237599" w14:textId="77777777" w:rsidTr="0029011D">
        <w:tc>
          <w:tcPr>
            <w:cnfStyle w:val="001000000000" w:firstRow="0" w:lastRow="0" w:firstColumn="1" w:lastColumn="0" w:oddVBand="0" w:evenVBand="0" w:oddHBand="0" w:evenHBand="0" w:firstRowFirstColumn="0" w:firstRowLastColumn="0" w:lastRowFirstColumn="0" w:lastRowLastColumn="0"/>
            <w:tcW w:w="2350" w:type="dxa"/>
          </w:tcPr>
          <w:p w14:paraId="1D12D0C6" w14:textId="27AE967F" w:rsidR="0058443B" w:rsidRPr="004A64EF" w:rsidRDefault="0058443B">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43" w:type="dxa"/>
          </w:tcPr>
          <w:p w14:paraId="75E004C2" w14:textId="77777777" w:rsidR="0058443B" w:rsidRPr="00976D33" w:rsidRDefault="0058443B">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Dekarbonizimi, siguria energjetike</w:t>
            </w:r>
          </w:p>
        </w:tc>
      </w:tr>
    </w:tbl>
    <w:p w14:paraId="58539F1E" w14:textId="77777777" w:rsidR="005C57AD" w:rsidRDefault="005C57AD" w:rsidP="005C57AD">
      <w:pPr>
        <w:rPr>
          <w:rFonts w:ascii="Calibri" w:hAnsi="Calibri"/>
          <w:u w:val="single"/>
        </w:rPr>
      </w:pPr>
    </w:p>
    <w:p w14:paraId="7EF937A4" w14:textId="77777777" w:rsidR="0015407C" w:rsidRDefault="0015407C" w:rsidP="005C57AD">
      <w:pPr>
        <w:rPr>
          <w:rFonts w:ascii="Calibri" w:hAnsi="Calibri"/>
          <w:u w:val="single"/>
        </w:rPr>
      </w:pPr>
    </w:p>
    <w:p w14:paraId="41A5BA87" w14:textId="77777777" w:rsidR="0015407C" w:rsidRDefault="0015407C" w:rsidP="005C57AD">
      <w:pPr>
        <w:rPr>
          <w:rFonts w:ascii="Calibri" w:hAnsi="Calibri"/>
          <w:u w:val="single"/>
        </w:rPr>
      </w:pPr>
    </w:p>
    <w:p w14:paraId="09DB6671" w14:textId="77777777" w:rsidR="0015407C" w:rsidRPr="00976D33" w:rsidRDefault="0015407C" w:rsidP="005C57AD">
      <w:pPr>
        <w:rPr>
          <w:rFonts w:ascii="Calibri" w:hAnsi="Calibri"/>
          <w:u w:val="single"/>
        </w:rPr>
      </w:pPr>
    </w:p>
    <w:tbl>
      <w:tblPr>
        <w:tblStyle w:val="GridTable5Dark-Accent1"/>
        <w:tblW w:w="0" w:type="auto"/>
        <w:tblLook w:val="04A0" w:firstRow="1" w:lastRow="0" w:firstColumn="1" w:lastColumn="0" w:noHBand="0" w:noVBand="1"/>
      </w:tblPr>
      <w:tblGrid>
        <w:gridCol w:w="2350"/>
        <w:gridCol w:w="7143"/>
      </w:tblGrid>
      <w:tr w:rsidR="002518A3" w:rsidRPr="004A64EF" w14:paraId="74BC94AA" w14:textId="77777777" w:rsidTr="002901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2"/>
            <w:vAlign w:val="center"/>
          </w:tcPr>
          <w:p w14:paraId="7303D2D8" w14:textId="1B0A8115" w:rsidR="002518A3" w:rsidRPr="004A64EF" w:rsidRDefault="002518A3">
            <w:pPr>
              <w:spacing w:before="20" w:after="20"/>
              <w:jc w:val="left"/>
              <w:rPr>
                <w:color w:val="FFFFFF" w:themeColor="background1"/>
                <w:sz w:val="18"/>
                <w:szCs w:val="18"/>
              </w:rPr>
            </w:pPr>
            <w:r>
              <w:rPr>
                <w:color w:val="FFFFFF" w:themeColor="background1"/>
                <w:sz w:val="18"/>
              </w:rPr>
              <w:lastRenderedPageBreak/>
              <w:t>PM 40: Digjitalizimi i sistemeve të transportit dhe zbatimi i ITS-së në Rrjetin Kryesor të TEN-T në Kosovë</w:t>
            </w:r>
          </w:p>
        </w:tc>
      </w:tr>
      <w:tr w:rsidR="002518A3" w:rsidRPr="004A64EF" w14:paraId="26D220B2" w14:textId="77777777" w:rsidTr="002901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2"/>
            <w:vAlign w:val="center"/>
          </w:tcPr>
          <w:p w14:paraId="09BF9A72" w14:textId="0A39654C" w:rsidR="00A70AD4" w:rsidRPr="004A64EF" w:rsidRDefault="002518A3">
            <w:pPr>
              <w:spacing w:before="20" w:after="20"/>
              <w:rPr>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Përmirësimi i sistemeve thelbësore të sigurisë në trafik është thelbësor, pasi modernizimi i linjave hekurudhore do të rezultojë në rritjen e kapacitetit dhe vëllimit të trafikut. Aktualisht, infrastruktura hekurudhore e Kosovës është e cilësisë së ulët dhe i mungon Sistemi Evropian të Menaxhimit të Trafikut Hekurudhor (ERTMS). ERTMS është thelbësor për të siguruar që trafiku hekurudhor të jetë konkurrues dhe i sigurt, prandaj të gjitha projektet e modernizimit duhet të përfshijnë zbatimin e tij. Meqenëse shumica e aksidenteve hekurudhore ndodhin në vendkalimet rrugore-hekurudhore, vendosja e ERTMS-së do të ndihmojë gjithashtu në uljen e aksidenteve me fatalitet që lidhen me transportin hekurudhor.</w:t>
            </w:r>
          </w:p>
          <w:p w14:paraId="775F872F" w14:textId="77777777" w:rsidR="002518A3" w:rsidRPr="004A64EF" w:rsidRDefault="002518A3">
            <w:pPr>
              <w:spacing w:before="20" w:after="20"/>
              <w:rPr>
                <w:b w:val="0"/>
                <w:bCs w:val="0"/>
                <w:color w:val="FFFFFF" w:themeColor="background1"/>
                <w:sz w:val="18"/>
                <w:szCs w:val="18"/>
              </w:rPr>
            </w:pPr>
            <w:r>
              <w:rPr>
                <w:b w:val="0"/>
                <w:color w:val="FFFFFF" w:themeColor="background1"/>
                <w:sz w:val="18"/>
              </w:rPr>
              <w:t>Për më tepër, zbatimi i Sistemeve të Transportit Inteligjent (ITS) do të ndihmojë në rritjen e efikasitetit, sigurisë dhe qëndrueshmërisë së Rrjetit Bërthamë/Gjithëpërfshirës të TEN-T në Kosovë duke ofruar informacion në kohë reale dhe menaxhim të përmirësuar të trafikut, transportit dhe logjistikës.</w:t>
            </w:r>
          </w:p>
        </w:tc>
      </w:tr>
      <w:tr w:rsidR="002518A3" w:rsidRPr="004A64EF" w14:paraId="0AFF6256" w14:textId="77777777" w:rsidTr="0029011D">
        <w:tc>
          <w:tcPr>
            <w:cnfStyle w:val="001000000000" w:firstRow="0" w:lastRow="0" w:firstColumn="1" w:lastColumn="0" w:oddVBand="0" w:evenVBand="0" w:oddHBand="0" w:evenHBand="0" w:firstRowFirstColumn="0" w:firstRowLastColumn="0" w:lastRowFirstColumn="0" w:lastRowLastColumn="0"/>
            <w:tcW w:w="2350" w:type="dxa"/>
            <w:vAlign w:val="center"/>
          </w:tcPr>
          <w:p w14:paraId="663D0D07" w14:textId="77777777" w:rsidR="002518A3" w:rsidRPr="004A64EF" w:rsidRDefault="002518A3">
            <w:pPr>
              <w:spacing w:before="20" w:after="20"/>
              <w:jc w:val="left"/>
              <w:rPr>
                <w:color w:val="FFFFFF" w:themeColor="background1"/>
                <w:sz w:val="18"/>
                <w:szCs w:val="18"/>
              </w:rPr>
            </w:pPr>
            <w:r>
              <w:rPr>
                <w:color w:val="FFFFFF" w:themeColor="background1"/>
                <w:sz w:val="18"/>
              </w:rPr>
              <w:t>Sektori/lloji</w:t>
            </w:r>
          </w:p>
        </w:tc>
        <w:tc>
          <w:tcPr>
            <w:tcW w:w="7143" w:type="dxa"/>
            <w:vAlign w:val="center"/>
          </w:tcPr>
          <w:p w14:paraId="4F29A081" w14:textId="77777777" w:rsidR="002518A3" w:rsidRPr="004A64EF" w:rsidRDefault="002518A3">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Energjetik/teknik</w:t>
            </w:r>
          </w:p>
        </w:tc>
      </w:tr>
      <w:tr w:rsidR="002518A3" w:rsidRPr="004A64EF" w14:paraId="311C7A3F" w14:textId="77777777" w:rsidTr="002901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vAlign w:val="center"/>
          </w:tcPr>
          <w:p w14:paraId="026C3F2F" w14:textId="77777777" w:rsidR="002518A3" w:rsidRPr="004A64EF" w:rsidRDefault="002518A3">
            <w:pPr>
              <w:spacing w:before="20" w:after="20"/>
              <w:jc w:val="left"/>
              <w:rPr>
                <w:color w:val="FFFFFF" w:themeColor="background1"/>
                <w:sz w:val="18"/>
                <w:szCs w:val="18"/>
              </w:rPr>
            </w:pPr>
            <w:r>
              <w:rPr>
                <w:color w:val="FFFFFF" w:themeColor="background1"/>
                <w:sz w:val="18"/>
              </w:rPr>
              <w:t>Statusi i implementimit</w:t>
            </w:r>
          </w:p>
        </w:tc>
        <w:tc>
          <w:tcPr>
            <w:tcW w:w="7143" w:type="dxa"/>
            <w:vAlign w:val="center"/>
          </w:tcPr>
          <w:p w14:paraId="0DC09B8F" w14:textId="0C5C2CF4" w:rsidR="002518A3" w:rsidRPr="004A64EF" w:rsidRDefault="002518A3">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Planifikuar</w:t>
            </w:r>
          </w:p>
        </w:tc>
      </w:tr>
      <w:tr w:rsidR="002518A3" w:rsidRPr="004A64EF" w14:paraId="37E59CBA" w14:textId="77777777" w:rsidTr="0029011D">
        <w:tc>
          <w:tcPr>
            <w:cnfStyle w:val="001000000000" w:firstRow="0" w:lastRow="0" w:firstColumn="1" w:lastColumn="0" w:oddVBand="0" w:evenVBand="0" w:oddHBand="0" w:evenHBand="0" w:firstRowFirstColumn="0" w:firstRowLastColumn="0" w:lastRowFirstColumn="0" w:lastRowLastColumn="0"/>
            <w:tcW w:w="2350" w:type="dxa"/>
            <w:vAlign w:val="center"/>
          </w:tcPr>
          <w:p w14:paraId="2C8A7D55" w14:textId="77777777" w:rsidR="002518A3" w:rsidRPr="004A64EF" w:rsidRDefault="002518A3">
            <w:pPr>
              <w:spacing w:before="20" w:after="20"/>
              <w:jc w:val="left"/>
              <w:rPr>
                <w:color w:val="FFFFFF" w:themeColor="background1"/>
                <w:sz w:val="18"/>
                <w:szCs w:val="18"/>
              </w:rPr>
            </w:pPr>
            <w:r>
              <w:rPr>
                <w:color w:val="FFFFFF" w:themeColor="background1"/>
                <w:sz w:val="18"/>
              </w:rPr>
              <w:t>Efektet kuantitative</w:t>
            </w:r>
          </w:p>
        </w:tc>
        <w:tc>
          <w:tcPr>
            <w:tcW w:w="7143" w:type="dxa"/>
            <w:vAlign w:val="center"/>
          </w:tcPr>
          <w:p w14:paraId="2526FF5B" w14:textId="77777777" w:rsidR="005D22A1" w:rsidRPr="004A64EF" w:rsidRDefault="002518A3">
            <w:pPr>
              <w:spacing w:before="20" w:after="2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sz w:val="18"/>
              </w:rPr>
              <w:t>Kapaciteti i rritur deri në 30%.</w:t>
            </w:r>
          </w:p>
          <w:p w14:paraId="57F6F36E" w14:textId="5A987F78" w:rsidR="002518A3" w:rsidRPr="004A64EF" w:rsidRDefault="00471A08">
            <w:pPr>
              <w:spacing w:before="20" w:after="2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sz w:val="18"/>
              </w:rPr>
              <w:t>Burimi: Plani i Veprimit i Kosovës për Strategjinë e Transportit Multimodal 2023-2025</w:t>
            </w:r>
          </w:p>
        </w:tc>
      </w:tr>
      <w:tr w:rsidR="002518A3" w:rsidRPr="004A64EF" w14:paraId="25D42367" w14:textId="77777777" w:rsidTr="002901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vAlign w:val="center"/>
          </w:tcPr>
          <w:p w14:paraId="7EBA5645" w14:textId="77777777" w:rsidR="002518A3" w:rsidRPr="004A64EF" w:rsidRDefault="002518A3">
            <w:pPr>
              <w:spacing w:before="20" w:after="20"/>
              <w:jc w:val="left"/>
              <w:rPr>
                <w:color w:val="FFFFFF" w:themeColor="background1"/>
                <w:sz w:val="18"/>
                <w:szCs w:val="18"/>
              </w:rPr>
            </w:pPr>
            <w:r>
              <w:rPr>
                <w:color w:val="FFFFFF" w:themeColor="background1"/>
                <w:sz w:val="18"/>
              </w:rPr>
              <w:t>Investimet</w:t>
            </w:r>
          </w:p>
        </w:tc>
        <w:tc>
          <w:tcPr>
            <w:tcW w:w="7143" w:type="dxa"/>
            <w:vAlign w:val="center"/>
          </w:tcPr>
          <w:p w14:paraId="4D8C98F1" w14:textId="41030E85" w:rsidR="002518A3" w:rsidRPr="004A64EF" w:rsidRDefault="002518A3">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n/a</w:t>
            </w:r>
          </w:p>
        </w:tc>
      </w:tr>
      <w:tr w:rsidR="002518A3" w:rsidRPr="004A64EF" w14:paraId="0812281D" w14:textId="77777777" w:rsidTr="0029011D">
        <w:tc>
          <w:tcPr>
            <w:cnfStyle w:val="001000000000" w:firstRow="0" w:lastRow="0" w:firstColumn="1" w:lastColumn="0" w:oddVBand="0" w:evenVBand="0" w:oddHBand="0" w:evenHBand="0" w:firstRowFirstColumn="0" w:firstRowLastColumn="0" w:lastRowFirstColumn="0" w:lastRowLastColumn="0"/>
            <w:tcW w:w="2350" w:type="dxa"/>
            <w:vAlign w:val="center"/>
          </w:tcPr>
          <w:p w14:paraId="565EF5B1" w14:textId="2D50E44D" w:rsidR="002518A3" w:rsidRPr="004A64EF" w:rsidRDefault="002518A3">
            <w:pPr>
              <w:spacing w:before="20" w:after="20"/>
              <w:jc w:val="left"/>
              <w:rPr>
                <w:color w:val="FFFFFF" w:themeColor="background1"/>
                <w:sz w:val="18"/>
                <w:szCs w:val="18"/>
              </w:rPr>
            </w:pPr>
            <w:r>
              <w:rPr>
                <w:color w:val="FFFFFF" w:themeColor="background1"/>
                <w:sz w:val="18"/>
              </w:rPr>
              <w:t>Institucioni përgjegjës</w:t>
            </w:r>
          </w:p>
        </w:tc>
        <w:tc>
          <w:tcPr>
            <w:tcW w:w="7143" w:type="dxa"/>
            <w:vAlign w:val="center"/>
          </w:tcPr>
          <w:p w14:paraId="140467E3" w14:textId="77777777" w:rsidR="002518A3" w:rsidRPr="004A64EF" w:rsidRDefault="002518A3">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Infrakos, MMPHI</w:t>
            </w:r>
          </w:p>
        </w:tc>
      </w:tr>
      <w:tr w:rsidR="002518A3" w:rsidRPr="004A64EF" w14:paraId="2608D04D" w14:textId="77777777" w:rsidTr="002901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vAlign w:val="center"/>
          </w:tcPr>
          <w:p w14:paraId="3B99A04D" w14:textId="77777777" w:rsidR="002518A3" w:rsidRPr="004A64EF" w:rsidRDefault="002518A3">
            <w:pPr>
              <w:spacing w:before="20" w:after="20"/>
              <w:jc w:val="left"/>
              <w:rPr>
                <w:color w:val="FFFFFF" w:themeColor="background1"/>
                <w:sz w:val="18"/>
                <w:szCs w:val="18"/>
              </w:rPr>
            </w:pPr>
            <w:r>
              <w:rPr>
                <w:color w:val="FFFFFF" w:themeColor="background1"/>
                <w:sz w:val="18"/>
              </w:rPr>
              <w:t>Treguesit e progresit</w:t>
            </w:r>
          </w:p>
        </w:tc>
        <w:tc>
          <w:tcPr>
            <w:tcW w:w="7143" w:type="dxa"/>
            <w:vAlign w:val="center"/>
          </w:tcPr>
          <w:p w14:paraId="0FA7738E" w14:textId="77777777" w:rsidR="002518A3" w:rsidRPr="004A64EF" w:rsidRDefault="002518A3">
            <w:pPr>
              <w:spacing w:before="20" w:after="20"/>
              <w:ind w:left="-22"/>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Numri i aksidenteve; Energjia përfundimtare e kursyer (ktoe)</w:t>
            </w:r>
          </w:p>
        </w:tc>
      </w:tr>
      <w:tr w:rsidR="002518A3" w:rsidRPr="00976D33" w14:paraId="11C90C71" w14:textId="77777777" w:rsidTr="0029011D">
        <w:tc>
          <w:tcPr>
            <w:cnfStyle w:val="001000000000" w:firstRow="0" w:lastRow="0" w:firstColumn="1" w:lastColumn="0" w:oddVBand="0" w:evenVBand="0" w:oddHBand="0" w:evenHBand="0" w:firstRowFirstColumn="0" w:firstRowLastColumn="0" w:lastRowFirstColumn="0" w:lastRowLastColumn="0"/>
            <w:tcW w:w="2350" w:type="dxa"/>
          </w:tcPr>
          <w:p w14:paraId="3B2BD8EA" w14:textId="230B2487" w:rsidR="002518A3" w:rsidRPr="004A64EF" w:rsidRDefault="002518A3">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43" w:type="dxa"/>
          </w:tcPr>
          <w:p w14:paraId="1C2D52AA" w14:textId="77777777" w:rsidR="002518A3" w:rsidRPr="00976D33" w:rsidRDefault="002518A3">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Dekarbonizimi, siguria energjetike</w:t>
            </w:r>
          </w:p>
        </w:tc>
      </w:tr>
    </w:tbl>
    <w:p w14:paraId="7931C93B" w14:textId="77777777" w:rsidR="0058443B" w:rsidRPr="00976D33" w:rsidRDefault="0058443B" w:rsidP="005C57AD">
      <w:pPr>
        <w:rPr>
          <w:rFonts w:ascii="Calibri" w:hAnsi="Calibri"/>
          <w:u w:val="single"/>
        </w:rPr>
      </w:pPr>
    </w:p>
    <w:tbl>
      <w:tblPr>
        <w:tblStyle w:val="GridTable5Dark-Accent1"/>
        <w:tblW w:w="0" w:type="auto"/>
        <w:tblLook w:val="04A0" w:firstRow="1" w:lastRow="0" w:firstColumn="1" w:lastColumn="0" w:noHBand="0" w:noVBand="1"/>
      </w:tblPr>
      <w:tblGrid>
        <w:gridCol w:w="2425"/>
        <w:gridCol w:w="7139"/>
      </w:tblGrid>
      <w:tr w:rsidR="005C57AD" w:rsidRPr="004A64EF" w14:paraId="3E56C7E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1B0C34EA" w14:textId="0D8E0318" w:rsidR="005C57AD" w:rsidRPr="004A64EF" w:rsidRDefault="005C57AD">
            <w:pPr>
              <w:spacing w:before="20" w:after="20"/>
              <w:jc w:val="left"/>
              <w:rPr>
                <w:color w:val="FFFFFF" w:themeColor="background1"/>
                <w:sz w:val="18"/>
                <w:szCs w:val="18"/>
              </w:rPr>
            </w:pPr>
            <w:bookmarkStart w:id="267" w:name="_Ref138216231"/>
            <w:bookmarkStart w:id="268" w:name="_Toc138210179"/>
            <w:bookmarkStart w:id="269" w:name="_Toc138998480"/>
            <w:r>
              <w:rPr>
                <w:color w:val="FFFFFF" w:themeColor="background1"/>
                <w:sz w:val="18"/>
              </w:rPr>
              <w:t>PM</w:t>
            </w:r>
            <w:bookmarkEnd w:id="267"/>
            <w:r>
              <w:rPr>
                <w:color w:val="FFFFFF" w:themeColor="background1"/>
                <w:sz w:val="18"/>
              </w:rPr>
              <w:t xml:space="preserve"> 41: Elektrifikimi i hekurudhave</w:t>
            </w:r>
            <w:bookmarkEnd w:id="268"/>
            <w:bookmarkEnd w:id="269"/>
            <w:r>
              <w:rPr>
                <w:color w:val="FFFFFF" w:themeColor="background1"/>
                <w:sz w:val="18"/>
              </w:rPr>
              <w:t xml:space="preserve"> </w:t>
            </w:r>
          </w:p>
        </w:tc>
      </w:tr>
      <w:tr w:rsidR="005C57AD" w:rsidRPr="004A64EF" w14:paraId="559AAAF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6005B26B" w14:textId="572A0112" w:rsidR="005C57AD" w:rsidRPr="000E0DF9" w:rsidRDefault="005C57AD">
            <w:pPr>
              <w:spacing w:before="20" w:after="20"/>
              <w:jc w:val="left"/>
              <w:rPr>
                <w:b w:val="0"/>
                <w:bCs w:val="0"/>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Strategjia e Energjisë përfshin zhvillimin e planifikuar të elektrifikimit të hekurudhës në Kosovë, i cili do të reduktojë konsumin e karburantit dhe emetimet e GS-ve. Aktualisht, në Kosovë nuk ka asnjë linjë hekurudhore të elektrizuar. Prandaj, elektrifikimi duhet të realizohet gradualisht duke rritur pjesëmarrjen e trenave elektrikë deri në 14.6% në 2030 dhe 20% në 2040 (WEM), dhe në 25% në vitin 2030 dhe 40% në vitin 2040 (WAM).</w:t>
            </w:r>
          </w:p>
        </w:tc>
      </w:tr>
      <w:tr w:rsidR="005C57AD" w:rsidRPr="004A64EF" w14:paraId="7690BD12"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299E3F8B" w14:textId="77777777" w:rsidR="005C57AD" w:rsidRPr="004A64EF" w:rsidRDefault="005C57AD">
            <w:pPr>
              <w:spacing w:before="20" w:after="20"/>
              <w:jc w:val="left"/>
              <w:rPr>
                <w:color w:val="FFFFFF" w:themeColor="background1"/>
                <w:sz w:val="18"/>
                <w:szCs w:val="18"/>
              </w:rPr>
            </w:pPr>
            <w:r>
              <w:rPr>
                <w:color w:val="FFFFFF" w:themeColor="background1"/>
                <w:sz w:val="18"/>
              </w:rPr>
              <w:t>Sektori/lloji</w:t>
            </w:r>
          </w:p>
        </w:tc>
        <w:tc>
          <w:tcPr>
            <w:tcW w:w="7139" w:type="dxa"/>
            <w:vAlign w:val="center"/>
          </w:tcPr>
          <w:p w14:paraId="36F8819A" w14:textId="77777777"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Energjetik/teknik</w:t>
            </w:r>
          </w:p>
        </w:tc>
      </w:tr>
      <w:tr w:rsidR="005C57AD" w:rsidRPr="004A64EF" w14:paraId="798EC44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29B24A5C" w14:textId="77777777" w:rsidR="005C57AD" w:rsidRPr="004A64EF" w:rsidRDefault="005C57AD">
            <w:pPr>
              <w:spacing w:before="20" w:after="20"/>
              <w:jc w:val="left"/>
              <w:rPr>
                <w:color w:val="FFFFFF" w:themeColor="background1"/>
                <w:sz w:val="18"/>
                <w:szCs w:val="18"/>
              </w:rPr>
            </w:pPr>
            <w:r>
              <w:rPr>
                <w:color w:val="FFFFFF" w:themeColor="background1"/>
                <w:sz w:val="18"/>
              </w:rPr>
              <w:t>Statusi i implementimit</w:t>
            </w:r>
          </w:p>
        </w:tc>
        <w:tc>
          <w:tcPr>
            <w:tcW w:w="7139" w:type="dxa"/>
            <w:vAlign w:val="center"/>
          </w:tcPr>
          <w:p w14:paraId="37DB77C6"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Në implementim/i planifikuar</w:t>
            </w:r>
          </w:p>
        </w:tc>
      </w:tr>
      <w:tr w:rsidR="005C57AD" w:rsidRPr="004A64EF" w14:paraId="75F580EC"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750D3128" w14:textId="77777777" w:rsidR="005C57AD" w:rsidRPr="004A64EF" w:rsidRDefault="005C57AD">
            <w:pPr>
              <w:spacing w:before="20" w:after="20"/>
              <w:jc w:val="left"/>
              <w:rPr>
                <w:color w:val="FFFFFF" w:themeColor="background1"/>
                <w:sz w:val="18"/>
                <w:szCs w:val="18"/>
              </w:rPr>
            </w:pPr>
            <w:r>
              <w:rPr>
                <w:color w:val="FFFFFF" w:themeColor="background1"/>
                <w:sz w:val="18"/>
              </w:rPr>
              <w:t>Efektet kuantitative</w:t>
            </w:r>
          </w:p>
        </w:tc>
        <w:tc>
          <w:tcPr>
            <w:tcW w:w="7139" w:type="dxa"/>
            <w:vAlign w:val="center"/>
          </w:tcPr>
          <w:p w14:paraId="1623C97D" w14:textId="49637CB5"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0.4 (1.4) ktoe kursime të energjisë deri në vitin 2030 (2040) në WAM krahasuar me WEM (Burimi: Llogaritjet e ekspertëve dhe modelimi)</w:t>
            </w:r>
          </w:p>
        </w:tc>
      </w:tr>
      <w:tr w:rsidR="005C57AD" w:rsidRPr="000A65E6" w14:paraId="4C795A5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65FC6A2" w14:textId="77777777" w:rsidR="005C57AD" w:rsidRPr="004A64EF" w:rsidRDefault="005C57AD">
            <w:pPr>
              <w:spacing w:before="20" w:after="20"/>
              <w:jc w:val="left"/>
              <w:rPr>
                <w:color w:val="FFFFFF" w:themeColor="background1"/>
                <w:sz w:val="18"/>
                <w:szCs w:val="18"/>
              </w:rPr>
            </w:pPr>
            <w:r>
              <w:rPr>
                <w:color w:val="FFFFFF" w:themeColor="background1"/>
                <w:sz w:val="18"/>
              </w:rPr>
              <w:t>Investimet</w:t>
            </w:r>
          </w:p>
        </w:tc>
        <w:tc>
          <w:tcPr>
            <w:tcW w:w="7139" w:type="dxa"/>
            <w:vAlign w:val="center"/>
          </w:tcPr>
          <w:p w14:paraId="03541A15" w14:textId="03E5EF8C" w:rsidR="005C57AD" w:rsidRPr="004A64EF" w:rsidRDefault="00A22319">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98 mil. euro (Burimi: Vlerësimet e ekspertëve</w:t>
            </w:r>
          </w:p>
        </w:tc>
      </w:tr>
      <w:tr w:rsidR="005C57AD" w:rsidRPr="004A64EF" w14:paraId="636FDC96"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668AA23A" w14:textId="77777777" w:rsidR="005C57AD" w:rsidRPr="004A64EF" w:rsidRDefault="005C57AD">
            <w:pPr>
              <w:spacing w:before="20" w:after="20"/>
              <w:jc w:val="left"/>
              <w:rPr>
                <w:color w:val="FFFFFF" w:themeColor="background1"/>
                <w:sz w:val="18"/>
                <w:szCs w:val="18"/>
              </w:rPr>
            </w:pPr>
            <w:r>
              <w:rPr>
                <w:color w:val="FFFFFF" w:themeColor="background1"/>
                <w:sz w:val="18"/>
              </w:rPr>
              <w:t>Institucioni përgjegjës</w:t>
            </w:r>
          </w:p>
        </w:tc>
        <w:tc>
          <w:tcPr>
            <w:tcW w:w="7139" w:type="dxa"/>
            <w:vAlign w:val="center"/>
          </w:tcPr>
          <w:p w14:paraId="6F7E82E1" w14:textId="77777777"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Infrakos/Trainkos</w:t>
            </w:r>
          </w:p>
        </w:tc>
      </w:tr>
      <w:tr w:rsidR="005C57AD" w:rsidRPr="004A64EF" w14:paraId="229BC74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56E413B" w14:textId="77777777" w:rsidR="005C57AD" w:rsidRPr="004A64EF" w:rsidRDefault="005C57AD">
            <w:pPr>
              <w:spacing w:before="20" w:after="20"/>
              <w:jc w:val="left"/>
              <w:rPr>
                <w:color w:val="FFFFFF" w:themeColor="background1"/>
                <w:sz w:val="18"/>
                <w:szCs w:val="18"/>
              </w:rPr>
            </w:pPr>
            <w:r>
              <w:rPr>
                <w:color w:val="FFFFFF" w:themeColor="background1"/>
                <w:sz w:val="18"/>
              </w:rPr>
              <w:t>Treguesit e progresit</w:t>
            </w:r>
          </w:p>
        </w:tc>
        <w:tc>
          <w:tcPr>
            <w:tcW w:w="7139" w:type="dxa"/>
            <w:vAlign w:val="center"/>
          </w:tcPr>
          <w:p w14:paraId="01C94D01" w14:textId="77777777" w:rsidR="005C57AD" w:rsidRPr="004A64EF" w:rsidRDefault="005C57AD">
            <w:pPr>
              <w:spacing w:before="20" w:after="20"/>
              <w:ind w:left="-22"/>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Konsumi i energjisë elektrike në transportin hekurudhor. Kursimet përfundimtare të energjisë (ktoe)</w:t>
            </w:r>
          </w:p>
        </w:tc>
      </w:tr>
      <w:tr w:rsidR="005C57AD" w:rsidRPr="00976D33" w14:paraId="22AF8ADF" w14:textId="77777777">
        <w:tc>
          <w:tcPr>
            <w:cnfStyle w:val="001000000000" w:firstRow="0" w:lastRow="0" w:firstColumn="1" w:lastColumn="0" w:oddVBand="0" w:evenVBand="0" w:oddHBand="0" w:evenHBand="0" w:firstRowFirstColumn="0" w:firstRowLastColumn="0" w:lastRowFirstColumn="0" w:lastRowLastColumn="0"/>
            <w:tcW w:w="2425" w:type="dxa"/>
          </w:tcPr>
          <w:p w14:paraId="4D39A7B2" w14:textId="74D521EE" w:rsidR="005C57AD" w:rsidRPr="004A64EF" w:rsidRDefault="005C57AD">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39" w:type="dxa"/>
          </w:tcPr>
          <w:p w14:paraId="37E33686" w14:textId="77777777" w:rsidR="005C57AD" w:rsidRPr="00976D33"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Dekarbonizimi, siguria energjetike</w:t>
            </w:r>
          </w:p>
        </w:tc>
      </w:tr>
    </w:tbl>
    <w:p w14:paraId="7000974F" w14:textId="77777777" w:rsidR="00FF705C" w:rsidRPr="00976D33" w:rsidRDefault="00FF705C" w:rsidP="005C57AD">
      <w:pPr>
        <w:rPr>
          <w:rFonts w:ascii="Calibri" w:hAnsi="Calibri"/>
          <w:u w:val="single"/>
        </w:rPr>
      </w:pPr>
    </w:p>
    <w:tbl>
      <w:tblPr>
        <w:tblStyle w:val="GridTable5Dark-Accent1"/>
        <w:tblW w:w="0" w:type="auto"/>
        <w:tblLook w:val="04A0" w:firstRow="1" w:lastRow="0" w:firstColumn="1" w:lastColumn="0" w:noHBand="0" w:noVBand="1"/>
      </w:tblPr>
      <w:tblGrid>
        <w:gridCol w:w="2425"/>
        <w:gridCol w:w="7139"/>
      </w:tblGrid>
      <w:tr w:rsidR="005C57AD" w:rsidRPr="004A64EF" w14:paraId="6E72FDB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2295F8B5" w14:textId="27238EF9" w:rsidR="005C57AD" w:rsidRPr="004A64EF" w:rsidRDefault="005C57AD">
            <w:pPr>
              <w:spacing w:before="20" w:after="20"/>
              <w:jc w:val="left"/>
              <w:rPr>
                <w:color w:val="FFFFFF" w:themeColor="background1"/>
                <w:sz w:val="18"/>
                <w:szCs w:val="18"/>
              </w:rPr>
            </w:pPr>
            <w:bookmarkStart w:id="270" w:name="_Ref164908637"/>
            <w:bookmarkStart w:id="271" w:name="_Toc138210180"/>
            <w:bookmarkStart w:id="272" w:name="_Toc138998481"/>
            <w:r>
              <w:rPr>
                <w:color w:val="FFFFFF" w:themeColor="background1"/>
                <w:sz w:val="18"/>
              </w:rPr>
              <w:t>PM</w:t>
            </w:r>
            <w:bookmarkEnd w:id="270"/>
            <w:r>
              <w:rPr>
                <w:color w:val="FFFFFF" w:themeColor="background1"/>
                <w:sz w:val="18"/>
              </w:rPr>
              <w:t xml:space="preserve"> 42: Rritja e pjesës së automjeteve me karburant alternativ</w:t>
            </w:r>
            <w:bookmarkEnd w:id="271"/>
            <w:bookmarkEnd w:id="272"/>
            <w:r>
              <w:rPr>
                <w:color w:val="FFFFFF" w:themeColor="background1"/>
                <w:sz w:val="18"/>
              </w:rPr>
              <w:t xml:space="preserve">  </w:t>
            </w:r>
          </w:p>
        </w:tc>
      </w:tr>
      <w:tr w:rsidR="005C57AD" w:rsidRPr="004A64EF" w14:paraId="73AEF84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4C7D0829" w14:textId="1A30BA61" w:rsidR="005C57AD" w:rsidRPr="004A64EF" w:rsidRDefault="005C57AD">
            <w:pPr>
              <w:spacing w:before="20" w:after="20"/>
              <w:jc w:val="left"/>
              <w:rPr>
                <w:b w:val="0"/>
                <w:bCs w:val="0"/>
                <w:color w:val="FFFFFF" w:themeColor="background1"/>
                <w:sz w:val="18"/>
                <w:szCs w:val="18"/>
              </w:rPr>
            </w:pPr>
            <w:r>
              <w:rPr>
                <w:color w:val="FFFFFF" w:themeColor="background1"/>
                <w:sz w:val="18"/>
              </w:rPr>
              <w:t>Përshkrimi i shkurtër dhe objektivi</w:t>
            </w:r>
            <w:r w:rsidRPr="00B23B48">
              <w:rPr>
                <w:b w:val="0"/>
                <w:bCs w:val="0"/>
                <w:color w:val="FFFFFF" w:themeColor="background1"/>
                <w:sz w:val="18"/>
              </w:rPr>
              <w:t xml:space="preserve">: Strategjia e Transportit Multimodal 2022-2030 ka bërë të njohur se promovimi i automjeteve më të pastra për të reduktuar emetimet e GS-ve është një nga shtyllat për transport më të qëndrueshëm. Është e nevojshme që transporti të bëhet më i qëndrueshëm për të arritur qëllimet e përcaktuara në Marrëveshjen e Gjelbër Evropiane, Agjendën e Gjelbër dhe Marrëveshjen e Parisit. Sipas Strategjisë së Transportit, promovimi i transportit më të pastër përfshin tri aspekte: 1. Monitorimi i emetimeve dhe prezantimi i standardeve më të rrepta të emetimeve, 2. Përcaktimi i bazës ligjore përmes miratimit të direktivës së infrastrukturës së karburanteve alternative dhe krijimit të kornizave kombëtare të politikave për ndërtimin e një rrjeti të infrastrukturës së karburanteve alternative (p.sh. stacionet e karikimit elektronik) dhe 3. Rritja e përdorimit të automjeteve me emetim zero. Qëllimi i strategjisë është që deri në vitin 2030 të rritet gradualisht pjesëmarrja e automjeteve që përdorin lëndë djegëse alternative (hibride, elektrike, hidrogjen) në 10%. Supozohet gjithashtu se automjetet me karburant alternativ do të arrijnë një pjesëmarrje prej 20% deri në vitin 2040. </w:t>
            </w:r>
            <w:r w:rsidRPr="00B23B48">
              <w:rPr>
                <w:b w:val="0"/>
                <w:bCs w:val="0"/>
                <w:color w:val="FFFFFF" w:themeColor="background1"/>
                <w:sz w:val="18"/>
              </w:rPr>
              <w:br/>
            </w:r>
            <w:r>
              <w:rPr>
                <w:b w:val="0"/>
                <w:color w:val="FFFFFF" w:themeColor="background1"/>
                <w:sz w:val="18"/>
              </w:rPr>
              <w:t xml:space="preserve">Për më tepër, si rezultat i vendosjes së stacioneve shtesë të karikimit elektronik, vlerësohet se deri në vitin 2030, 2% e veturave të pasagjerëve në Kosovë do të jenë elektrike dhe 5% hibride-benzinë, ndërsa pjesa e mbetur prej 3% do të ndahet ndërmjet PHEV-benzinë, hibride-naftë dhe vetura PHEV-naftë. </w:t>
            </w:r>
          </w:p>
        </w:tc>
      </w:tr>
      <w:tr w:rsidR="005C57AD" w:rsidRPr="004A64EF" w14:paraId="3D8FECB8"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1A772DB6" w14:textId="77777777" w:rsidR="005C57AD" w:rsidRPr="004A64EF" w:rsidRDefault="005C57AD">
            <w:pPr>
              <w:spacing w:before="20" w:after="20"/>
              <w:jc w:val="left"/>
              <w:rPr>
                <w:color w:val="FFFFFF" w:themeColor="background1"/>
                <w:sz w:val="18"/>
                <w:szCs w:val="18"/>
              </w:rPr>
            </w:pPr>
            <w:r>
              <w:rPr>
                <w:color w:val="FFFFFF" w:themeColor="background1"/>
                <w:sz w:val="18"/>
              </w:rPr>
              <w:t>Sektori/lloji</w:t>
            </w:r>
          </w:p>
        </w:tc>
        <w:tc>
          <w:tcPr>
            <w:tcW w:w="7139" w:type="dxa"/>
            <w:vAlign w:val="center"/>
          </w:tcPr>
          <w:p w14:paraId="69214CE5" w14:textId="77777777"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Energjetik/teknik</w:t>
            </w:r>
          </w:p>
        </w:tc>
      </w:tr>
      <w:tr w:rsidR="005C57AD" w:rsidRPr="004A64EF" w14:paraId="4403F4B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5792E87" w14:textId="77777777" w:rsidR="005C57AD" w:rsidRPr="004A64EF" w:rsidRDefault="005C57AD">
            <w:pPr>
              <w:spacing w:before="20" w:after="20"/>
              <w:jc w:val="left"/>
              <w:rPr>
                <w:color w:val="FFFFFF" w:themeColor="background1"/>
                <w:sz w:val="18"/>
                <w:szCs w:val="18"/>
              </w:rPr>
            </w:pPr>
            <w:r>
              <w:rPr>
                <w:color w:val="FFFFFF" w:themeColor="background1"/>
                <w:sz w:val="18"/>
              </w:rPr>
              <w:t>Statusi i implementimit</w:t>
            </w:r>
          </w:p>
        </w:tc>
        <w:tc>
          <w:tcPr>
            <w:tcW w:w="7139" w:type="dxa"/>
            <w:vAlign w:val="center"/>
          </w:tcPr>
          <w:p w14:paraId="24FAC929"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Në implementim/i planifikuar</w:t>
            </w:r>
          </w:p>
        </w:tc>
      </w:tr>
      <w:tr w:rsidR="005C57AD" w:rsidRPr="004A64EF" w14:paraId="1D8185B9"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66D12ED5" w14:textId="77777777" w:rsidR="005C57AD" w:rsidRPr="004A64EF" w:rsidRDefault="005C57AD">
            <w:pPr>
              <w:spacing w:before="20" w:after="20"/>
              <w:jc w:val="left"/>
              <w:rPr>
                <w:color w:val="FFFFFF" w:themeColor="background1"/>
                <w:sz w:val="18"/>
                <w:szCs w:val="18"/>
              </w:rPr>
            </w:pPr>
            <w:r>
              <w:rPr>
                <w:color w:val="FFFFFF" w:themeColor="background1"/>
                <w:sz w:val="18"/>
              </w:rPr>
              <w:lastRenderedPageBreak/>
              <w:t>Efektet kuantitative</w:t>
            </w:r>
          </w:p>
        </w:tc>
        <w:tc>
          <w:tcPr>
            <w:tcW w:w="7139" w:type="dxa"/>
            <w:vAlign w:val="center"/>
          </w:tcPr>
          <w:p w14:paraId="01FE8D5B" w14:textId="78ACEF95"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30 ktoe kursime të energjisë deri në vitin 2030 në WEM</w:t>
            </w:r>
            <w:r w:rsidRPr="004A64EF">
              <w:rPr>
                <w:rStyle w:val="FootnoteReference"/>
                <w:sz w:val="18"/>
                <w:szCs w:val="18"/>
              </w:rPr>
              <w:footnoteReference w:id="18"/>
            </w:r>
            <w:r>
              <w:rPr>
                <w:sz w:val="18"/>
              </w:rPr>
              <w:t>, 0,4 ktoe shtesë deri në vitin 2030 në WAM (Burimi: Llogaritjet e ekspertëve dhe modelimi)</w:t>
            </w:r>
          </w:p>
        </w:tc>
      </w:tr>
      <w:tr w:rsidR="005C57AD" w:rsidRPr="004A64EF" w14:paraId="2F287F0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CF3BD64" w14:textId="77777777" w:rsidR="005C57AD" w:rsidRPr="004A64EF" w:rsidRDefault="005C57AD">
            <w:pPr>
              <w:spacing w:before="20" w:after="20"/>
              <w:jc w:val="left"/>
              <w:rPr>
                <w:color w:val="FFFFFF" w:themeColor="background1"/>
                <w:sz w:val="18"/>
                <w:szCs w:val="18"/>
              </w:rPr>
            </w:pPr>
            <w:r>
              <w:rPr>
                <w:color w:val="FFFFFF" w:themeColor="background1"/>
                <w:sz w:val="18"/>
              </w:rPr>
              <w:t>Investimet</w:t>
            </w:r>
          </w:p>
        </w:tc>
        <w:tc>
          <w:tcPr>
            <w:tcW w:w="7139" w:type="dxa"/>
            <w:vAlign w:val="center"/>
          </w:tcPr>
          <w:p w14:paraId="7DB54BC3" w14:textId="06AF367B" w:rsidR="005C57AD" w:rsidRPr="004A64EF" w:rsidRDefault="00D00838">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Rreth 69.9 mil. euro do të nevojiteshin për një subvencion prej 10% (Burimi: Vlerësimet e ekspertëve) </w:t>
            </w:r>
          </w:p>
        </w:tc>
      </w:tr>
      <w:tr w:rsidR="005C57AD" w:rsidRPr="004A64EF" w14:paraId="078A4EAD"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3F9D63A4" w14:textId="77777777" w:rsidR="005C57AD" w:rsidRPr="004A64EF" w:rsidRDefault="005C57AD">
            <w:pPr>
              <w:spacing w:before="20" w:after="20"/>
              <w:jc w:val="left"/>
              <w:rPr>
                <w:color w:val="FFFFFF" w:themeColor="background1"/>
                <w:sz w:val="18"/>
                <w:szCs w:val="18"/>
              </w:rPr>
            </w:pPr>
            <w:r>
              <w:rPr>
                <w:color w:val="FFFFFF" w:themeColor="background1"/>
                <w:sz w:val="18"/>
              </w:rPr>
              <w:t>Institucioni përgjegjës</w:t>
            </w:r>
          </w:p>
        </w:tc>
        <w:tc>
          <w:tcPr>
            <w:tcW w:w="7139" w:type="dxa"/>
            <w:vAlign w:val="center"/>
          </w:tcPr>
          <w:p w14:paraId="14046458" w14:textId="211718E2"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Investitorët privatë, MMPHI</w:t>
            </w:r>
          </w:p>
        </w:tc>
      </w:tr>
      <w:tr w:rsidR="005C57AD" w:rsidRPr="004A64EF" w14:paraId="00907FB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FF8F9FE" w14:textId="77777777" w:rsidR="005C57AD" w:rsidRPr="004A64EF" w:rsidRDefault="005C57AD">
            <w:pPr>
              <w:spacing w:before="20" w:after="20"/>
              <w:jc w:val="left"/>
              <w:rPr>
                <w:color w:val="FFFFFF" w:themeColor="background1"/>
                <w:sz w:val="18"/>
                <w:szCs w:val="18"/>
              </w:rPr>
            </w:pPr>
            <w:r>
              <w:rPr>
                <w:color w:val="FFFFFF" w:themeColor="background1"/>
                <w:sz w:val="18"/>
              </w:rPr>
              <w:t>Treguesit e progresit</w:t>
            </w:r>
          </w:p>
        </w:tc>
        <w:tc>
          <w:tcPr>
            <w:tcW w:w="7139" w:type="dxa"/>
            <w:vAlign w:val="center"/>
          </w:tcPr>
          <w:p w14:paraId="6D9B797C" w14:textId="77777777" w:rsidR="005C57AD" w:rsidRPr="004A64EF" w:rsidRDefault="005C57AD">
            <w:pPr>
              <w:spacing w:before="20" w:after="20"/>
              <w:ind w:left="-22"/>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Kursimet përfundimtare të energjisë (ktoe); kursimet primare të energjisë (ktoe)</w:t>
            </w:r>
          </w:p>
        </w:tc>
      </w:tr>
      <w:tr w:rsidR="005C57AD" w:rsidRPr="00976D33" w14:paraId="4346A181" w14:textId="77777777">
        <w:tc>
          <w:tcPr>
            <w:cnfStyle w:val="001000000000" w:firstRow="0" w:lastRow="0" w:firstColumn="1" w:lastColumn="0" w:oddVBand="0" w:evenVBand="0" w:oddHBand="0" w:evenHBand="0" w:firstRowFirstColumn="0" w:firstRowLastColumn="0" w:lastRowFirstColumn="0" w:lastRowLastColumn="0"/>
            <w:tcW w:w="2425" w:type="dxa"/>
          </w:tcPr>
          <w:p w14:paraId="427F3D4F" w14:textId="68CF75FC" w:rsidR="005C57AD" w:rsidRPr="004A64EF" w:rsidRDefault="005C57AD">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39" w:type="dxa"/>
          </w:tcPr>
          <w:p w14:paraId="265FC649" w14:textId="77777777" w:rsidR="005C57AD" w:rsidRPr="00976D33"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Dekarbonizimi, siguria energjetike, hulumtimi, inovacioni dhe konkurrueshmëria</w:t>
            </w:r>
          </w:p>
        </w:tc>
      </w:tr>
    </w:tbl>
    <w:p w14:paraId="07AEBA8B" w14:textId="77777777" w:rsidR="005C57AD" w:rsidRPr="00976D33" w:rsidRDefault="005C57AD" w:rsidP="005C57AD">
      <w:pPr>
        <w:rPr>
          <w:rFonts w:ascii="Calibri" w:hAnsi="Calibri"/>
          <w:u w:val="single"/>
        </w:rPr>
      </w:pPr>
    </w:p>
    <w:tbl>
      <w:tblPr>
        <w:tblStyle w:val="GridTable5Dark-Accent1"/>
        <w:tblW w:w="0" w:type="auto"/>
        <w:tblLook w:val="04A0" w:firstRow="1" w:lastRow="0" w:firstColumn="1" w:lastColumn="0" w:noHBand="0" w:noVBand="1"/>
      </w:tblPr>
      <w:tblGrid>
        <w:gridCol w:w="2425"/>
        <w:gridCol w:w="7139"/>
      </w:tblGrid>
      <w:tr w:rsidR="005C57AD" w:rsidRPr="00976D33" w14:paraId="3C7F278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55371074" w14:textId="6BC45BBC" w:rsidR="005C57AD" w:rsidRPr="00976D33" w:rsidRDefault="005C57AD">
            <w:pPr>
              <w:spacing w:before="20" w:after="20"/>
              <w:jc w:val="left"/>
              <w:rPr>
                <w:color w:val="FFFFFF" w:themeColor="background1"/>
                <w:sz w:val="18"/>
                <w:szCs w:val="18"/>
              </w:rPr>
            </w:pPr>
            <w:bookmarkStart w:id="273" w:name="_Toc71247198"/>
            <w:bookmarkStart w:id="274" w:name="_Toc138210181"/>
            <w:bookmarkStart w:id="275" w:name="_Toc138998482"/>
            <w:bookmarkEnd w:id="262"/>
            <w:r>
              <w:rPr>
                <w:color w:val="FFFFFF" w:themeColor="background1"/>
                <w:sz w:val="18"/>
              </w:rPr>
              <w:t xml:space="preserve">PM 43: </w:t>
            </w:r>
            <w:bookmarkEnd w:id="273"/>
            <w:r>
              <w:rPr>
                <w:color w:val="FFFFFF" w:themeColor="background1"/>
                <w:sz w:val="18"/>
              </w:rPr>
              <w:t>Ndryshimi i flotës së automjeteve</w:t>
            </w:r>
            <w:bookmarkEnd w:id="274"/>
            <w:r>
              <w:rPr>
                <w:color w:val="FFFFFF" w:themeColor="background1"/>
                <w:sz w:val="18"/>
              </w:rPr>
              <w:t xml:space="preserve"> </w:t>
            </w:r>
            <w:bookmarkEnd w:id="275"/>
          </w:p>
        </w:tc>
      </w:tr>
      <w:tr w:rsidR="005C57AD" w:rsidRPr="00976D33" w14:paraId="0CA9D7B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751D3E43" w14:textId="77777777" w:rsidR="005C57AD" w:rsidRPr="00976D33" w:rsidRDefault="005C57AD">
            <w:pPr>
              <w:spacing w:before="20" w:after="20"/>
              <w:jc w:val="left"/>
              <w:rPr>
                <w:b w:val="0"/>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Ka disa arsye pse automjetet e reja janë më të mira se ato të vjetra dhe një nga më të rëndësishmet për këtë dokument është efiçienca e tyre. Arsyet e tjera janë siguria, besueshmëria, performanca dhe teknologjitë e reja të disponueshme në treg. Numri i automjeteve në Kosovë është rritur në dhjetë vitet e fundit (2012-2022) me një rritje mesatare vjetore prej rreth 9.5%</w:t>
            </w:r>
            <w:r w:rsidRPr="00976D33">
              <w:rPr>
                <w:rStyle w:val="FootnoteReference"/>
                <w:b w:val="0"/>
                <w:color w:val="FFFFFF" w:themeColor="background1"/>
                <w:sz w:val="18"/>
                <w:szCs w:val="18"/>
              </w:rPr>
              <w:footnoteReference w:id="19"/>
            </w:r>
            <w:r>
              <w:rPr>
                <w:b w:val="0"/>
                <w:color w:val="FFFFFF" w:themeColor="background1"/>
                <w:sz w:val="18"/>
              </w:rPr>
              <w:t xml:space="preserve">, kështu që kjo është një mundësi e shkëlqyer për shtetin që të lejojë importin e sa më shumë automjeteve të reja që të jetë e mundur. </w:t>
            </w:r>
          </w:p>
          <w:p w14:paraId="7DEA7BB5" w14:textId="77777777" w:rsidR="005C57AD" w:rsidRPr="00976D33" w:rsidRDefault="005C57AD">
            <w:pPr>
              <w:spacing w:before="20" w:after="20"/>
              <w:jc w:val="left"/>
              <w:rPr>
                <w:b w:val="0"/>
                <w:color w:val="FFFFFF" w:themeColor="background1"/>
                <w:sz w:val="18"/>
                <w:szCs w:val="18"/>
              </w:rPr>
            </w:pPr>
            <w:r>
              <w:rPr>
                <w:b w:val="0"/>
                <w:color w:val="FFFFFF" w:themeColor="background1"/>
                <w:sz w:val="18"/>
              </w:rPr>
              <w:t xml:space="preserve">Ligji i miratuar për Automjete Nr. 05/L-032 ndalon importin e veturave më të vjetra se dhjetë vjet dhe veturave që nuk plotësojnë standardin Euro 4. </w:t>
            </w:r>
          </w:p>
          <w:p w14:paraId="2798DA33" w14:textId="06111FCE" w:rsidR="005C57AD" w:rsidRPr="00976D33" w:rsidRDefault="005C57AD">
            <w:pPr>
              <w:spacing w:before="20" w:after="20"/>
              <w:jc w:val="left"/>
              <w:rPr>
                <w:b w:val="0"/>
                <w:color w:val="FFFFFF" w:themeColor="background1"/>
                <w:sz w:val="18"/>
                <w:szCs w:val="18"/>
              </w:rPr>
            </w:pPr>
            <w:r>
              <w:rPr>
                <w:color w:val="FFFFFF" w:themeColor="background1"/>
                <w:sz w:val="18"/>
              </w:rPr>
              <w:t>Megjithatë, duke marrë parasysh ndikimin e sektorit të transportit në konsumin final të energjisë dhe emetimin e GS-ve, do të bëhet një analizë për ndryshimin e Ligjit për Automjete për të ndaluar importin e veturave më të vjetra se tetë vjet.</w:t>
            </w:r>
            <w:r>
              <w:rPr>
                <w:b w:val="0"/>
                <w:color w:val="FFFFFF" w:themeColor="background1"/>
                <w:sz w:val="18"/>
              </w:rPr>
              <w:t xml:space="preserve">  </w:t>
            </w:r>
          </w:p>
          <w:p w14:paraId="2DF78B5A" w14:textId="77777777" w:rsidR="005C57AD" w:rsidRPr="00976D33" w:rsidRDefault="005C57AD">
            <w:pPr>
              <w:spacing w:before="20" w:after="20"/>
              <w:jc w:val="left"/>
              <w:rPr>
                <w:b w:val="0"/>
                <w:bCs w:val="0"/>
                <w:color w:val="FFFFFF" w:themeColor="background1"/>
                <w:sz w:val="18"/>
                <w:szCs w:val="18"/>
              </w:rPr>
            </w:pPr>
            <w:r>
              <w:rPr>
                <w:b w:val="0"/>
                <w:color w:val="FFFFFF" w:themeColor="background1"/>
                <w:sz w:val="18"/>
              </w:rPr>
              <w:t>Strategjia e Transportit Multimodal 2023-2030 parashikonte gjithashtu rritjen e përqindjes së kamionëve EURO V ose më të larta për automjetet e lehta komerciale, automjetet e rënda (N2 dhe N3) dhe autobusët (M2 dhe M3). Një shembull i mirë janë 24 autobusët e rinj për transportin publik (EURO VI), të siguruar me mbështetjen e BERZH-it.</w:t>
            </w:r>
            <w:r>
              <w:rPr>
                <w:b w:val="0"/>
                <w:color w:val="FFFFFF" w:themeColor="background1"/>
                <w:sz w:val="18"/>
              </w:rPr>
              <w:br/>
              <w:t xml:space="preserve">Një tjetër analizë e mundshme është eksplorimi i mundësisë së subvencionimit të përdorimit të automjeteve që përdorin lëndë djegëse alternative. </w:t>
            </w:r>
          </w:p>
        </w:tc>
      </w:tr>
      <w:tr w:rsidR="005C57AD" w:rsidRPr="00976D33" w14:paraId="0FE1854F"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6AC516B0" w14:textId="77777777" w:rsidR="005C57AD" w:rsidRPr="00976D33" w:rsidRDefault="005C57AD">
            <w:pPr>
              <w:spacing w:before="20" w:after="20"/>
              <w:jc w:val="left"/>
              <w:rPr>
                <w:rFonts w:cs="Arial"/>
                <w:color w:val="FFFFFF" w:themeColor="background1"/>
                <w:sz w:val="18"/>
                <w:szCs w:val="18"/>
              </w:rPr>
            </w:pPr>
            <w:r>
              <w:rPr>
                <w:color w:val="FFFFFF" w:themeColor="background1"/>
                <w:sz w:val="18"/>
              </w:rPr>
              <w:t>Sektori/lloji</w:t>
            </w:r>
          </w:p>
        </w:tc>
        <w:tc>
          <w:tcPr>
            <w:tcW w:w="7139" w:type="dxa"/>
            <w:vAlign w:val="center"/>
          </w:tcPr>
          <w:p w14:paraId="26045945" w14:textId="77777777" w:rsidR="005C57AD" w:rsidRPr="00976D33"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rPr>
              <w:t>Energjetik/teknik</w:t>
            </w:r>
          </w:p>
        </w:tc>
      </w:tr>
      <w:tr w:rsidR="005C57AD" w:rsidRPr="00976D33" w14:paraId="7A0797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9C3E7FD" w14:textId="77777777" w:rsidR="005C57AD" w:rsidRPr="00976D33" w:rsidRDefault="005C57AD">
            <w:pPr>
              <w:spacing w:before="20" w:after="20"/>
              <w:jc w:val="left"/>
              <w:rPr>
                <w:rFonts w:cs="Arial"/>
                <w:color w:val="FFFFFF" w:themeColor="background1"/>
                <w:sz w:val="18"/>
                <w:szCs w:val="18"/>
              </w:rPr>
            </w:pPr>
            <w:r>
              <w:rPr>
                <w:color w:val="FFFFFF" w:themeColor="background1"/>
                <w:sz w:val="18"/>
              </w:rPr>
              <w:t>Statusi i implementimit</w:t>
            </w:r>
          </w:p>
        </w:tc>
        <w:tc>
          <w:tcPr>
            <w:tcW w:w="7139" w:type="dxa"/>
            <w:vAlign w:val="center"/>
          </w:tcPr>
          <w:p w14:paraId="4BA7A8E8" w14:textId="77777777" w:rsidR="005C57AD" w:rsidRPr="00976D33"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rPr>
              <w:t xml:space="preserve">Në zbatim </w:t>
            </w:r>
          </w:p>
        </w:tc>
      </w:tr>
      <w:tr w:rsidR="005C57AD" w:rsidRPr="00976D33" w14:paraId="0E8A7A8A"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104C3E28" w14:textId="77777777" w:rsidR="005C57AD" w:rsidRPr="00976D33" w:rsidRDefault="005C57AD">
            <w:pPr>
              <w:spacing w:before="20" w:after="20"/>
              <w:jc w:val="left"/>
              <w:rPr>
                <w:rFonts w:cs="Arial"/>
                <w:color w:val="FFFFFF" w:themeColor="background1"/>
                <w:sz w:val="18"/>
                <w:szCs w:val="18"/>
              </w:rPr>
            </w:pPr>
            <w:r>
              <w:rPr>
                <w:color w:val="FFFFFF" w:themeColor="background1"/>
                <w:sz w:val="18"/>
              </w:rPr>
              <w:t>Efektet kuantitative</w:t>
            </w:r>
          </w:p>
        </w:tc>
        <w:tc>
          <w:tcPr>
            <w:tcW w:w="7139" w:type="dxa"/>
            <w:vAlign w:val="center"/>
          </w:tcPr>
          <w:p w14:paraId="57F9359C" w14:textId="2CACEDB7" w:rsidR="005C57AD" w:rsidRPr="00976D33"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rPr>
              <w:t>n/a</w:t>
            </w:r>
          </w:p>
        </w:tc>
      </w:tr>
      <w:tr w:rsidR="005C57AD" w:rsidRPr="00976D33" w14:paraId="1578EA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718BC3F1" w14:textId="77777777" w:rsidR="005C57AD" w:rsidRPr="00976D33" w:rsidRDefault="005C57AD">
            <w:pPr>
              <w:spacing w:before="20" w:after="20"/>
              <w:jc w:val="left"/>
              <w:rPr>
                <w:rFonts w:cs="Arial"/>
                <w:color w:val="FFFFFF" w:themeColor="background1"/>
                <w:sz w:val="18"/>
                <w:szCs w:val="18"/>
              </w:rPr>
            </w:pPr>
            <w:r>
              <w:rPr>
                <w:color w:val="FFFFFF" w:themeColor="background1"/>
                <w:sz w:val="18"/>
              </w:rPr>
              <w:t>Investimet</w:t>
            </w:r>
          </w:p>
        </w:tc>
        <w:tc>
          <w:tcPr>
            <w:tcW w:w="7139" w:type="dxa"/>
            <w:vAlign w:val="center"/>
          </w:tcPr>
          <w:p w14:paraId="19E8DD27" w14:textId="625FB459" w:rsidR="005C57AD" w:rsidRPr="00976D33"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rPr>
              <w:t>Në pritje të planit të veprimit të Strategjisë së Transportit Multimodal</w:t>
            </w:r>
          </w:p>
        </w:tc>
      </w:tr>
      <w:tr w:rsidR="005C57AD" w:rsidRPr="00976D33" w14:paraId="6AB4C607"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5AC9E9D9" w14:textId="77777777" w:rsidR="005C57AD" w:rsidRPr="00976D33" w:rsidRDefault="005C57AD">
            <w:pPr>
              <w:spacing w:before="20" w:after="20"/>
              <w:jc w:val="left"/>
              <w:rPr>
                <w:rFonts w:cs="Arial"/>
                <w:color w:val="FFFFFF" w:themeColor="background1"/>
                <w:sz w:val="18"/>
                <w:szCs w:val="18"/>
              </w:rPr>
            </w:pPr>
            <w:r>
              <w:rPr>
                <w:color w:val="FFFFFF" w:themeColor="background1"/>
                <w:sz w:val="18"/>
              </w:rPr>
              <w:t>Institucioni përgjegjës</w:t>
            </w:r>
          </w:p>
        </w:tc>
        <w:tc>
          <w:tcPr>
            <w:tcW w:w="7139" w:type="dxa"/>
            <w:vAlign w:val="center"/>
          </w:tcPr>
          <w:p w14:paraId="0F1D1B80" w14:textId="77777777" w:rsidR="005C57AD" w:rsidRPr="00976D33"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rPr>
              <w:t>MMPHI, Infrakos, investitorët privatë</w:t>
            </w:r>
          </w:p>
        </w:tc>
      </w:tr>
      <w:tr w:rsidR="005C57AD" w:rsidRPr="00976D33" w14:paraId="4ACA097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341DF427" w14:textId="77777777" w:rsidR="005C57AD" w:rsidRPr="00976D33" w:rsidRDefault="005C57AD">
            <w:pPr>
              <w:spacing w:before="20" w:after="20"/>
              <w:jc w:val="left"/>
              <w:rPr>
                <w:rFonts w:cs="Arial"/>
                <w:color w:val="FFFFFF" w:themeColor="background1"/>
                <w:sz w:val="18"/>
                <w:szCs w:val="18"/>
              </w:rPr>
            </w:pPr>
            <w:r>
              <w:rPr>
                <w:color w:val="FFFFFF" w:themeColor="background1"/>
                <w:sz w:val="18"/>
              </w:rPr>
              <w:t>Treguesit e progresit</w:t>
            </w:r>
          </w:p>
        </w:tc>
        <w:tc>
          <w:tcPr>
            <w:tcW w:w="7139" w:type="dxa"/>
            <w:vAlign w:val="center"/>
          </w:tcPr>
          <w:p w14:paraId="7C2C4E70" w14:textId="23DDAC25" w:rsidR="005C57AD" w:rsidRPr="00976D33" w:rsidRDefault="005C57AD">
            <w:pPr>
              <w:spacing w:before="20" w:after="20"/>
              <w:ind w:left="-22"/>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rPr>
              <w:t>Numri i pasagjerëve; numri i tonëve; energjia përfundimtare e kursyer (ktoe)</w:t>
            </w:r>
          </w:p>
        </w:tc>
      </w:tr>
      <w:tr w:rsidR="005C57AD" w:rsidRPr="00976D33" w14:paraId="1932C5F5" w14:textId="77777777">
        <w:tc>
          <w:tcPr>
            <w:cnfStyle w:val="001000000000" w:firstRow="0" w:lastRow="0" w:firstColumn="1" w:lastColumn="0" w:oddVBand="0" w:evenVBand="0" w:oddHBand="0" w:evenHBand="0" w:firstRowFirstColumn="0" w:firstRowLastColumn="0" w:lastRowFirstColumn="0" w:lastRowLastColumn="0"/>
            <w:tcW w:w="2425" w:type="dxa"/>
          </w:tcPr>
          <w:p w14:paraId="43D9C790" w14:textId="3F45FA28" w:rsidR="005C57AD" w:rsidRPr="00976D33" w:rsidRDefault="005C57AD">
            <w:pPr>
              <w:spacing w:before="20" w:after="20"/>
              <w:jc w:val="left"/>
              <w:rPr>
                <w:color w:val="FFFFFF" w:themeColor="background1"/>
                <w:sz w:val="18"/>
                <w:szCs w:val="18"/>
              </w:rPr>
            </w:pPr>
            <w:bookmarkStart w:id="276" w:name="_Toc71271821"/>
            <w:r>
              <w:rPr>
                <w:color w:val="FFFFFF" w:themeColor="background1"/>
                <w:sz w:val="18"/>
              </w:rPr>
              <w:t>Lidhja me dimension</w:t>
            </w:r>
            <w:r w:rsidR="0037748E">
              <w:rPr>
                <w:color w:val="FFFFFF" w:themeColor="background1"/>
                <w:sz w:val="18"/>
              </w:rPr>
              <w:t>et e tjera</w:t>
            </w:r>
          </w:p>
        </w:tc>
        <w:tc>
          <w:tcPr>
            <w:tcW w:w="7139" w:type="dxa"/>
          </w:tcPr>
          <w:p w14:paraId="14C9B509" w14:textId="77777777" w:rsidR="005C57AD" w:rsidRPr="00976D33"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Dekarbonizimi, siguria energjetike</w:t>
            </w:r>
          </w:p>
        </w:tc>
      </w:tr>
    </w:tbl>
    <w:p w14:paraId="241008ED" w14:textId="77777777" w:rsidR="003F770F" w:rsidRPr="00976D33" w:rsidRDefault="003F770F" w:rsidP="005C57AD"/>
    <w:tbl>
      <w:tblPr>
        <w:tblStyle w:val="GridTable5Dark-Accent1"/>
        <w:tblW w:w="0" w:type="auto"/>
        <w:tblLook w:val="04A0" w:firstRow="1" w:lastRow="0" w:firstColumn="1" w:lastColumn="0" w:noHBand="0" w:noVBand="1"/>
      </w:tblPr>
      <w:tblGrid>
        <w:gridCol w:w="2425"/>
        <w:gridCol w:w="7139"/>
      </w:tblGrid>
      <w:tr w:rsidR="005C57AD" w:rsidRPr="004A64EF" w14:paraId="719EA24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3654E33E" w14:textId="0B3D1A30" w:rsidR="005C57AD" w:rsidRPr="004A64EF" w:rsidRDefault="005C57AD">
            <w:pPr>
              <w:spacing w:before="20" w:after="20"/>
              <w:jc w:val="left"/>
              <w:rPr>
                <w:color w:val="FFFFFF" w:themeColor="background1"/>
                <w:sz w:val="18"/>
                <w:szCs w:val="18"/>
              </w:rPr>
            </w:pPr>
            <w:bookmarkStart w:id="277" w:name="_Toc138210182"/>
            <w:bookmarkStart w:id="278" w:name="_Toc138998483"/>
            <w:r>
              <w:rPr>
                <w:color w:val="FFFFFF" w:themeColor="background1"/>
                <w:sz w:val="18"/>
              </w:rPr>
              <w:t xml:space="preserve">PM 44: </w:t>
            </w:r>
            <w:bookmarkEnd w:id="277"/>
            <w:r>
              <w:rPr>
                <w:color w:val="FFFFFF" w:themeColor="background1"/>
                <w:sz w:val="18"/>
              </w:rPr>
              <w:t>Zhvendosja modale për udhëtime në distanca të shkurtra</w:t>
            </w:r>
            <w:bookmarkEnd w:id="278"/>
          </w:p>
        </w:tc>
      </w:tr>
      <w:tr w:rsidR="005C57AD" w:rsidRPr="004A64EF" w14:paraId="10C07EE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6DC3848E" w14:textId="77777777" w:rsidR="005C57AD" w:rsidRPr="004A64EF" w:rsidRDefault="005C57AD">
            <w:pPr>
              <w:spacing w:before="20" w:after="20"/>
              <w:jc w:val="left"/>
              <w:rPr>
                <w:rFonts w:cstheme="minorHAnsi"/>
                <w:b w:val="0"/>
                <w:bCs w:val="0"/>
                <w:color w:val="FFFFFF" w:themeColor="background1"/>
                <w:sz w:val="18"/>
                <w:szCs w:val="18"/>
              </w:rPr>
            </w:pPr>
            <w:r>
              <w:rPr>
                <w:color w:val="FFFFFF" w:themeColor="background1"/>
                <w:sz w:val="18"/>
              </w:rPr>
              <w:t>Përshkrimi i shkurtër dhe objektivi</w:t>
            </w:r>
            <w:r>
              <w:rPr>
                <w:b w:val="0"/>
                <w:color w:val="FFFFFF" w:themeColor="background1"/>
                <w:sz w:val="18"/>
              </w:rPr>
              <w:t>: Duke zëvendësuar automjete më pak efiçiente, përdorimi i biçikletave dhe skuterëve elektrikë për distanca të shkurtra mund të zvogëlojë konsumin final të energjisë në sektorin e transportit</w:t>
            </w:r>
            <w:r>
              <w:rPr>
                <w:color w:val="FFFFFF" w:themeColor="background1"/>
                <w:sz w:val="18"/>
              </w:rPr>
              <w:t>.</w:t>
            </w:r>
          </w:p>
          <w:p w14:paraId="00C13FFD" w14:textId="77777777" w:rsidR="005C57AD" w:rsidRPr="004A64EF" w:rsidRDefault="005C57AD">
            <w:pPr>
              <w:spacing w:before="20" w:after="20"/>
              <w:jc w:val="left"/>
              <w:rPr>
                <w:b w:val="0"/>
                <w:bCs w:val="0"/>
                <w:color w:val="FFFFFF" w:themeColor="background1"/>
                <w:sz w:val="18"/>
                <w:szCs w:val="18"/>
              </w:rPr>
            </w:pPr>
            <w:r>
              <w:rPr>
                <w:b w:val="0"/>
                <w:color w:val="FFFFFF" w:themeColor="background1"/>
                <w:sz w:val="18"/>
              </w:rPr>
              <w:t>Kjo masë mund të përfshijë veprime të ndryshme që do të inkurajonin lëvizshmërinë e përshtatshme ndaj mjedisit, siç janë ndërtimi i korsive për biçikleta, zhvillimi i zonave të gjera dhe të ndriçuara mirë të këmbësorëve dhe korsive të çiklizmit, zgjerimi i trotuareve dhe largimi i pengesave nga trotuaret.</w:t>
            </w:r>
          </w:p>
        </w:tc>
      </w:tr>
      <w:tr w:rsidR="005C57AD" w:rsidRPr="004A64EF" w14:paraId="43990DAA"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43D0AA39" w14:textId="77777777" w:rsidR="005C57AD" w:rsidRPr="004A64EF" w:rsidRDefault="005C57AD">
            <w:pPr>
              <w:spacing w:before="20" w:after="20"/>
              <w:jc w:val="left"/>
              <w:rPr>
                <w:color w:val="FFFFFF" w:themeColor="background1"/>
                <w:sz w:val="18"/>
                <w:szCs w:val="18"/>
              </w:rPr>
            </w:pPr>
            <w:r>
              <w:rPr>
                <w:color w:val="FFFFFF" w:themeColor="background1"/>
                <w:sz w:val="18"/>
              </w:rPr>
              <w:t>Sektori/lloji</w:t>
            </w:r>
          </w:p>
        </w:tc>
        <w:tc>
          <w:tcPr>
            <w:tcW w:w="7139" w:type="dxa"/>
            <w:vAlign w:val="center"/>
          </w:tcPr>
          <w:p w14:paraId="371F374B" w14:textId="77777777"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Energjetik/teknik</w:t>
            </w:r>
          </w:p>
        </w:tc>
      </w:tr>
      <w:tr w:rsidR="005C57AD" w:rsidRPr="004A64EF" w14:paraId="6BD74A1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1AE0F4B" w14:textId="77777777" w:rsidR="005C57AD" w:rsidRPr="004A64EF" w:rsidRDefault="005C57AD">
            <w:pPr>
              <w:spacing w:before="20" w:after="20"/>
              <w:jc w:val="left"/>
              <w:rPr>
                <w:color w:val="FFFFFF" w:themeColor="background1"/>
                <w:sz w:val="18"/>
                <w:szCs w:val="18"/>
              </w:rPr>
            </w:pPr>
            <w:r>
              <w:rPr>
                <w:color w:val="FFFFFF" w:themeColor="background1"/>
                <w:sz w:val="18"/>
              </w:rPr>
              <w:t>Statusi i implementimit</w:t>
            </w:r>
          </w:p>
        </w:tc>
        <w:tc>
          <w:tcPr>
            <w:tcW w:w="7139" w:type="dxa"/>
            <w:vAlign w:val="center"/>
          </w:tcPr>
          <w:p w14:paraId="6D8D9698"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Planifikuar</w:t>
            </w:r>
          </w:p>
        </w:tc>
      </w:tr>
      <w:tr w:rsidR="005C57AD" w:rsidRPr="004A64EF" w14:paraId="2266AD0B"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3D4149F7" w14:textId="77777777" w:rsidR="005C57AD" w:rsidRPr="004A64EF" w:rsidRDefault="005C57AD">
            <w:pPr>
              <w:spacing w:before="20" w:after="20"/>
              <w:jc w:val="left"/>
              <w:rPr>
                <w:color w:val="FFFFFF" w:themeColor="background1"/>
                <w:sz w:val="18"/>
                <w:szCs w:val="18"/>
              </w:rPr>
            </w:pPr>
            <w:r>
              <w:rPr>
                <w:color w:val="FFFFFF" w:themeColor="background1"/>
                <w:sz w:val="18"/>
              </w:rPr>
              <w:t>Efektet kuantitative</w:t>
            </w:r>
          </w:p>
        </w:tc>
        <w:tc>
          <w:tcPr>
            <w:tcW w:w="7139" w:type="dxa"/>
            <w:vAlign w:val="center"/>
          </w:tcPr>
          <w:p w14:paraId="0CBF4FD7" w14:textId="270DB79F"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7 ktoe kursime përfundimtare të energjisë deri në vitin 2030 (WAM) Burimi: Vlerësimet e ekspertëve</w:t>
            </w:r>
          </w:p>
        </w:tc>
      </w:tr>
      <w:tr w:rsidR="005C57AD" w:rsidRPr="004A64EF" w14:paraId="5B6A33A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80952D7" w14:textId="77777777" w:rsidR="005C57AD" w:rsidRPr="004A64EF" w:rsidRDefault="005C57AD">
            <w:pPr>
              <w:spacing w:before="20" w:after="20"/>
              <w:jc w:val="left"/>
              <w:rPr>
                <w:color w:val="FFFFFF" w:themeColor="background1"/>
                <w:sz w:val="18"/>
                <w:szCs w:val="18"/>
              </w:rPr>
            </w:pPr>
            <w:r>
              <w:rPr>
                <w:color w:val="FFFFFF" w:themeColor="background1"/>
                <w:sz w:val="18"/>
              </w:rPr>
              <w:t>Investimet</w:t>
            </w:r>
          </w:p>
        </w:tc>
        <w:tc>
          <w:tcPr>
            <w:tcW w:w="7139" w:type="dxa"/>
            <w:vAlign w:val="center"/>
          </w:tcPr>
          <w:p w14:paraId="489280DA"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sz w:val="18"/>
              </w:rPr>
              <w:t>~1 mil. euro (varësisht nga gjatësia)</w:t>
            </w:r>
          </w:p>
          <w:p w14:paraId="78BBE5C2" w14:textId="6F22C32D" w:rsidR="005C57AD" w:rsidRPr="004A64EF" w:rsidRDefault="00996CFC">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Burimi: Vlerësimet e ekspertëve</w:t>
            </w:r>
          </w:p>
        </w:tc>
      </w:tr>
      <w:tr w:rsidR="005C57AD" w:rsidRPr="004A64EF" w14:paraId="4105DC7F"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144C17A3" w14:textId="77777777" w:rsidR="005C57AD" w:rsidRPr="004A64EF" w:rsidRDefault="005C57AD">
            <w:pPr>
              <w:spacing w:before="20" w:after="20"/>
              <w:jc w:val="left"/>
              <w:rPr>
                <w:color w:val="FFFFFF" w:themeColor="background1"/>
                <w:sz w:val="18"/>
                <w:szCs w:val="18"/>
              </w:rPr>
            </w:pPr>
            <w:r>
              <w:rPr>
                <w:color w:val="FFFFFF" w:themeColor="background1"/>
                <w:sz w:val="18"/>
              </w:rPr>
              <w:t>Institucioni përgjegjës</w:t>
            </w:r>
          </w:p>
        </w:tc>
        <w:tc>
          <w:tcPr>
            <w:tcW w:w="7139" w:type="dxa"/>
            <w:vAlign w:val="center"/>
          </w:tcPr>
          <w:p w14:paraId="463381C2" w14:textId="77777777"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MMPHI dhe komunat</w:t>
            </w:r>
          </w:p>
        </w:tc>
      </w:tr>
      <w:tr w:rsidR="005C57AD" w:rsidRPr="004A64EF" w14:paraId="26A4A61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18E8D8FE" w14:textId="77777777" w:rsidR="005C57AD" w:rsidRPr="004A64EF" w:rsidRDefault="005C57AD">
            <w:pPr>
              <w:spacing w:before="20" w:after="20"/>
              <w:jc w:val="left"/>
              <w:rPr>
                <w:color w:val="FFFFFF" w:themeColor="background1"/>
                <w:sz w:val="18"/>
                <w:szCs w:val="18"/>
              </w:rPr>
            </w:pPr>
            <w:r>
              <w:rPr>
                <w:color w:val="FFFFFF" w:themeColor="background1"/>
                <w:sz w:val="18"/>
              </w:rPr>
              <w:t>Treguesit e progresit</w:t>
            </w:r>
          </w:p>
        </w:tc>
        <w:tc>
          <w:tcPr>
            <w:tcW w:w="7139" w:type="dxa"/>
            <w:vAlign w:val="center"/>
          </w:tcPr>
          <w:p w14:paraId="37D94E7B" w14:textId="56758FAE" w:rsidR="005C57AD" w:rsidRPr="004A64EF" w:rsidRDefault="005C57AD">
            <w:pPr>
              <w:spacing w:before="20" w:after="20"/>
              <w:ind w:left="-22"/>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Numri i biçikletave/skuterëve të blerë; Kursimet përfundimtare të energjisë (ktoe)); Kursimet primare të energjisë (ktoe)</w:t>
            </w:r>
          </w:p>
        </w:tc>
      </w:tr>
      <w:tr w:rsidR="005C57AD" w:rsidRPr="00976D33" w14:paraId="70CAA8B2" w14:textId="77777777">
        <w:tc>
          <w:tcPr>
            <w:cnfStyle w:val="001000000000" w:firstRow="0" w:lastRow="0" w:firstColumn="1" w:lastColumn="0" w:oddVBand="0" w:evenVBand="0" w:oddHBand="0" w:evenHBand="0" w:firstRowFirstColumn="0" w:firstRowLastColumn="0" w:lastRowFirstColumn="0" w:lastRowLastColumn="0"/>
            <w:tcW w:w="2425" w:type="dxa"/>
          </w:tcPr>
          <w:p w14:paraId="15849F4B" w14:textId="176D73E1" w:rsidR="005C57AD" w:rsidRPr="004A64EF" w:rsidRDefault="005C57AD">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39" w:type="dxa"/>
          </w:tcPr>
          <w:p w14:paraId="1BDFB90B" w14:textId="77777777" w:rsidR="005C57AD" w:rsidRPr="00976D33"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Dekarbonizimi, siguria energjetike, hulumtimi, inovacioni dhe konkurrueshmëria</w:t>
            </w:r>
          </w:p>
        </w:tc>
      </w:tr>
    </w:tbl>
    <w:p w14:paraId="5D99849C" w14:textId="525F5060" w:rsidR="005C57AD" w:rsidRPr="00976D33" w:rsidRDefault="00775ADB" w:rsidP="005C57AD">
      <w:pPr>
        <w:pStyle w:val="Heading3"/>
      </w:pPr>
      <w:bookmarkStart w:id="279" w:name="_Toc182302293"/>
      <w:r>
        <w:lastRenderedPageBreak/>
        <w:t>Politikat dhe masat për të promovuar rolin e komuniteteve lokale të energjisë së ripërtëritshme</w:t>
      </w:r>
      <w:bookmarkEnd w:id="276"/>
      <w:bookmarkEnd w:id="279"/>
      <w:r>
        <w:t xml:space="preserve"> </w:t>
      </w:r>
    </w:p>
    <w:tbl>
      <w:tblPr>
        <w:tblStyle w:val="GridTable5Dark-Accent1"/>
        <w:tblW w:w="0" w:type="auto"/>
        <w:tblLook w:val="04A0" w:firstRow="1" w:lastRow="0" w:firstColumn="1" w:lastColumn="0" w:noHBand="0" w:noVBand="1"/>
      </w:tblPr>
      <w:tblGrid>
        <w:gridCol w:w="2425"/>
        <w:gridCol w:w="7139"/>
      </w:tblGrid>
      <w:tr w:rsidR="005C57AD" w:rsidRPr="004A64EF" w14:paraId="288BC1A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658132EE" w14:textId="3978CBAC" w:rsidR="005C57AD" w:rsidRPr="004A64EF" w:rsidRDefault="005C57AD">
            <w:pPr>
              <w:spacing w:before="20" w:after="20"/>
              <w:jc w:val="left"/>
              <w:rPr>
                <w:color w:val="FFFFFF" w:themeColor="background1"/>
                <w:sz w:val="18"/>
                <w:szCs w:val="18"/>
              </w:rPr>
            </w:pPr>
            <w:bookmarkStart w:id="280" w:name="_Toc71247199"/>
            <w:bookmarkStart w:id="281" w:name="_Toc138210183"/>
            <w:bookmarkStart w:id="282" w:name="_Toc138998484"/>
            <w:bookmarkStart w:id="283" w:name="_Toc37795471"/>
            <w:r>
              <w:rPr>
                <w:color w:val="FFFFFF" w:themeColor="background1"/>
                <w:sz w:val="18"/>
              </w:rPr>
              <w:t>PM 45: Planet Komunale të Veprimit për Energji dhe Klimë</w:t>
            </w:r>
            <w:bookmarkEnd w:id="280"/>
            <w:bookmarkEnd w:id="281"/>
            <w:bookmarkEnd w:id="282"/>
          </w:p>
        </w:tc>
      </w:tr>
      <w:tr w:rsidR="005C57AD" w:rsidRPr="004A64EF" w14:paraId="43B7A3E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14903048" w14:textId="77777777" w:rsidR="005C57AD" w:rsidRPr="004A64EF" w:rsidRDefault="005C57AD">
            <w:pPr>
              <w:spacing w:before="20" w:after="20"/>
              <w:jc w:val="left"/>
              <w:rPr>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 xml:space="preserve">Sipas nenit 6 (1) të Ligjit për EE, duke filluar nga 28 shkurti 2019 dhe çdo tre (3) vjet, komunat do të përgatisin Planet Komunale të Veprimit për Efiçiencë të Energjisë që do të përfshijnë politikën e propozuar të efiçiencës së energjisë dhe masat për përmirësimin e efiçiencës së energjisë që mbulojnë të gjithë sektorët që veprojnë në nivel komunal, duke përfshirë ndërtesat komunale. </w:t>
            </w:r>
          </w:p>
          <w:p w14:paraId="7A98F81E" w14:textId="461A5DE0" w:rsidR="005C57AD" w:rsidRPr="004A64EF" w:rsidRDefault="005C57AD">
            <w:pPr>
              <w:spacing w:before="20" w:after="20"/>
              <w:jc w:val="left"/>
              <w:rPr>
                <w:color w:val="FFFFFF" w:themeColor="background1"/>
                <w:sz w:val="18"/>
                <w:szCs w:val="18"/>
              </w:rPr>
            </w:pPr>
            <w:r>
              <w:rPr>
                <w:b w:val="0"/>
                <w:color w:val="FFFFFF" w:themeColor="background1"/>
                <w:sz w:val="18"/>
              </w:rPr>
              <w:t xml:space="preserve">Planet Komunale të Veprimit për Efiçiencë të Energjisë janë duke u zhvilluar për të gjitha 38 komunat në Kosovë dhe do të përfundojnë gjatë vitit 2019. Ky aktivitet mbështetet përmes projektit “Mbështetje për Zbatimin e Paketës së 3-të të Energjisë me Fokus në Efiçiencën e Energjisë dhe Burimet e Ripërtëritshme”, të financuar nga BE-ja dhe Qeveria Gjermane dhe të implementuar GIZ KEP. Zhvillimi i PKVEE-ve komunale do t’u mundësojë komunave të aplikojnë në Fondin e Kosovës për Efiçiencë të Energjisë dhe donatorët tjerë në mënyrë që të zbatojnë masat e EE-së dhe të reduktojnë konsumin e energjisë. </w:t>
            </w:r>
          </w:p>
          <w:p w14:paraId="59739F6B" w14:textId="04CB9D38" w:rsidR="005C57AD" w:rsidRPr="00B23B48" w:rsidRDefault="005C57AD">
            <w:pPr>
              <w:spacing w:before="20" w:after="20"/>
              <w:jc w:val="left"/>
              <w:rPr>
                <w:b w:val="0"/>
                <w:bCs w:val="0"/>
                <w:color w:val="FFFFFF" w:themeColor="background1"/>
                <w:sz w:val="18"/>
                <w:szCs w:val="18"/>
              </w:rPr>
            </w:pPr>
            <w:r w:rsidRPr="00B23B48">
              <w:rPr>
                <w:b w:val="0"/>
                <w:bCs w:val="0"/>
                <w:color w:val="FFFFFF" w:themeColor="background1"/>
                <w:sz w:val="18"/>
              </w:rPr>
              <w:t>Në të ardhmen, këto plane do të zëvendësohen me Planet e Veprimit për Energjinë dhe Klimën në nivel lokal, në mënyrë që të jenë në përputhje me PKEK-në, dhe aspektet gjinore dhe sociale do të integrohen në veprimet e propozuara dhe alokimin e burimeve.</w:t>
            </w:r>
          </w:p>
        </w:tc>
      </w:tr>
      <w:tr w:rsidR="005C57AD" w:rsidRPr="004A64EF" w14:paraId="7014235C"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77180BE4" w14:textId="77777777" w:rsidR="005C57AD" w:rsidRPr="004A64EF" w:rsidRDefault="005C57AD">
            <w:pPr>
              <w:spacing w:before="20" w:after="20"/>
              <w:jc w:val="left"/>
              <w:rPr>
                <w:color w:val="FFFFFF" w:themeColor="background1"/>
                <w:sz w:val="18"/>
                <w:szCs w:val="18"/>
              </w:rPr>
            </w:pPr>
            <w:r>
              <w:rPr>
                <w:color w:val="FFFFFF" w:themeColor="background1"/>
                <w:sz w:val="18"/>
              </w:rPr>
              <w:t>Sektori/lloji</w:t>
            </w:r>
          </w:p>
        </w:tc>
        <w:tc>
          <w:tcPr>
            <w:tcW w:w="7139" w:type="dxa"/>
            <w:vAlign w:val="center"/>
          </w:tcPr>
          <w:p w14:paraId="708D1965" w14:textId="77777777"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Energjetik/rregullator</w:t>
            </w:r>
          </w:p>
        </w:tc>
      </w:tr>
      <w:tr w:rsidR="005C57AD" w:rsidRPr="004A64EF" w14:paraId="550C5C5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4F9D815F" w14:textId="77777777" w:rsidR="005C57AD" w:rsidRPr="004A64EF" w:rsidRDefault="005C57AD">
            <w:pPr>
              <w:spacing w:before="20" w:after="20"/>
              <w:jc w:val="left"/>
              <w:rPr>
                <w:color w:val="FFFFFF" w:themeColor="background1"/>
                <w:sz w:val="18"/>
                <w:szCs w:val="18"/>
              </w:rPr>
            </w:pPr>
            <w:r>
              <w:rPr>
                <w:color w:val="FFFFFF" w:themeColor="background1"/>
                <w:sz w:val="18"/>
              </w:rPr>
              <w:t>Statusi i implementimit</w:t>
            </w:r>
          </w:p>
        </w:tc>
        <w:tc>
          <w:tcPr>
            <w:tcW w:w="7139" w:type="dxa"/>
            <w:vAlign w:val="center"/>
          </w:tcPr>
          <w:p w14:paraId="68790A94"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Në zbatim</w:t>
            </w:r>
          </w:p>
          <w:p w14:paraId="0697AD48" w14:textId="77777777" w:rsidR="005C57AD" w:rsidRPr="004A64EF" w:rsidRDefault="005C57AD" w:rsidP="00AF7BBF">
            <w:pPr>
              <w:pStyle w:val="ListParagraph"/>
              <w:numPr>
                <w:ilvl w:val="0"/>
                <w:numId w:val="37"/>
              </w:num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Aktualisht, nga 38 komuna të Kosovës, 22 PVEE janë miratuar nga kuvendet komunale përkatëse, dhe 7 janë në procedurë për miratim.</w:t>
            </w:r>
          </w:p>
          <w:p w14:paraId="03DF4AA6" w14:textId="77777777" w:rsidR="005C57AD" w:rsidRPr="004A64EF" w:rsidRDefault="005C57AD" w:rsidP="00AF7BBF">
            <w:pPr>
              <w:pStyle w:val="ListParagraph"/>
              <w:numPr>
                <w:ilvl w:val="0"/>
                <w:numId w:val="37"/>
              </w:num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GIZ KEP tashmë ka mbështetur 6 komuna të Kosovës për hartimin e pilot Planeve Komunale të Veprimit për Energji dhe Klimë. </w:t>
            </w:r>
          </w:p>
          <w:p w14:paraId="283F6B38" w14:textId="77777777" w:rsidR="005C57AD" w:rsidRPr="004A64EF" w:rsidRDefault="005C57AD" w:rsidP="00AF7BBF">
            <w:pPr>
              <w:pStyle w:val="ListParagraph"/>
              <w:numPr>
                <w:ilvl w:val="0"/>
                <w:numId w:val="37"/>
              </w:num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GIZ ORF - ETC do të mbështesë dy komuna të Kosovës për të zhvilluar Plane të Veprimit për Energji të Qëndrueshme dhe Klimë. </w:t>
            </w:r>
          </w:p>
          <w:p w14:paraId="2400FD91" w14:textId="77777777" w:rsidR="005C57AD" w:rsidRPr="004A64EF" w:rsidRDefault="005C57AD" w:rsidP="00AF7BBF">
            <w:pPr>
              <w:pStyle w:val="ListParagraph"/>
              <w:numPr>
                <w:ilvl w:val="0"/>
                <w:numId w:val="37"/>
              </w:num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Qasja e përbashkët do të arrihet me palët e interesit të Kosovës (niveli qendror dhe lokal).</w:t>
            </w:r>
          </w:p>
        </w:tc>
      </w:tr>
      <w:tr w:rsidR="005C57AD" w:rsidRPr="004A64EF" w14:paraId="3038055B"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563E9BEA" w14:textId="77777777" w:rsidR="005C57AD" w:rsidRPr="004A64EF" w:rsidRDefault="005C57AD">
            <w:pPr>
              <w:spacing w:before="20" w:after="20"/>
              <w:jc w:val="left"/>
              <w:rPr>
                <w:color w:val="FFFFFF" w:themeColor="background1"/>
                <w:sz w:val="18"/>
                <w:szCs w:val="18"/>
              </w:rPr>
            </w:pPr>
            <w:r>
              <w:rPr>
                <w:color w:val="FFFFFF" w:themeColor="background1"/>
                <w:sz w:val="18"/>
              </w:rPr>
              <w:t>Efektet kuantitative</w:t>
            </w:r>
          </w:p>
        </w:tc>
        <w:tc>
          <w:tcPr>
            <w:tcW w:w="7139" w:type="dxa"/>
            <w:vAlign w:val="center"/>
          </w:tcPr>
          <w:p w14:paraId="3AF04FF4" w14:textId="77777777"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n/a</w:t>
            </w:r>
          </w:p>
        </w:tc>
      </w:tr>
      <w:tr w:rsidR="005C57AD" w:rsidRPr="004A64EF" w14:paraId="08B205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703232FF" w14:textId="77777777" w:rsidR="005C57AD" w:rsidRPr="004A64EF" w:rsidRDefault="005C57AD">
            <w:pPr>
              <w:spacing w:before="20" w:after="20"/>
              <w:jc w:val="left"/>
              <w:rPr>
                <w:color w:val="FFFFFF" w:themeColor="background1"/>
                <w:sz w:val="18"/>
                <w:szCs w:val="18"/>
              </w:rPr>
            </w:pPr>
            <w:r>
              <w:rPr>
                <w:color w:val="FFFFFF" w:themeColor="background1"/>
                <w:sz w:val="18"/>
              </w:rPr>
              <w:t>Investimet</w:t>
            </w:r>
          </w:p>
        </w:tc>
        <w:tc>
          <w:tcPr>
            <w:tcW w:w="7139" w:type="dxa"/>
            <w:vAlign w:val="center"/>
          </w:tcPr>
          <w:p w14:paraId="50DB50A7" w14:textId="0EDABB27" w:rsidR="005C57AD" w:rsidRPr="004A64EF" w:rsidRDefault="00F8477C">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0.2 mil. euro në vit (2025-2030), për asistencë nga donatorët për të gjitha komunat (Burimi: Konsultimet e donatorëve, vlerësimi i ekspertëve). </w:t>
            </w:r>
          </w:p>
        </w:tc>
      </w:tr>
      <w:tr w:rsidR="005C57AD" w:rsidRPr="004A64EF" w14:paraId="015B77BB"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3094D82C" w14:textId="77777777" w:rsidR="005C57AD" w:rsidRPr="004A64EF" w:rsidRDefault="005C57AD">
            <w:pPr>
              <w:spacing w:before="20" w:after="20"/>
              <w:jc w:val="left"/>
              <w:rPr>
                <w:color w:val="FFFFFF" w:themeColor="background1"/>
                <w:sz w:val="18"/>
                <w:szCs w:val="18"/>
              </w:rPr>
            </w:pPr>
            <w:r>
              <w:rPr>
                <w:color w:val="FFFFFF" w:themeColor="background1"/>
                <w:sz w:val="18"/>
              </w:rPr>
              <w:t>Institucioni përgjegjës</w:t>
            </w:r>
          </w:p>
        </w:tc>
        <w:tc>
          <w:tcPr>
            <w:tcW w:w="7139" w:type="dxa"/>
            <w:vAlign w:val="center"/>
          </w:tcPr>
          <w:p w14:paraId="5935D5E4" w14:textId="3D2A517E"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Komunat, ME, FKEE</w:t>
            </w:r>
          </w:p>
        </w:tc>
      </w:tr>
      <w:tr w:rsidR="005C57AD" w:rsidRPr="004A64EF" w14:paraId="2F2C5C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2D0CE3A0" w14:textId="77777777" w:rsidR="005C57AD" w:rsidRPr="004A64EF" w:rsidRDefault="005C57AD">
            <w:pPr>
              <w:spacing w:before="20" w:after="20"/>
              <w:jc w:val="left"/>
              <w:rPr>
                <w:color w:val="FFFFFF" w:themeColor="background1"/>
                <w:sz w:val="18"/>
                <w:szCs w:val="18"/>
              </w:rPr>
            </w:pPr>
            <w:r>
              <w:rPr>
                <w:color w:val="FFFFFF" w:themeColor="background1"/>
                <w:sz w:val="18"/>
              </w:rPr>
              <w:t>Treguesit e progresit</w:t>
            </w:r>
          </w:p>
        </w:tc>
        <w:tc>
          <w:tcPr>
            <w:tcW w:w="7139" w:type="dxa"/>
            <w:vAlign w:val="center"/>
          </w:tcPr>
          <w:p w14:paraId="62854EC9"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Numri i planeve të veprimit të dorëzuara </w:t>
            </w:r>
          </w:p>
        </w:tc>
      </w:tr>
      <w:tr w:rsidR="005C57AD" w:rsidRPr="00976D33" w14:paraId="7620173C" w14:textId="77777777">
        <w:tc>
          <w:tcPr>
            <w:cnfStyle w:val="001000000000" w:firstRow="0" w:lastRow="0" w:firstColumn="1" w:lastColumn="0" w:oddVBand="0" w:evenVBand="0" w:oddHBand="0" w:evenHBand="0" w:firstRowFirstColumn="0" w:firstRowLastColumn="0" w:lastRowFirstColumn="0" w:lastRowLastColumn="0"/>
            <w:tcW w:w="2425" w:type="dxa"/>
          </w:tcPr>
          <w:p w14:paraId="53DE186B" w14:textId="23079A90" w:rsidR="005C57AD" w:rsidRPr="004A64EF" w:rsidRDefault="005C57AD">
            <w:pPr>
              <w:spacing w:before="20" w:after="20"/>
              <w:jc w:val="left"/>
              <w:rPr>
                <w:color w:val="FFFFFF" w:themeColor="background1"/>
                <w:sz w:val="18"/>
                <w:szCs w:val="18"/>
              </w:rPr>
            </w:pPr>
            <w:bookmarkStart w:id="284" w:name="_Toc71271822"/>
            <w:bookmarkEnd w:id="283"/>
            <w:r>
              <w:rPr>
                <w:color w:val="FFFFFF" w:themeColor="background1"/>
                <w:sz w:val="18"/>
              </w:rPr>
              <w:t>Lidhja me dimension</w:t>
            </w:r>
            <w:r w:rsidR="0037748E">
              <w:rPr>
                <w:color w:val="FFFFFF" w:themeColor="background1"/>
                <w:sz w:val="18"/>
              </w:rPr>
              <w:t>et e tjera</w:t>
            </w:r>
          </w:p>
        </w:tc>
        <w:tc>
          <w:tcPr>
            <w:tcW w:w="7139" w:type="dxa"/>
          </w:tcPr>
          <w:p w14:paraId="0A5B92EC" w14:textId="77777777" w:rsidR="005C57AD" w:rsidRPr="00976D33"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Dekarbonizimi, siguria energjetike</w:t>
            </w:r>
          </w:p>
        </w:tc>
      </w:tr>
    </w:tbl>
    <w:p w14:paraId="48285F25" w14:textId="2700A3D8" w:rsidR="005C57AD" w:rsidRPr="00976D33" w:rsidRDefault="005C57AD" w:rsidP="005C57AD">
      <w:pPr>
        <w:spacing w:before="0" w:after="200"/>
        <w:jc w:val="left"/>
        <w:rPr>
          <w:rFonts w:asciiTheme="majorHAnsi" w:eastAsiaTheme="majorEastAsia" w:hAnsiTheme="majorHAnsi" w:cstheme="majorBidi"/>
          <w:color w:val="012639" w:themeColor="accent1" w:themeShade="7F"/>
          <w:sz w:val="22"/>
          <w:szCs w:val="24"/>
        </w:rPr>
      </w:pPr>
    </w:p>
    <w:p w14:paraId="4FD6DC24" w14:textId="1CB2847E" w:rsidR="005C57AD" w:rsidRPr="00976D33" w:rsidRDefault="00775ADB" w:rsidP="005C57AD">
      <w:pPr>
        <w:pStyle w:val="Heading3"/>
        <w:rPr>
          <w:rFonts w:cstheme="minorHAnsi"/>
        </w:rPr>
      </w:pPr>
      <w:bookmarkStart w:id="285" w:name="_Toc182302294"/>
      <w:r>
        <w:t>Masat për shfrytëzimin e potencialeve të efiçiencës së energjisë të infrastrukturës elektrike</w:t>
      </w:r>
      <w:bookmarkEnd w:id="284"/>
      <w:bookmarkEnd w:id="285"/>
    </w:p>
    <w:tbl>
      <w:tblPr>
        <w:tblStyle w:val="GridTable5Dark-Accent1"/>
        <w:tblW w:w="0" w:type="auto"/>
        <w:tblLook w:val="04A0" w:firstRow="1" w:lastRow="0" w:firstColumn="1" w:lastColumn="0" w:noHBand="0" w:noVBand="1"/>
      </w:tblPr>
      <w:tblGrid>
        <w:gridCol w:w="2425"/>
        <w:gridCol w:w="7139"/>
      </w:tblGrid>
      <w:tr w:rsidR="005C57AD" w:rsidRPr="004A64EF" w14:paraId="1C37131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00C838C8" w14:textId="77471CEF" w:rsidR="005C57AD" w:rsidRPr="004A64EF" w:rsidRDefault="005C57AD">
            <w:pPr>
              <w:spacing w:before="20" w:after="20"/>
              <w:jc w:val="left"/>
              <w:rPr>
                <w:color w:val="FFFFFF" w:themeColor="background1"/>
                <w:sz w:val="18"/>
                <w:szCs w:val="18"/>
              </w:rPr>
            </w:pPr>
            <w:bookmarkStart w:id="286" w:name="_Ref138208272"/>
            <w:bookmarkStart w:id="287" w:name="_Toc71247200"/>
            <w:bookmarkStart w:id="288" w:name="_Toc138210184"/>
            <w:bookmarkStart w:id="289" w:name="_Toc138998485"/>
            <w:r>
              <w:rPr>
                <w:color w:val="FFFFFF" w:themeColor="background1"/>
                <w:sz w:val="18"/>
              </w:rPr>
              <w:t>PM</w:t>
            </w:r>
            <w:bookmarkEnd w:id="286"/>
            <w:r>
              <w:rPr>
                <w:color w:val="FFFFFF" w:themeColor="background1"/>
                <w:sz w:val="18"/>
              </w:rPr>
              <w:t xml:space="preserve"> 46: Modernizimi i rrjeteve</w:t>
            </w:r>
            <w:bookmarkEnd w:id="287"/>
            <w:r>
              <w:rPr>
                <w:color w:val="FFFFFF" w:themeColor="background1"/>
                <w:sz w:val="18"/>
              </w:rPr>
              <w:t xml:space="preserve"> dhe reduktimi i humbjeve në rrjet</w:t>
            </w:r>
            <w:bookmarkStart w:id="290" w:name="_Toc37795472"/>
            <w:bookmarkEnd w:id="288"/>
            <w:bookmarkEnd w:id="289"/>
          </w:p>
        </w:tc>
      </w:tr>
      <w:tr w:rsidR="005C57AD" w:rsidRPr="004A64EF" w14:paraId="0174AB3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vAlign w:val="center"/>
          </w:tcPr>
          <w:p w14:paraId="07E5442A" w14:textId="77777777" w:rsidR="005C57AD" w:rsidRPr="004A64EF" w:rsidRDefault="005C57AD">
            <w:pPr>
              <w:spacing w:before="20" w:after="20"/>
              <w:jc w:val="left"/>
              <w:rPr>
                <w:b w:val="0"/>
                <w:bCs w:val="0"/>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ZRRE ka zhvilluar legjislacionin sekondar efikas i cili rregullon të gjitha aspektet e përmirësimit të infrastrukturës energjetike dhe shfrytëzimin e përgjithshëm të efiçiencës së energjisë. Rregullatori miraton planin 5-vjeçar të investimeve të Rrjetit të Distribuimit i cili synon të përmirësojë sigurinë e furnizimit, duke ulur nivelin e humbjeve në rrjet.</w:t>
            </w:r>
          </w:p>
        </w:tc>
      </w:tr>
      <w:tr w:rsidR="005C57AD" w:rsidRPr="004A64EF" w14:paraId="1E962866"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73D8C4F7" w14:textId="77777777" w:rsidR="005C57AD" w:rsidRPr="004A64EF" w:rsidRDefault="005C57AD">
            <w:pPr>
              <w:spacing w:before="20" w:after="20"/>
              <w:jc w:val="left"/>
              <w:rPr>
                <w:color w:val="FFFFFF" w:themeColor="background1"/>
                <w:sz w:val="18"/>
                <w:szCs w:val="18"/>
              </w:rPr>
            </w:pPr>
            <w:r>
              <w:rPr>
                <w:color w:val="FFFFFF" w:themeColor="background1"/>
                <w:sz w:val="18"/>
              </w:rPr>
              <w:t>Sektori/lloji</w:t>
            </w:r>
          </w:p>
        </w:tc>
        <w:tc>
          <w:tcPr>
            <w:tcW w:w="7139" w:type="dxa"/>
            <w:vAlign w:val="center"/>
          </w:tcPr>
          <w:p w14:paraId="5E091C79" w14:textId="77777777" w:rsidR="005C57AD" w:rsidRPr="004A64EF" w:rsidRDefault="005C57AD">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Energjetik/teknik</w:t>
            </w:r>
          </w:p>
        </w:tc>
      </w:tr>
      <w:tr w:rsidR="005C57AD" w:rsidRPr="004A64EF" w14:paraId="112A805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1988DC0" w14:textId="77777777" w:rsidR="005C57AD" w:rsidRPr="004A64EF" w:rsidRDefault="005C57AD">
            <w:pPr>
              <w:spacing w:before="20" w:after="20"/>
              <w:jc w:val="left"/>
              <w:rPr>
                <w:color w:val="FFFFFF" w:themeColor="background1"/>
                <w:sz w:val="18"/>
                <w:szCs w:val="18"/>
              </w:rPr>
            </w:pPr>
            <w:r>
              <w:rPr>
                <w:color w:val="FFFFFF" w:themeColor="background1"/>
                <w:sz w:val="18"/>
              </w:rPr>
              <w:t>Statusi i implementimit</w:t>
            </w:r>
          </w:p>
        </w:tc>
        <w:tc>
          <w:tcPr>
            <w:tcW w:w="7139" w:type="dxa"/>
            <w:vAlign w:val="center"/>
          </w:tcPr>
          <w:p w14:paraId="5482B72C" w14:textId="77777777" w:rsidR="005C57AD" w:rsidRPr="004A64EF" w:rsidRDefault="005C57AD">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Në zbatim</w:t>
            </w:r>
          </w:p>
          <w:p w14:paraId="35B9E435" w14:textId="1EBE7106" w:rsidR="005C57AD" w:rsidRPr="004A64EF" w:rsidRDefault="005C57AD" w:rsidP="00AF7BBF">
            <w:pPr>
              <w:pStyle w:val="ListParagraph"/>
              <w:numPr>
                <w:ilvl w:val="0"/>
                <w:numId w:val="37"/>
              </w:num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Për të mundësuar sigurinë e furnizimit me energji elektrike, për të mbështetur rritjen e ngarkesës, integrimin e burimeve të ripërtëritshme, zgjerimin dhe forcimin e rrjetit dhe rritjen e cilësisë së furnizimit, ZRRE, gjatë rishikimit periodik për periudhën rregullatore 2018-2022 ka lejuar investime kapitale prej rreth 131 milionë euro për OSSH-në. Nga vlera e lejuar për periudhën e tarifave 5-vjeçare, ishin planifikuar të realizoheshin 20.5 milion euro në vitin 2021, ndërsa OSSH ka raportuar se ka realizuar 22.57 milion euro, ose shkalla e realizimit të investimeve kapitale është 10% më e lartë, dhe ishin planifikuar të realizoheshin 19.867 milion euro në vitin 2022, ndërsa OSSH raportoi se ka realizuar 19.25 milion euro. Projektet investuese për vitin 2021 në OSSH përfshijnë investimet në rrjetet e tensionit të mesëm dhe të ulët, investimet në digjitalizimin dhe modernizimin e rrjetit, investimet në SCADA, njehsorët inteligjentë etj. Nëpërmjet projekteve investuese, OSSH synon të arrijë objektivat kyçe siç janë reduktimi teknik dhe humbjet komerciale, furnizimi i besueshëm dhe më i mirë me energji dhe rritja e kapaciteteve ekzistuese, integrimi i BRE-ve dhe modernizimi i rrjetit.</w:t>
            </w:r>
          </w:p>
          <w:p w14:paraId="3774A6A9" w14:textId="77777777" w:rsidR="005C57AD" w:rsidRPr="004A64EF" w:rsidRDefault="005C57AD" w:rsidP="00AF7BBF">
            <w:pPr>
              <w:pStyle w:val="ListParagraph"/>
              <w:numPr>
                <w:ilvl w:val="0"/>
                <w:numId w:val="37"/>
              </w:num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U miratua plani 5 vjeçar i investimeve (2023-2027) sipas të cilit investimi total prej 122 milionë eurosh do të mundësojë që humbjet teknike të arrijnë në </w:t>
            </w:r>
            <w:r>
              <w:rPr>
                <w:sz w:val="18"/>
              </w:rPr>
              <w:lastRenderedPageBreak/>
              <w:t>11.48% nga 12.21% në vitin 2022, ose 0.73 pp më të ulëta dhe humbjet komerciale të arrijnë në 1.82% nga 4.47%.</w:t>
            </w:r>
          </w:p>
        </w:tc>
      </w:tr>
      <w:tr w:rsidR="001F3106" w:rsidRPr="004A64EF" w14:paraId="1F01D190"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2689F5AD" w14:textId="77777777" w:rsidR="001F3106" w:rsidRPr="004A64EF" w:rsidRDefault="001F3106" w:rsidP="001F3106">
            <w:pPr>
              <w:spacing w:before="20" w:after="20"/>
              <w:jc w:val="left"/>
              <w:rPr>
                <w:color w:val="FFFFFF" w:themeColor="background1"/>
                <w:sz w:val="18"/>
                <w:szCs w:val="18"/>
              </w:rPr>
            </w:pPr>
            <w:r>
              <w:rPr>
                <w:color w:val="FFFFFF" w:themeColor="background1"/>
                <w:sz w:val="18"/>
              </w:rPr>
              <w:lastRenderedPageBreak/>
              <w:t>Efektet kuantitative</w:t>
            </w:r>
          </w:p>
        </w:tc>
        <w:tc>
          <w:tcPr>
            <w:tcW w:w="7139" w:type="dxa"/>
            <w:vAlign w:val="center"/>
          </w:tcPr>
          <w:p w14:paraId="15A2BB8D" w14:textId="1BFD40D4" w:rsidR="001F3106" w:rsidRPr="004A64EF" w:rsidRDefault="001F3106" w:rsidP="001F3106">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9% humbje teknike në rrjetin e distribuimit deri në vitin 2031, kursime bruto në konsumin final të energjisë prej 21.6 ktoe në vit deri në vitin 2031 (kundër niveleve të humbjeve teknike të vitit 2022 në rrjetin e shpërndarjes) Burimi: vlerësimi i ekspertëve</w:t>
            </w:r>
          </w:p>
        </w:tc>
      </w:tr>
      <w:tr w:rsidR="001F3106" w:rsidRPr="004A64EF" w14:paraId="64C8DB9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23D143C7" w14:textId="77777777" w:rsidR="001F3106" w:rsidRPr="004A64EF" w:rsidRDefault="001F3106" w:rsidP="001F3106">
            <w:pPr>
              <w:spacing w:before="20" w:after="20"/>
              <w:jc w:val="left"/>
              <w:rPr>
                <w:color w:val="FFFFFF" w:themeColor="background1"/>
                <w:sz w:val="18"/>
                <w:szCs w:val="18"/>
              </w:rPr>
            </w:pPr>
            <w:r>
              <w:rPr>
                <w:color w:val="FFFFFF" w:themeColor="background1"/>
                <w:sz w:val="18"/>
              </w:rPr>
              <w:t>Investimet</w:t>
            </w:r>
          </w:p>
        </w:tc>
        <w:tc>
          <w:tcPr>
            <w:tcW w:w="7139" w:type="dxa"/>
          </w:tcPr>
          <w:p w14:paraId="2E21E131" w14:textId="77777777" w:rsidR="001F3106" w:rsidRPr="004A64EF" w:rsidRDefault="001F3106" w:rsidP="001F3106">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Buxheti i Strategjisë Kombëtare të Energjisë parashikon një buxhet total prej rreth 127.12 mil. euro për modernizimin e rrjetit dhe punën në drejtim të zvogëlimit të humbjeve në rrjet, që do të financohen nga KEDS dhe KOSTT dhe do të shpenzohen ndërmjet viteve 2022 dhe 2025.</w:t>
            </w:r>
          </w:p>
        </w:tc>
      </w:tr>
      <w:tr w:rsidR="001F3106" w:rsidRPr="004A64EF" w14:paraId="63FE714C" w14:textId="77777777">
        <w:tc>
          <w:tcPr>
            <w:cnfStyle w:val="001000000000" w:firstRow="0" w:lastRow="0" w:firstColumn="1" w:lastColumn="0" w:oddVBand="0" w:evenVBand="0" w:oddHBand="0" w:evenHBand="0" w:firstRowFirstColumn="0" w:firstRowLastColumn="0" w:lastRowFirstColumn="0" w:lastRowLastColumn="0"/>
            <w:tcW w:w="2425" w:type="dxa"/>
            <w:vAlign w:val="center"/>
          </w:tcPr>
          <w:p w14:paraId="089DBC1A" w14:textId="77777777" w:rsidR="001F3106" w:rsidRPr="004A64EF" w:rsidRDefault="001F3106" w:rsidP="001F3106">
            <w:pPr>
              <w:spacing w:before="20" w:after="20"/>
              <w:jc w:val="left"/>
              <w:rPr>
                <w:color w:val="FFFFFF" w:themeColor="background1"/>
                <w:sz w:val="18"/>
                <w:szCs w:val="18"/>
              </w:rPr>
            </w:pPr>
            <w:r>
              <w:rPr>
                <w:color w:val="FFFFFF" w:themeColor="background1"/>
                <w:sz w:val="18"/>
              </w:rPr>
              <w:t>Institucioni përgjegjës</w:t>
            </w:r>
          </w:p>
        </w:tc>
        <w:tc>
          <w:tcPr>
            <w:tcW w:w="7139" w:type="dxa"/>
          </w:tcPr>
          <w:p w14:paraId="2645EF6A" w14:textId="77777777" w:rsidR="001F3106" w:rsidRPr="004A64EF" w:rsidRDefault="001F3106" w:rsidP="001F3106">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KEDS</w:t>
            </w:r>
          </w:p>
        </w:tc>
      </w:tr>
      <w:tr w:rsidR="001F3106" w:rsidRPr="004A64EF" w14:paraId="51F4EF0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334D6EDD" w14:textId="77777777" w:rsidR="001F3106" w:rsidRPr="004A64EF" w:rsidRDefault="001F3106" w:rsidP="001F3106">
            <w:pPr>
              <w:spacing w:before="20" w:after="20"/>
              <w:jc w:val="left"/>
              <w:rPr>
                <w:color w:val="FFFFFF" w:themeColor="background1"/>
                <w:sz w:val="18"/>
                <w:szCs w:val="18"/>
              </w:rPr>
            </w:pPr>
            <w:r>
              <w:rPr>
                <w:color w:val="FFFFFF" w:themeColor="background1"/>
                <w:sz w:val="18"/>
              </w:rPr>
              <w:t>Treguesit e progresit</w:t>
            </w:r>
          </w:p>
        </w:tc>
        <w:tc>
          <w:tcPr>
            <w:tcW w:w="7139" w:type="dxa"/>
          </w:tcPr>
          <w:p w14:paraId="3CA2F099" w14:textId="77777777" w:rsidR="001F3106" w:rsidRPr="004A64EF" w:rsidRDefault="001F3106" w:rsidP="001F3106">
            <w:pPr>
              <w:spacing w:before="20" w:after="20"/>
              <w:jc w:val="left"/>
              <w:cnfStyle w:val="000000100000" w:firstRow="0" w:lastRow="0" w:firstColumn="0" w:lastColumn="0" w:oddVBand="0" w:evenVBand="0" w:oddHBand="1" w:evenHBand="0" w:firstRowFirstColumn="0" w:firstRowLastColumn="0" w:lastRowFirstColumn="0" w:lastRowLastColumn="0"/>
              <w:rPr>
                <w:sz w:val="18"/>
                <w:szCs w:val="18"/>
              </w:rPr>
            </w:pPr>
            <w:r>
              <w:rPr>
                <w:sz w:val="18"/>
              </w:rPr>
              <w:t>% humbjeve në rrjetin e distribuimit</w:t>
            </w:r>
          </w:p>
        </w:tc>
      </w:tr>
      <w:tr w:rsidR="001F3106" w:rsidRPr="00976D33" w14:paraId="5DE35A00" w14:textId="77777777">
        <w:tc>
          <w:tcPr>
            <w:cnfStyle w:val="001000000000" w:firstRow="0" w:lastRow="0" w:firstColumn="1" w:lastColumn="0" w:oddVBand="0" w:evenVBand="0" w:oddHBand="0" w:evenHBand="0" w:firstRowFirstColumn="0" w:firstRowLastColumn="0" w:lastRowFirstColumn="0" w:lastRowLastColumn="0"/>
            <w:tcW w:w="2425" w:type="dxa"/>
          </w:tcPr>
          <w:p w14:paraId="3C82CA64" w14:textId="20BDAD4D" w:rsidR="001F3106" w:rsidRPr="004A64EF" w:rsidRDefault="001F3106" w:rsidP="001F3106">
            <w:pPr>
              <w:spacing w:before="20" w:after="20"/>
              <w:jc w:val="left"/>
              <w:rPr>
                <w:color w:val="FFFFFF" w:themeColor="background1"/>
                <w:sz w:val="18"/>
                <w:szCs w:val="18"/>
              </w:rPr>
            </w:pPr>
            <w:r>
              <w:rPr>
                <w:color w:val="FFFFFF" w:themeColor="background1"/>
                <w:sz w:val="18"/>
              </w:rPr>
              <w:t>Lidhja me dimension</w:t>
            </w:r>
            <w:r w:rsidR="0037748E">
              <w:rPr>
                <w:color w:val="FFFFFF" w:themeColor="background1"/>
                <w:sz w:val="18"/>
              </w:rPr>
              <w:t>et e tjera</w:t>
            </w:r>
          </w:p>
        </w:tc>
        <w:tc>
          <w:tcPr>
            <w:tcW w:w="7139" w:type="dxa"/>
          </w:tcPr>
          <w:p w14:paraId="009B38EC" w14:textId="77777777" w:rsidR="001F3106" w:rsidRPr="00976D33" w:rsidRDefault="001F3106" w:rsidP="001F3106">
            <w:pPr>
              <w:spacing w:before="20" w:after="20"/>
              <w:jc w:val="left"/>
              <w:cnfStyle w:val="000000000000" w:firstRow="0" w:lastRow="0" w:firstColumn="0" w:lastColumn="0" w:oddVBand="0" w:evenVBand="0" w:oddHBand="0" w:evenHBand="0" w:firstRowFirstColumn="0" w:firstRowLastColumn="0" w:lastRowFirstColumn="0" w:lastRowLastColumn="0"/>
              <w:rPr>
                <w:sz w:val="18"/>
                <w:szCs w:val="18"/>
              </w:rPr>
            </w:pPr>
            <w:r>
              <w:rPr>
                <w:sz w:val="18"/>
              </w:rPr>
              <w:t>Dekarbonizimi, siguria energjetike</w:t>
            </w:r>
          </w:p>
        </w:tc>
      </w:tr>
    </w:tbl>
    <w:p w14:paraId="7600888A" w14:textId="77777777" w:rsidR="005C57AD" w:rsidRPr="00976D33" w:rsidRDefault="005C57AD" w:rsidP="005C57AD">
      <w:pPr>
        <w:ind w:left="360"/>
        <w:rPr>
          <w:rFonts w:cstheme="minorHAnsi"/>
        </w:rPr>
      </w:pPr>
    </w:p>
    <w:p w14:paraId="0D8319EF" w14:textId="0CC5575F" w:rsidR="005C57AD" w:rsidRPr="00976D33" w:rsidRDefault="005C57AD" w:rsidP="005C57AD">
      <w:pPr>
        <w:pStyle w:val="Heading3"/>
      </w:pPr>
      <w:bookmarkStart w:id="291" w:name="_Toc71271823"/>
      <w:bookmarkStart w:id="292" w:name="_Toc182302295"/>
      <w:r>
        <w:t>Bashkëpunimi rajonal</w:t>
      </w:r>
      <w:bookmarkEnd w:id="291"/>
      <w:bookmarkEnd w:id="292"/>
    </w:p>
    <w:p w14:paraId="7986ACC7" w14:textId="77777777" w:rsidR="005C57AD" w:rsidRPr="00976D33" w:rsidRDefault="005C57AD" w:rsidP="005C57AD">
      <w:r>
        <w:t xml:space="preserve">Bashkëpunimi rajonal për shumicën e masave është parashikuar përmes EnC-së.  </w:t>
      </w:r>
    </w:p>
    <w:p w14:paraId="3E9F4F05" w14:textId="3A444525" w:rsidR="005C57AD" w:rsidRPr="00976D33" w:rsidRDefault="005C57AD" w:rsidP="005C57AD">
      <w:pPr>
        <w:pStyle w:val="Heading3"/>
      </w:pPr>
      <w:bookmarkStart w:id="293" w:name="_Toc71271824"/>
      <w:bookmarkStart w:id="294" w:name="_Toc182302296"/>
      <w:r>
        <w:t>Masat financuese, duke përfshirë mbështetjen e BE-së dhe donatorët tjerë në këtë fushë</w:t>
      </w:r>
      <w:bookmarkEnd w:id="293"/>
      <w:bookmarkEnd w:id="294"/>
    </w:p>
    <w:p w14:paraId="00A74F0F" w14:textId="6488300A" w:rsidR="005C57AD" w:rsidRPr="00976D33" w:rsidRDefault="005C57AD" w:rsidP="005C57AD">
      <w:r>
        <w:t xml:space="preserve">Investimet e nevojshme jepen në tabelat për secilën masë nëse informacioni i tillë është në dispozicion. </w:t>
      </w:r>
    </w:p>
    <w:p w14:paraId="3BA60E3A" w14:textId="64A6DCDD" w:rsidR="005C57AD" w:rsidRPr="00976D33" w:rsidRDefault="005C57AD" w:rsidP="005C57AD">
      <w:r>
        <w:t xml:space="preserve"> </w:t>
      </w:r>
      <w:r>
        <w:br w:type="page"/>
      </w:r>
    </w:p>
    <w:p w14:paraId="5EF203D6" w14:textId="086B90A5" w:rsidR="005C57AD" w:rsidRPr="00976D33" w:rsidRDefault="00E509D0" w:rsidP="006E6E51">
      <w:pPr>
        <w:pStyle w:val="Heading2"/>
        <w:numPr>
          <w:ilvl w:val="0"/>
          <w:numId w:val="0"/>
        </w:numPr>
        <w:ind w:left="360"/>
      </w:pPr>
      <w:bookmarkStart w:id="295" w:name="_Toc182302297"/>
      <w:bookmarkEnd w:id="290"/>
      <w:r>
        <w:lastRenderedPageBreak/>
        <w:t>3.3 Dimensioni i sigurisë energjetike</w:t>
      </w:r>
      <w:bookmarkEnd w:id="295"/>
      <w:r>
        <w:t xml:space="preserve"> </w:t>
      </w:r>
    </w:p>
    <w:p w14:paraId="058A06EE" w14:textId="77777777" w:rsidR="005C57AD" w:rsidRPr="00976D33" w:rsidRDefault="005C57AD" w:rsidP="00AF7BBF">
      <w:pPr>
        <w:pStyle w:val="Heading3"/>
        <w:numPr>
          <w:ilvl w:val="0"/>
          <w:numId w:val="13"/>
        </w:numPr>
      </w:pPr>
      <w:bookmarkStart w:id="296" w:name="_Toc182302298"/>
      <w:r>
        <w:t>Politikat dhe masat që lidhen me elementët e përcaktuar në pikën 2.3</w:t>
      </w:r>
      <w:bookmarkEnd w:id="296"/>
    </w:p>
    <w:tbl>
      <w:tblPr>
        <w:tblStyle w:val="GridTable5DarkAccent100"/>
        <w:tblW w:w="0" w:type="auto"/>
        <w:tblLook w:val="04A0" w:firstRow="1" w:lastRow="0" w:firstColumn="1" w:lastColumn="0" w:noHBand="0" w:noVBand="1"/>
      </w:tblPr>
      <w:tblGrid>
        <w:gridCol w:w="2425"/>
        <w:gridCol w:w="7139"/>
      </w:tblGrid>
      <w:tr w:rsidR="005C57AD" w:rsidRPr="004A64EF" w14:paraId="6537928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hideMark/>
          </w:tcPr>
          <w:p w14:paraId="1B38984D" w14:textId="42120CBD" w:rsidR="005C57AD" w:rsidRPr="004A64EF" w:rsidRDefault="005C57AD">
            <w:pPr>
              <w:spacing w:before="20" w:after="20" w:line="240" w:lineRule="auto"/>
              <w:rPr>
                <w:color w:val="333333"/>
                <w:sz w:val="18"/>
              </w:rPr>
            </w:pPr>
            <w:bookmarkStart w:id="297" w:name="_Toc138210185"/>
            <w:bookmarkStart w:id="298" w:name="_Toc138998486"/>
            <w:r>
              <w:rPr>
                <w:color w:val="FFFFFF" w:themeColor="background1"/>
                <w:sz w:val="18"/>
              </w:rPr>
              <w:t>PM 47: Rehabilitimi i TC Kosova B</w:t>
            </w:r>
            <w:bookmarkEnd w:id="297"/>
            <w:bookmarkEnd w:id="298"/>
            <w:r>
              <w:rPr>
                <w:color w:val="FFFFFF" w:themeColor="background1"/>
                <w:sz w:val="18"/>
              </w:rPr>
              <w:t xml:space="preserve"> </w:t>
            </w:r>
          </w:p>
        </w:tc>
      </w:tr>
      <w:tr w:rsidR="005C57AD" w:rsidRPr="004A64EF" w14:paraId="4E82E1C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hideMark/>
          </w:tcPr>
          <w:p w14:paraId="1FFCDC46" w14:textId="77777777" w:rsidR="005C57AD" w:rsidRPr="004A64EF" w:rsidRDefault="005C57AD">
            <w:pPr>
              <w:spacing w:before="20" w:after="20" w:line="240" w:lineRule="auto"/>
              <w:rPr>
                <w:b w:val="0"/>
                <w:bCs w:val="0"/>
                <w:color w:val="FFFFFF" w:themeColor="background1"/>
                <w:sz w:val="18"/>
              </w:rPr>
            </w:pPr>
            <w:r>
              <w:rPr>
                <w:color w:val="FFFFFF" w:themeColor="background1"/>
                <w:sz w:val="18"/>
              </w:rPr>
              <w:t xml:space="preserve">Objektivi: </w:t>
            </w:r>
            <w:r>
              <w:rPr>
                <w:b w:val="0"/>
                <w:color w:val="FFFFFF" w:themeColor="background1"/>
                <w:sz w:val="18"/>
              </w:rPr>
              <w:t xml:space="preserve">Ruajtja e sigurisë së furnizimit duke përmirësuar disponueshmërinë dhe duke zgjatur jetëgjatësinë; reduktimi i emetimeve sipas direktivave të BE-së. </w:t>
            </w:r>
          </w:p>
          <w:p w14:paraId="429B28BF" w14:textId="77777777" w:rsidR="005C57AD" w:rsidRPr="004A64EF" w:rsidRDefault="005C57AD">
            <w:pPr>
              <w:spacing w:before="20" w:after="20" w:line="240" w:lineRule="auto"/>
              <w:rPr>
                <w:b w:val="0"/>
                <w:bCs w:val="0"/>
                <w:color w:val="FFFFFF" w:themeColor="background1"/>
                <w:sz w:val="18"/>
              </w:rPr>
            </w:pPr>
          </w:p>
          <w:p w14:paraId="5576ED85" w14:textId="77777777" w:rsidR="005C57AD" w:rsidRPr="004A64EF" w:rsidRDefault="005C57AD">
            <w:pPr>
              <w:spacing w:before="20" w:after="20" w:line="240" w:lineRule="auto"/>
              <w:rPr>
                <w:color w:val="FFFFFF" w:themeColor="background1"/>
                <w:sz w:val="18"/>
              </w:rPr>
            </w:pPr>
            <w:r>
              <w:rPr>
                <w:color w:val="FFFFFF" w:themeColor="background1"/>
                <w:sz w:val="18"/>
              </w:rPr>
              <w:t>Përshkrimi:</w:t>
            </w:r>
            <w:r>
              <w:rPr>
                <w:b w:val="0"/>
                <w:color w:val="FFFFFF" w:themeColor="background1"/>
                <w:sz w:val="18"/>
              </w:rPr>
              <w:t xml:space="preserve"> </w:t>
            </w:r>
            <w:bookmarkStart w:id="299" w:name="_Hlk170826282"/>
            <w:r>
              <w:rPr>
                <w:b w:val="0"/>
                <w:color w:val="FFFFFF" w:themeColor="background1"/>
                <w:sz w:val="18"/>
              </w:rPr>
              <w:t>Strategjia Kombëtare e Energjisë dhe Plani shoqërues i Zbatimit parashikojnë rinovimin e dy njësive të termocentralit Kosova B. Rinovimi i njësive të Kosovës B1 dhe B2 do të kryhet në dy faza. Deri në fund të vitit 2025 respektivisht 2026, të dy njësitë do të funksionojnë në mënyrë më efikase dhe më të besueshme, duke përmbushur standardet e detyrueshme të emetimit të Direktivës Industriale të Emetimeve. Pas rehabilitimit, prodhimi vjetor pritet të rritet në një kapacitet neto prej 544</w:t>
            </w:r>
            <w:r>
              <w:rPr>
                <w:b w:val="0"/>
                <w:color w:val="FF0000"/>
                <w:sz w:val="18"/>
              </w:rPr>
              <w:t xml:space="preserve"> </w:t>
            </w:r>
            <w:r>
              <w:rPr>
                <w:b w:val="0"/>
                <w:color w:val="FFFFFF" w:themeColor="background1"/>
                <w:sz w:val="18"/>
              </w:rPr>
              <w:t>MW.</w:t>
            </w:r>
            <w:r>
              <w:rPr>
                <w:color w:val="FFFFFF" w:themeColor="background1"/>
                <w:sz w:val="18"/>
              </w:rPr>
              <w:t xml:space="preserve"> </w:t>
            </w:r>
            <w:bookmarkEnd w:id="299"/>
          </w:p>
        </w:tc>
      </w:tr>
      <w:tr w:rsidR="005C57AD" w:rsidRPr="004A64EF" w14:paraId="2CFD6301" w14:textId="77777777">
        <w:tc>
          <w:tcPr>
            <w:cnfStyle w:val="001000000000" w:firstRow="0" w:lastRow="0" w:firstColumn="1" w:lastColumn="0" w:oddVBand="0" w:evenVBand="0" w:oddHBand="0" w:evenHBand="0" w:firstRowFirstColumn="0" w:firstRowLastColumn="0" w:lastRowFirstColumn="0" w:lastRowLastColumn="0"/>
            <w:tcW w:w="2425" w:type="dxa"/>
            <w:hideMark/>
          </w:tcPr>
          <w:p w14:paraId="0E1B8C2C" w14:textId="77777777" w:rsidR="005C57AD" w:rsidRPr="004A64EF" w:rsidRDefault="005C57AD">
            <w:pPr>
              <w:spacing w:before="20" w:after="20" w:line="240" w:lineRule="auto"/>
              <w:jc w:val="left"/>
              <w:rPr>
                <w:color w:val="FFFFFF" w:themeColor="background1"/>
                <w:sz w:val="18"/>
                <w:szCs w:val="18"/>
              </w:rPr>
            </w:pPr>
            <w:r>
              <w:rPr>
                <w:color w:val="FFFFFF" w:themeColor="background1"/>
                <w:sz w:val="18"/>
              </w:rPr>
              <w:t>Sektori/lloji</w:t>
            </w:r>
          </w:p>
        </w:tc>
        <w:tc>
          <w:tcPr>
            <w:tcW w:w="7139" w:type="dxa"/>
            <w:hideMark/>
          </w:tcPr>
          <w:p w14:paraId="51DD2C68" w14:textId="77777777" w:rsidR="005C57AD" w:rsidRPr="004A64EF" w:rsidRDefault="005C57AD">
            <w:pPr>
              <w:spacing w:before="20" w:after="20" w:line="240" w:lineRule="auto"/>
              <w:cnfStyle w:val="000000000000" w:firstRow="0" w:lastRow="0" w:firstColumn="0" w:lastColumn="0" w:oddVBand="0" w:evenVBand="0" w:oddHBand="0" w:evenHBand="0" w:firstRowFirstColumn="0" w:firstRowLastColumn="0" w:lastRowFirstColumn="0" w:lastRowLastColumn="0"/>
              <w:rPr>
                <w:color w:val="333333"/>
                <w:sz w:val="18"/>
              </w:rPr>
            </w:pPr>
            <w:r>
              <w:rPr>
                <w:color w:val="333333"/>
                <w:sz w:val="18"/>
              </w:rPr>
              <w:t>Energjetik/teknik</w:t>
            </w:r>
          </w:p>
        </w:tc>
      </w:tr>
      <w:tr w:rsidR="005C57AD" w:rsidRPr="004A64EF" w14:paraId="5FF9866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14:paraId="0FCBF34F" w14:textId="77777777" w:rsidR="005C57AD" w:rsidRPr="004A64EF" w:rsidRDefault="005C57AD">
            <w:pPr>
              <w:spacing w:before="20" w:after="20" w:line="240" w:lineRule="auto"/>
              <w:jc w:val="left"/>
              <w:rPr>
                <w:color w:val="FFFFFF" w:themeColor="background1"/>
                <w:sz w:val="18"/>
              </w:rPr>
            </w:pPr>
            <w:r>
              <w:rPr>
                <w:color w:val="FFFFFF" w:themeColor="background1"/>
                <w:sz w:val="18"/>
              </w:rPr>
              <w:t>Statusi i implementimit</w:t>
            </w:r>
          </w:p>
        </w:tc>
        <w:tc>
          <w:tcPr>
            <w:tcW w:w="7139" w:type="dxa"/>
            <w:hideMark/>
          </w:tcPr>
          <w:p w14:paraId="1E41DE4A" w14:textId="3E18E659" w:rsidR="005C57AD" w:rsidRPr="004A64EF" w:rsidRDefault="005C57AD">
            <w:pPr>
              <w:spacing w:before="20" w:after="20" w:line="240" w:lineRule="auto"/>
              <w:cnfStyle w:val="000000100000" w:firstRow="0" w:lastRow="0" w:firstColumn="0" w:lastColumn="0" w:oddVBand="0" w:evenVBand="0" w:oddHBand="1" w:evenHBand="0" w:firstRowFirstColumn="0" w:firstRowLastColumn="0" w:lastRowFirstColumn="0" w:lastRowLastColumn="0"/>
              <w:rPr>
                <w:color w:val="333333"/>
                <w:sz w:val="18"/>
                <w:szCs w:val="18"/>
              </w:rPr>
            </w:pPr>
            <w:r>
              <w:rPr>
                <w:color w:val="333333"/>
                <w:sz w:val="18"/>
              </w:rPr>
              <w:t>KEK-u tashmë ka kontraktuar një sërë punësh, siç është riparimi i kullës ftohëse, e cila po integron të dy njësitë, si dhe modernizimi i turbinës së njësive B1 dhe B2. Megjithatë, për shkak të shtyrjes së projektit për përmirësimin e mjedisit të financuar nga BE në vitin 2025/2026, i cili ka të bëjë me masat për reduktimin e pluhurit dhe NOx, këto aktivitete do të duhet të shtyhen, duke u përshtatur me kohën e zgjatur të pezullimit të dy njësive për zbatimin e projektit të financuar nga BE-ja. Masat për SO</w:t>
            </w:r>
            <w:r>
              <w:rPr>
                <w:color w:val="333333"/>
                <w:sz w:val="18"/>
                <w:vertAlign w:val="subscript"/>
              </w:rPr>
              <w:t>2</w:t>
            </w:r>
            <w:r>
              <w:rPr>
                <w:color w:val="333333"/>
                <w:sz w:val="18"/>
              </w:rPr>
              <w:t xml:space="preserve"> do të shtohen në vitin 2027. </w:t>
            </w:r>
          </w:p>
        </w:tc>
      </w:tr>
      <w:tr w:rsidR="005C57AD" w:rsidRPr="004A64EF" w14:paraId="4B4C6903" w14:textId="77777777">
        <w:tc>
          <w:tcPr>
            <w:cnfStyle w:val="001000000000" w:firstRow="0" w:lastRow="0" w:firstColumn="1" w:lastColumn="0" w:oddVBand="0" w:evenVBand="0" w:oddHBand="0" w:evenHBand="0" w:firstRowFirstColumn="0" w:firstRowLastColumn="0" w:lastRowFirstColumn="0" w:lastRowLastColumn="0"/>
            <w:tcW w:w="2425" w:type="dxa"/>
            <w:hideMark/>
          </w:tcPr>
          <w:p w14:paraId="02A56513" w14:textId="77777777" w:rsidR="005C57AD" w:rsidRPr="004A64EF" w:rsidRDefault="005C57AD">
            <w:pPr>
              <w:spacing w:before="20" w:after="20" w:line="240" w:lineRule="auto"/>
              <w:jc w:val="left"/>
              <w:rPr>
                <w:color w:val="FFFFFF" w:themeColor="background1"/>
                <w:sz w:val="18"/>
              </w:rPr>
            </w:pPr>
            <w:r>
              <w:rPr>
                <w:color w:val="FFFFFF" w:themeColor="background1"/>
                <w:sz w:val="18"/>
              </w:rPr>
              <w:t>Efektet kuantitative</w:t>
            </w:r>
          </w:p>
        </w:tc>
        <w:tc>
          <w:tcPr>
            <w:tcW w:w="7139" w:type="dxa"/>
            <w:hideMark/>
          </w:tcPr>
          <w:p w14:paraId="1E234CF7" w14:textId="202D8C41" w:rsidR="005C57AD" w:rsidRPr="004A64EF" w:rsidRDefault="005C57AD">
            <w:pPr>
              <w:spacing w:before="20" w:after="20" w:line="240" w:lineRule="auto"/>
              <w:cnfStyle w:val="000000000000" w:firstRow="0" w:lastRow="0" w:firstColumn="0" w:lastColumn="0" w:oddVBand="0" w:evenVBand="0" w:oddHBand="0" w:evenHBand="0" w:firstRowFirstColumn="0" w:firstRowLastColumn="0" w:lastRowFirstColumn="0" w:lastRowLastColumn="0"/>
              <w:rPr>
                <w:color w:val="333333"/>
                <w:sz w:val="18"/>
              </w:rPr>
            </w:pPr>
            <w:r>
              <w:rPr>
                <w:color w:val="333333"/>
                <w:sz w:val="18"/>
              </w:rPr>
              <w:t>Rritja e kapacitetit neto nga 516 nga 544 MW (nga 258 në 272 MW për njësi) (Burimi: KEK)</w:t>
            </w:r>
          </w:p>
        </w:tc>
      </w:tr>
      <w:tr w:rsidR="005C57AD" w:rsidRPr="004A64EF" w14:paraId="45978E9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14:paraId="4D657B4B" w14:textId="77777777" w:rsidR="005C57AD" w:rsidRPr="004A64EF" w:rsidRDefault="005C57AD">
            <w:pPr>
              <w:spacing w:before="20" w:after="20" w:line="240" w:lineRule="auto"/>
              <w:jc w:val="left"/>
              <w:rPr>
                <w:color w:val="FFFFFF" w:themeColor="background1"/>
                <w:sz w:val="18"/>
              </w:rPr>
            </w:pPr>
            <w:r>
              <w:rPr>
                <w:color w:val="FFFFFF" w:themeColor="background1"/>
                <w:sz w:val="18"/>
              </w:rPr>
              <w:t>Investimet</w:t>
            </w:r>
          </w:p>
        </w:tc>
        <w:tc>
          <w:tcPr>
            <w:tcW w:w="7139" w:type="dxa"/>
            <w:hideMark/>
          </w:tcPr>
          <w:p w14:paraId="4937D8F8" w14:textId="08E7D41D" w:rsidR="005C57AD" w:rsidRPr="004A64EF" w:rsidRDefault="00F97FB2">
            <w:pPr>
              <w:spacing w:before="20" w:after="20" w:line="240" w:lineRule="auto"/>
              <w:cnfStyle w:val="000000100000" w:firstRow="0" w:lastRow="0" w:firstColumn="0" w:lastColumn="0" w:oddVBand="0" w:evenVBand="0" w:oddHBand="1" w:evenHBand="0" w:firstRowFirstColumn="0" w:firstRowLastColumn="0" w:lastRowFirstColumn="0" w:lastRowLastColumn="0"/>
              <w:rPr>
                <w:color w:val="333333"/>
                <w:sz w:val="18"/>
                <w:szCs w:val="18"/>
              </w:rPr>
            </w:pPr>
            <w:r>
              <w:rPr>
                <w:color w:val="333333"/>
                <w:sz w:val="18"/>
              </w:rPr>
              <w:t xml:space="preserve">Gjithsej 178 mil. euro do të shpenzohen për të dy njësitë e Kosovës B (Kosova B1 dhe B2). </w:t>
            </w:r>
          </w:p>
          <w:p w14:paraId="7E8B6B12" w14:textId="5564984A" w:rsidR="005C57AD" w:rsidRPr="004A64EF" w:rsidRDefault="005C57AD">
            <w:pPr>
              <w:spacing w:before="20" w:after="20" w:line="240" w:lineRule="auto"/>
              <w:cnfStyle w:val="000000100000" w:firstRow="0" w:lastRow="0" w:firstColumn="0" w:lastColumn="0" w:oddVBand="0" w:evenVBand="0" w:oddHBand="1" w:evenHBand="0" w:firstRowFirstColumn="0" w:firstRowLastColumn="0" w:lastRowFirstColumn="0" w:lastRowLastColumn="0"/>
              <w:rPr>
                <w:color w:val="333333"/>
                <w:sz w:val="18"/>
                <w:szCs w:val="18"/>
              </w:rPr>
            </w:pPr>
            <w:r>
              <w:rPr>
                <w:color w:val="333333"/>
                <w:sz w:val="18"/>
              </w:rPr>
              <w:t>Këtu përfshihen si punët e kontraktuara nga KEK-u ashtu edhe masat për reduktimin e pluhurit dhe NOx të zbatuara përmes fondeve të BE-së. (Burimi: KEK)</w:t>
            </w:r>
          </w:p>
        </w:tc>
      </w:tr>
      <w:tr w:rsidR="005C57AD" w:rsidRPr="004A64EF" w14:paraId="075AC5B0" w14:textId="77777777">
        <w:tc>
          <w:tcPr>
            <w:cnfStyle w:val="001000000000" w:firstRow="0" w:lastRow="0" w:firstColumn="1" w:lastColumn="0" w:oddVBand="0" w:evenVBand="0" w:oddHBand="0" w:evenHBand="0" w:firstRowFirstColumn="0" w:firstRowLastColumn="0" w:lastRowFirstColumn="0" w:lastRowLastColumn="0"/>
            <w:tcW w:w="2425" w:type="dxa"/>
            <w:hideMark/>
          </w:tcPr>
          <w:p w14:paraId="62463D33" w14:textId="77777777" w:rsidR="005C57AD" w:rsidRPr="004A64EF" w:rsidRDefault="005C57AD">
            <w:pPr>
              <w:spacing w:before="20" w:after="20" w:line="240" w:lineRule="auto"/>
              <w:jc w:val="left"/>
              <w:rPr>
                <w:color w:val="FFFFFF" w:themeColor="background1"/>
                <w:sz w:val="18"/>
              </w:rPr>
            </w:pPr>
            <w:r>
              <w:rPr>
                <w:color w:val="FFFFFF" w:themeColor="background1"/>
                <w:sz w:val="18"/>
              </w:rPr>
              <w:t>Institucioni përgjegjës</w:t>
            </w:r>
          </w:p>
        </w:tc>
        <w:tc>
          <w:tcPr>
            <w:tcW w:w="7139" w:type="dxa"/>
            <w:hideMark/>
          </w:tcPr>
          <w:p w14:paraId="3BA6C184" w14:textId="77777777" w:rsidR="005C57AD" w:rsidRPr="004A64EF" w:rsidRDefault="005C57AD">
            <w:pPr>
              <w:spacing w:before="20" w:after="20" w:line="240" w:lineRule="auto"/>
              <w:cnfStyle w:val="000000000000" w:firstRow="0" w:lastRow="0" w:firstColumn="0" w:lastColumn="0" w:oddVBand="0" w:evenVBand="0" w:oddHBand="0" w:evenHBand="0" w:firstRowFirstColumn="0" w:firstRowLastColumn="0" w:lastRowFirstColumn="0" w:lastRowLastColumn="0"/>
              <w:rPr>
                <w:color w:val="333333"/>
                <w:sz w:val="18"/>
              </w:rPr>
            </w:pPr>
            <w:r>
              <w:rPr>
                <w:color w:val="333333"/>
                <w:sz w:val="18"/>
              </w:rPr>
              <w:t>KEK</w:t>
            </w:r>
          </w:p>
        </w:tc>
      </w:tr>
      <w:tr w:rsidR="005C57AD" w:rsidRPr="004A64EF" w14:paraId="54BF603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14:paraId="405EB785" w14:textId="77777777" w:rsidR="005C57AD" w:rsidRPr="004A64EF" w:rsidRDefault="005C57AD">
            <w:pPr>
              <w:spacing w:before="20" w:after="20" w:line="240" w:lineRule="auto"/>
              <w:jc w:val="left"/>
              <w:rPr>
                <w:color w:val="FFFFFF" w:themeColor="background1"/>
                <w:sz w:val="18"/>
              </w:rPr>
            </w:pPr>
            <w:r>
              <w:rPr>
                <w:color w:val="FFFFFF" w:themeColor="background1"/>
                <w:sz w:val="18"/>
              </w:rPr>
              <w:t>Treguesit e progresit</w:t>
            </w:r>
          </w:p>
        </w:tc>
        <w:tc>
          <w:tcPr>
            <w:tcW w:w="7139" w:type="dxa"/>
            <w:hideMark/>
          </w:tcPr>
          <w:p w14:paraId="0CB34734" w14:textId="77777777" w:rsidR="005C57AD" w:rsidRPr="004A64EF" w:rsidRDefault="005C57AD">
            <w:pPr>
              <w:spacing w:before="20" w:after="20" w:line="240" w:lineRule="auto"/>
              <w:cnfStyle w:val="000000100000" w:firstRow="0" w:lastRow="0" w:firstColumn="0" w:lastColumn="0" w:oddVBand="0" w:evenVBand="0" w:oddHBand="1" w:evenHBand="0" w:firstRowFirstColumn="0" w:firstRowLastColumn="0" w:lastRowFirstColumn="0" w:lastRowLastColumn="0"/>
              <w:rPr>
                <w:color w:val="333333"/>
                <w:sz w:val="18"/>
              </w:rPr>
            </w:pPr>
            <w:r>
              <w:rPr>
                <w:color w:val="333333"/>
                <w:sz w:val="18"/>
              </w:rPr>
              <w:t>Reduktimi i emetimeve të pluhurit, NOx dhe SO2</w:t>
            </w:r>
          </w:p>
        </w:tc>
      </w:tr>
      <w:tr w:rsidR="005C57AD" w:rsidRPr="00976D33" w14:paraId="3DA0A848" w14:textId="77777777">
        <w:tc>
          <w:tcPr>
            <w:cnfStyle w:val="001000000000" w:firstRow="0" w:lastRow="0" w:firstColumn="1" w:lastColumn="0" w:oddVBand="0" w:evenVBand="0" w:oddHBand="0" w:evenHBand="0" w:firstRowFirstColumn="0" w:firstRowLastColumn="0" w:lastRowFirstColumn="0" w:lastRowLastColumn="0"/>
            <w:tcW w:w="2425" w:type="dxa"/>
          </w:tcPr>
          <w:p w14:paraId="4CDB2560" w14:textId="70B76609" w:rsidR="005C57AD" w:rsidRPr="004A64EF" w:rsidRDefault="005C57AD">
            <w:pPr>
              <w:spacing w:before="20" w:after="20" w:line="240" w:lineRule="auto"/>
              <w:jc w:val="left"/>
              <w:rPr>
                <w:color w:val="FFFFFF" w:themeColor="background1"/>
                <w:sz w:val="18"/>
              </w:rPr>
            </w:pPr>
            <w:r>
              <w:rPr>
                <w:color w:val="FFFFFF" w:themeColor="background1"/>
                <w:sz w:val="18"/>
              </w:rPr>
              <w:t>Lidhja me dimension</w:t>
            </w:r>
            <w:r w:rsidR="0037748E">
              <w:rPr>
                <w:color w:val="FFFFFF" w:themeColor="background1"/>
                <w:sz w:val="18"/>
              </w:rPr>
              <w:t>et e tjera</w:t>
            </w:r>
          </w:p>
        </w:tc>
        <w:tc>
          <w:tcPr>
            <w:tcW w:w="7139" w:type="dxa"/>
          </w:tcPr>
          <w:p w14:paraId="0E35B656" w14:textId="77777777" w:rsidR="005C57AD" w:rsidRPr="00976D33" w:rsidRDefault="005C57AD">
            <w:pPr>
              <w:spacing w:before="20" w:after="20" w:line="240" w:lineRule="auto"/>
              <w:cnfStyle w:val="000000000000" w:firstRow="0" w:lastRow="0" w:firstColumn="0" w:lastColumn="0" w:oddVBand="0" w:evenVBand="0" w:oddHBand="0" w:evenHBand="0" w:firstRowFirstColumn="0" w:firstRowLastColumn="0" w:lastRowFirstColumn="0" w:lastRowLastColumn="0"/>
              <w:rPr>
                <w:color w:val="333333"/>
                <w:sz w:val="18"/>
                <w:szCs w:val="18"/>
              </w:rPr>
            </w:pPr>
            <w:r>
              <w:rPr>
                <w:color w:val="333333"/>
                <w:sz w:val="18"/>
              </w:rPr>
              <w:t xml:space="preserve">Dekarbonizimi, siguria energjetike, tregu i brendshëm energjetik </w:t>
            </w:r>
          </w:p>
        </w:tc>
      </w:tr>
    </w:tbl>
    <w:p w14:paraId="57649DFC" w14:textId="77777777" w:rsidR="005C57AD" w:rsidRPr="00976D33" w:rsidRDefault="005C57AD" w:rsidP="005C57AD">
      <w:pPr>
        <w:spacing w:before="120"/>
        <w:rPr>
          <w:rFonts w:cs="Calibri"/>
          <w:color w:val="4472C4"/>
          <w:lang w:eastAsia="en-GB"/>
        </w:rPr>
      </w:pPr>
    </w:p>
    <w:tbl>
      <w:tblPr>
        <w:tblStyle w:val="GridTable5DarkAccent10"/>
        <w:tblW w:w="0" w:type="auto"/>
        <w:tblLook w:val="04A0" w:firstRow="1" w:lastRow="0" w:firstColumn="1" w:lastColumn="0" w:noHBand="0" w:noVBand="1"/>
      </w:tblPr>
      <w:tblGrid>
        <w:gridCol w:w="2425"/>
        <w:gridCol w:w="7139"/>
      </w:tblGrid>
      <w:tr w:rsidR="005C57AD" w:rsidRPr="004A64EF" w14:paraId="07AC818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hideMark/>
          </w:tcPr>
          <w:p w14:paraId="4A0D9F7E" w14:textId="3EEECDCA" w:rsidR="005C57AD" w:rsidRPr="004A64EF" w:rsidRDefault="005C57AD">
            <w:pPr>
              <w:spacing w:before="20" w:after="20" w:line="240" w:lineRule="auto"/>
              <w:rPr>
                <w:color w:val="auto"/>
                <w:sz w:val="18"/>
                <w:szCs w:val="18"/>
              </w:rPr>
            </w:pPr>
            <w:bookmarkStart w:id="300" w:name="_Ref164838767"/>
            <w:bookmarkStart w:id="301" w:name="_Toc138210186"/>
            <w:bookmarkStart w:id="302" w:name="_Toc138998487"/>
            <w:r>
              <w:rPr>
                <w:color w:val="FFFFFF" w:themeColor="background1"/>
                <w:sz w:val="18"/>
              </w:rPr>
              <w:t>PM</w:t>
            </w:r>
            <w:bookmarkEnd w:id="300"/>
            <w:r>
              <w:rPr>
                <w:color w:val="FFFFFF" w:themeColor="background1"/>
                <w:sz w:val="18"/>
              </w:rPr>
              <w:t xml:space="preserve"> 48: Rehabilitimi i një deri në dy njësive në TC Kosova A</w:t>
            </w:r>
            <w:bookmarkEnd w:id="301"/>
            <w:bookmarkEnd w:id="302"/>
          </w:p>
        </w:tc>
      </w:tr>
      <w:tr w:rsidR="005C57AD" w:rsidRPr="004A64EF" w14:paraId="27B9A74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hideMark/>
          </w:tcPr>
          <w:p w14:paraId="7FF239A9" w14:textId="7D005449" w:rsidR="005C57AD" w:rsidRPr="004A64EF" w:rsidRDefault="005C57AD">
            <w:pPr>
              <w:spacing w:before="20" w:after="20" w:line="240" w:lineRule="auto"/>
              <w:rPr>
                <w:b w:val="0"/>
                <w:bCs w:val="0"/>
                <w:color w:val="FFFFFF" w:themeColor="background1"/>
                <w:sz w:val="18"/>
              </w:rPr>
            </w:pPr>
            <w:r>
              <w:rPr>
                <w:color w:val="FFFFFF" w:themeColor="background1"/>
                <w:sz w:val="18"/>
              </w:rPr>
              <w:t xml:space="preserve">Objektivi: </w:t>
            </w:r>
            <w:r>
              <w:rPr>
                <w:b w:val="0"/>
                <w:color w:val="FFFFFF" w:themeColor="background1"/>
                <w:sz w:val="18"/>
              </w:rPr>
              <w:t>Ruajtja e sigurisë së furnizimit duke përmirësuar disponueshmërinë dhe duke zgjatur jetëgjatësinë e TC Kosova A; reduktimi i emetimeve sipas direktivave të BE-së, veçanërisht Direktivës për Impiantet e Mëdha me Djegie).</w:t>
            </w:r>
          </w:p>
          <w:p w14:paraId="0A9B00E2" w14:textId="77777777" w:rsidR="005C57AD" w:rsidRPr="004A64EF" w:rsidRDefault="005C57AD">
            <w:pPr>
              <w:spacing w:before="20" w:after="20" w:line="240" w:lineRule="auto"/>
              <w:rPr>
                <w:b w:val="0"/>
                <w:bCs w:val="0"/>
                <w:color w:val="FFFFFF" w:themeColor="background1"/>
                <w:sz w:val="18"/>
              </w:rPr>
            </w:pPr>
          </w:p>
          <w:p w14:paraId="777D9492" w14:textId="409A7953" w:rsidR="005C57AD" w:rsidRPr="004A64EF" w:rsidRDefault="005C57AD">
            <w:pPr>
              <w:spacing w:before="20" w:after="20" w:line="240" w:lineRule="auto"/>
              <w:rPr>
                <w:color w:val="FFFFFF" w:themeColor="background1"/>
                <w:sz w:val="18"/>
              </w:rPr>
            </w:pPr>
            <w:r>
              <w:rPr>
                <w:color w:val="FFFFFF" w:themeColor="background1"/>
                <w:sz w:val="18"/>
              </w:rPr>
              <w:t>Përshkrimi:</w:t>
            </w:r>
            <w:r>
              <w:rPr>
                <w:b w:val="0"/>
                <w:color w:val="FFFFFF" w:themeColor="background1"/>
                <w:sz w:val="18"/>
              </w:rPr>
              <w:t xml:space="preserve"> </w:t>
            </w:r>
            <w:bookmarkStart w:id="303" w:name="_Hlk170826345"/>
            <w:r>
              <w:rPr>
                <w:b w:val="0"/>
                <w:color w:val="FFFFFF" w:themeColor="background1"/>
                <w:sz w:val="18"/>
              </w:rPr>
              <w:t xml:space="preserve">Sipas Strategjisë Kombëtare të Energjisë dhe Planit të shoqërues të Zbatimit, parashihet që njëra nga tri njësitë e Kosovës A t’i nënshtrohet procesit të rinovimit në fund të vitit 2024 (aktualisht i planifikuar për në fund të vitit 2025). </w:t>
            </w:r>
            <w:r>
              <w:rPr>
                <w:rFonts w:asciiTheme="majorHAnsi" w:hAnsiTheme="majorHAnsi"/>
                <w:b w:val="0"/>
                <w:color w:val="FFFFFF" w:themeColor="background1"/>
                <w:sz w:val="18"/>
              </w:rPr>
              <w:t>Vendimi nëse do të rinovohet ose do të hiqet nga përdorimi një njësi e dytë do të merret më së voni deri në fund të vitit 2024.</w:t>
            </w:r>
            <w:r>
              <w:rPr>
                <w:rFonts w:ascii="Segoe UI" w:hAnsi="Segoe UI"/>
                <w:color w:val="FFFFFF" w:themeColor="background1"/>
                <w:sz w:val="18"/>
              </w:rPr>
              <w:t xml:space="preserve"> </w:t>
            </w:r>
            <w:r>
              <w:rPr>
                <w:b w:val="0"/>
                <w:color w:val="FFFFFF" w:themeColor="background1"/>
                <w:sz w:val="18"/>
              </w:rPr>
              <w:t xml:space="preserve">Njësia e tretë operuese A do të mbyllet përgjithmonë pasi të ketë përfunduar rinovimi i njësive të tjera të linjitit. Njësia(të) e rinovuara A do të funksionojnë në një modalitet rezervë strategjik nga viti 2031 e tutje, që do të thotë se këto njësi do të jenë të disponueshme në sezonin vendimtar të ngrohjes me kërkesë më të lartë, ose gjatë rasteve të jashtëzakonshme siç ishte kriza e fundit energjetike. </w:t>
            </w:r>
            <w:bookmarkEnd w:id="303"/>
          </w:p>
        </w:tc>
      </w:tr>
      <w:tr w:rsidR="005C57AD" w:rsidRPr="004A64EF" w14:paraId="75992F10" w14:textId="77777777">
        <w:tc>
          <w:tcPr>
            <w:cnfStyle w:val="001000000000" w:firstRow="0" w:lastRow="0" w:firstColumn="1" w:lastColumn="0" w:oddVBand="0" w:evenVBand="0" w:oddHBand="0" w:evenHBand="0" w:firstRowFirstColumn="0" w:firstRowLastColumn="0" w:lastRowFirstColumn="0" w:lastRowLastColumn="0"/>
            <w:tcW w:w="2425" w:type="dxa"/>
            <w:hideMark/>
          </w:tcPr>
          <w:p w14:paraId="1852A9DB" w14:textId="77777777" w:rsidR="005C57AD" w:rsidRPr="004A64EF" w:rsidRDefault="005C57AD">
            <w:pPr>
              <w:spacing w:before="20" w:after="20" w:line="240" w:lineRule="auto"/>
              <w:jc w:val="left"/>
              <w:rPr>
                <w:color w:val="FFFFFF" w:themeColor="background1"/>
                <w:sz w:val="18"/>
                <w:szCs w:val="18"/>
              </w:rPr>
            </w:pPr>
            <w:r>
              <w:rPr>
                <w:color w:val="FFFFFF" w:themeColor="background1"/>
                <w:sz w:val="18"/>
              </w:rPr>
              <w:t>Sektori/lloji</w:t>
            </w:r>
          </w:p>
        </w:tc>
        <w:tc>
          <w:tcPr>
            <w:tcW w:w="7139" w:type="dxa"/>
            <w:hideMark/>
          </w:tcPr>
          <w:p w14:paraId="364AFB58" w14:textId="77777777" w:rsidR="005C57AD" w:rsidRPr="004A64EF" w:rsidRDefault="005C57AD">
            <w:pPr>
              <w:spacing w:before="20" w:after="20" w:line="240" w:lineRule="auto"/>
              <w:cnfStyle w:val="000000000000" w:firstRow="0" w:lastRow="0" w:firstColumn="0" w:lastColumn="0" w:oddVBand="0" w:evenVBand="0" w:oddHBand="0" w:evenHBand="0" w:firstRowFirstColumn="0" w:firstRowLastColumn="0" w:lastRowFirstColumn="0" w:lastRowLastColumn="0"/>
              <w:rPr>
                <w:color w:val="333333"/>
                <w:sz w:val="18"/>
              </w:rPr>
            </w:pPr>
            <w:r>
              <w:rPr>
                <w:color w:val="333333"/>
                <w:sz w:val="18"/>
              </w:rPr>
              <w:t>Energjetik/teknik</w:t>
            </w:r>
          </w:p>
        </w:tc>
      </w:tr>
      <w:tr w:rsidR="005C57AD" w:rsidRPr="004A64EF" w14:paraId="3069554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14:paraId="10AF7FB0" w14:textId="77777777" w:rsidR="005C57AD" w:rsidRPr="004A64EF" w:rsidRDefault="005C57AD">
            <w:pPr>
              <w:spacing w:before="20" w:after="20" w:line="240" w:lineRule="auto"/>
              <w:jc w:val="left"/>
              <w:rPr>
                <w:color w:val="FFFFFF" w:themeColor="background1"/>
                <w:sz w:val="18"/>
              </w:rPr>
            </w:pPr>
            <w:r>
              <w:rPr>
                <w:color w:val="FFFFFF" w:themeColor="background1"/>
                <w:sz w:val="18"/>
              </w:rPr>
              <w:t>Statusi i implementimit</w:t>
            </w:r>
          </w:p>
        </w:tc>
        <w:tc>
          <w:tcPr>
            <w:tcW w:w="7139" w:type="dxa"/>
            <w:hideMark/>
          </w:tcPr>
          <w:p w14:paraId="37C2349E" w14:textId="3CF968ED" w:rsidR="005C57AD" w:rsidRPr="004A64EF" w:rsidRDefault="005C57AD">
            <w:pPr>
              <w:spacing w:before="20" w:after="20" w:line="240" w:lineRule="auto"/>
              <w:cnfStyle w:val="000000100000" w:firstRow="0" w:lastRow="0" w:firstColumn="0" w:lastColumn="0" w:oddVBand="0" w:evenVBand="0" w:oddHBand="1" w:evenHBand="0" w:firstRowFirstColumn="0" w:firstRowLastColumn="0" w:lastRowFirstColumn="0" w:lastRowLastColumn="0"/>
              <w:rPr>
                <w:color w:val="333333"/>
                <w:sz w:val="18"/>
                <w:szCs w:val="18"/>
              </w:rPr>
            </w:pPr>
            <w:r>
              <w:rPr>
                <w:color w:val="333333"/>
                <w:sz w:val="18"/>
              </w:rPr>
              <w:t xml:space="preserve">Në përputhje me objektivat e përcaktuara, KEK-u ka hartuar një seri të plotë të specifikimeve teknike për masat e rinovimit në Njësinë A3 të TC Kosova A. Ky projekt do të përfshijë dy faza, fazën e parakualifikimit ku ofertuesit e suksesshëm do të përzgjidhen në listën e ngushtë dhe do të kenë të drejtë të kandidojë për fazën e dytë të dorëzimit të ofertave. Finalizimi i rehabilitimit të njësisë A3 është planifikuar në vitin 2026, ndërsa rehabilitimi i A4 është planifikuar paraprakisht për vitin 2027. </w:t>
            </w:r>
          </w:p>
        </w:tc>
      </w:tr>
      <w:tr w:rsidR="005C57AD" w:rsidRPr="004A64EF" w14:paraId="1CF33062" w14:textId="77777777">
        <w:tc>
          <w:tcPr>
            <w:cnfStyle w:val="001000000000" w:firstRow="0" w:lastRow="0" w:firstColumn="1" w:lastColumn="0" w:oddVBand="0" w:evenVBand="0" w:oddHBand="0" w:evenHBand="0" w:firstRowFirstColumn="0" w:firstRowLastColumn="0" w:lastRowFirstColumn="0" w:lastRowLastColumn="0"/>
            <w:tcW w:w="2425" w:type="dxa"/>
            <w:hideMark/>
          </w:tcPr>
          <w:p w14:paraId="53F99AB9" w14:textId="77777777" w:rsidR="005C57AD" w:rsidRPr="004A64EF" w:rsidRDefault="005C57AD">
            <w:pPr>
              <w:spacing w:before="20" w:after="20" w:line="240" w:lineRule="auto"/>
              <w:jc w:val="left"/>
              <w:rPr>
                <w:color w:val="FFFFFF" w:themeColor="background1"/>
                <w:sz w:val="18"/>
              </w:rPr>
            </w:pPr>
            <w:r>
              <w:rPr>
                <w:color w:val="FFFFFF" w:themeColor="background1"/>
                <w:sz w:val="18"/>
              </w:rPr>
              <w:t>Efektet kuantitative</w:t>
            </w:r>
          </w:p>
        </w:tc>
        <w:tc>
          <w:tcPr>
            <w:tcW w:w="7139" w:type="dxa"/>
            <w:hideMark/>
          </w:tcPr>
          <w:p w14:paraId="29B196CE" w14:textId="3DB93BFB" w:rsidR="005C57AD" w:rsidRPr="004A64EF" w:rsidRDefault="005C57AD">
            <w:pPr>
              <w:spacing w:before="20" w:after="20" w:line="240" w:lineRule="auto"/>
              <w:cnfStyle w:val="000000000000" w:firstRow="0" w:lastRow="0" w:firstColumn="0" w:lastColumn="0" w:oddVBand="0" w:evenVBand="0" w:oddHBand="0" w:evenHBand="0" w:firstRowFirstColumn="0" w:firstRowLastColumn="0" w:lastRowFirstColumn="0" w:lastRowLastColumn="0"/>
              <w:rPr>
                <w:color w:val="333333"/>
                <w:sz w:val="18"/>
              </w:rPr>
            </w:pPr>
            <w:r>
              <w:rPr>
                <w:color w:val="333333"/>
                <w:sz w:val="18"/>
              </w:rPr>
              <w:t>Rritja e kapacitetit neto nga 116 në 180 MW për njësi (Burimi: KEK)</w:t>
            </w:r>
          </w:p>
        </w:tc>
      </w:tr>
      <w:tr w:rsidR="005C57AD" w:rsidRPr="004A64EF" w14:paraId="013123F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14:paraId="3893E762" w14:textId="77777777" w:rsidR="005C57AD" w:rsidRPr="004A64EF" w:rsidRDefault="005C57AD">
            <w:pPr>
              <w:spacing w:before="20" w:after="20" w:line="240" w:lineRule="auto"/>
              <w:jc w:val="left"/>
              <w:rPr>
                <w:color w:val="FFFFFF" w:themeColor="background1"/>
                <w:sz w:val="18"/>
              </w:rPr>
            </w:pPr>
            <w:r>
              <w:rPr>
                <w:color w:val="FFFFFF" w:themeColor="background1"/>
                <w:sz w:val="18"/>
              </w:rPr>
              <w:t>Investimet</w:t>
            </w:r>
          </w:p>
        </w:tc>
        <w:tc>
          <w:tcPr>
            <w:tcW w:w="7139" w:type="dxa"/>
            <w:hideMark/>
          </w:tcPr>
          <w:p w14:paraId="1D2074E5" w14:textId="466FFD72" w:rsidR="005C57AD" w:rsidRPr="004A64EF" w:rsidRDefault="005C57AD">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color w:val="333333"/>
                <w:sz w:val="18"/>
                <w:szCs w:val="18"/>
              </w:rPr>
            </w:pPr>
            <w:r>
              <w:rPr>
                <w:color w:val="333333"/>
                <w:sz w:val="18"/>
              </w:rPr>
              <w:t>Vlerësimi fillestar është se ky projekt do të kushtojë nga 120 deri në 150 mil. euro për njësi,që mund të rritet në varësi të fushëveprimit të masave të rinovimit dhe vlerësimeve të kryera nga ofertuesit. KEK-u tashmë e ka ndarë shumën e përmendur dhe është i përkushtuar që në gjysmën e parë të vitit 2024 ta lansojë fazën e parakualifikimit. (Burimi: KEK)</w:t>
            </w:r>
          </w:p>
        </w:tc>
      </w:tr>
      <w:tr w:rsidR="005C57AD" w:rsidRPr="004A64EF" w14:paraId="7D11EDA0" w14:textId="77777777">
        <w:tc>
          <w:tcPr>
            <w:cnfStyle w:val="001000000000" w:firstRow="0" w:lastRow="0" w:firstColumn="1" w:lastColumn="0" w:oddVBand="0" w:evenVBand="0" w:oddHBand="0" w:evenHBand="0" w:firstRowFirstColumn="0" w:firstRowLastColumn="0" w:lastRowFirstColumn="0" w:lastRowLastColumn="0"/>
            <w:tcW w:w="2425" w:type="dxa"/>
            <w:hideMark/>
          </w:tcPr>
          <w:p w14:paraId="553CE1F1" w14:textId="77777777" w:rsidR="005C57AD" w:rsidRPr="004A64EF" w:rsidRDefault="005C57AD">
            <w:pPr>
              <w:spacing w:before="20" w:after="20" w:line="240" w:lineRule="auto"/>
              <w:jc w:val="left"/>
              <w:rPr>
                <w:color w:val="FFFFFF" w:themeColor="background1"/>
                <w:sz w:val="18"/>
              </w:rPr>
            </w:pPr>
            <w:r>
              <w:rPr>
                <w:color w:val="FFFFFF" w:themeColor="background1"/>
                <w:sz w:val="18"/>
              </w:rPr>
              <w:t>Institucioni përgjegjës</w:t>
            </w:r>
          </w:p>
        </w:tc>
        <w:tc>
          <w:tcPr>
            <w:tcW w:w="7139" w:type="dxa"/>
            <w:hideMark/>
          </w:tcPr>
          <w:p w14:paraId="1BB4AB07" w14:textId="77777777" w:rsidR="005C57AD" w:rsidRPr="004A64EF" w:rsidRDefault="005C57AD">
            <w:pPr>
              <w:spacing w:before="20" w:after="20" w:line="240" w:lineRule="auto"/>
              <w:cnfStyle w:val="000000000000" w:firstRow="0" w:lastRow="0" w:firstColumn="0" w:lastColumn="0" w:oddVBand="0" w:evenVBand="0" w:oddHBand="0" w:evenHBand="0" w:firstRowFirstColumn="0" w:firstRowLastColumn="0" w:lastRowFirstColumn="0" w:lastRowLastColumn="0"/>
              <w:rPr>
                <w:color w:val="333333"/>
                <w:sz w:val="18"/>
              </w:rPr>
            </w:pPr>
            <w:r>
              <w:rPr>
                <w:color w:val="333333"/>
                <w:sz w:val="18"/>
              </w:rPr>
              <w:t>KEK</w:t>
            </w:r>
          </w:p>
        </w:tc>
      </w:tr>
      <w:tr w:rsidR="005C57AD" w:rsidRPr="004A64EF" w14:paraId="4E05761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14:paraId="33D61B45" w14:textId="77777777" w:rsidR="005C57AD" w:rsidRPr="004A64EF" w:rsidRDefault="005C57AD">
            <w:pPr>
              <w:spacing w:before="20" w:after="20" w:line="240" w:lineRule="auto"/>
              <w:jc w:val="left"/>
              <w:rPr>
                <w:color w:val="FFFFFF" w:themeColor="background1"/>
                <w:sz w:val="18"/>
              </w:rPr>
            </w:pPr>
            <w:r>
              <w:rPr>
                <w:color w:val="FFFFFF" w:themeColor="background1"/>
                <w:sz w:val="18"/>
              </w:rPr>
              <w:t>Treguesit e progresit</w:t>
            </w:r>
          </w:p>
        </w:tc>
        <w:tc>
          <w:tcPr>
            <w:tcW w:w="7139" w:type="dxa"/>
            <w:hideMark/>
          </w:tcPr>
          <w:p w14:paraId="37E1018E" w14:textId="77777777" w:rsidR="005C57AD" w:rsidRPr="004A64EF" w:rsidRDefault="005C57AD">
            <w:pPr>
              <w:spacing w:before="20" w:after="20" w:line="240" w:lineRule="auto"/>
              <w:cnfStyle w:val="000000100000" w:firstRow="0" w:lastRow="0" w:firstColumn="0" w:lastColumn="0" w:oddVBand="0" w:evenVBand="0" w:oddHBand="1" w:evenHBand="0" w:firstRowFirstColumn="0" w:firstRowLastColumn="0" w:lastRowFirstColumn="0" w:lastRowLastColumn="0"/>
              <w:rPr>
                <w:sz w:val="18"/>
              </w:rPr>
            </w:pPr>
            <w:r>
              <w:rPr>
                <w:color w:val="333333"/>
                <w:sz w:val="18"/>
              </w:rPr>
              <w:t xml:space="preserve">Reduktimi i emetimeve të pluhurit, NOx dhe SO2 </w:t>
            </w:r>
          </w:p>
        </w:tc>
      </w:tr>
      <w:tr w:rsidR="005C57AD" w:rsidRPr="00976D33" w14:paraId="08CE153A" w14:textId="77777777">
        <w:tc>
          <w:tcPr>
            <w:cnfStyle w:val="001000000000" w:firstRow="0" w:lastRow="0" w:firstColumn="1" w:lastColumn="0" w:oddVBand="0" w:evenVBand="0" w:oddHBand="0" w:evenHBand="0" w:firstRowFirstColumn="0" w:firstRowLastColumn="0" w:lastRowFirstColumn="0" w:lastRowLastColumn="0"/>
            <w:tcW w:w="2425" w:type="dxa"/>
          </w:tcPr>
          <w:p w14:paraId="4290DBA0" w14:textId="0C57B2A4" w:rsidR="005C57AD" w:rsidRPr="004A64EF" w:rsidRDefault="005C57AD">
            <w:pPr>
              <w:spacing w:before="20" w:after="20" w:line="240" w:lineRule="auto"/>
              <w:jc w:val="left"/>
              <w:rPr>
                <w:color w:val="FFFFFF" w:themeColor="background1"/>
                <w:sz w:val="18"/>
              </w:rPr>
            </w:pPr>
            <w:r>
              <w:rPr>
                <w:color w:val="FFFFFF" w:themeColor="background1"/>
                <w:sz w:val="18"/>
              </w:rPr>
              <w:t>Lidhja me dimension</w:t>
            </w:r>
            <w:r w:rsidR="0037748E">
              <w:rPr>
                <w:color w:val="FFFFFF" w:themeColor="background1"/>
                <w:sz w:val="18"/>
              </w:rPr>
              <w:t>et e tjera</w:t>
            </w:r>
          </w:p>
        </w:tc>
        <w:tc>
          <w:tcPr>
            <w:tcW w:w="7139" w:type="dxa"/>
          </w:tcPr>
          <w:p w14:paraId="4A465F98" w14:textId="1D9BDA3E" w:rsidR="005C57AD" w:rsidRPr="00976D33" w:rsidRDefault="005C57AD">
            <w:pPr>
              <w:spacing w:before="20" w:after="2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rPr>
              <w:t xml:space="preserve">Dekarbonizimi, siguria energjetike, tregu i brendshëm energjetik </w:t>
            </w:r>
          </w:p>
        </w:tc>
      </w:tr>
    </w:tbl>
    <w:p w14:paraId="6510FEBA" w14:textId="77777777" w:rsidR="005C57AD" w:rsidRPr="00976D33" w:rsidRDefault="005C57AD" w:rsidP="005C57AD">
      <w:pPr>
        <w:spacing w:before="0" w:after="200"/>
        <w:jc w:val="left"/>
        <w:rPr>
          <w:rFonts w:cs="Calibri"/>
          <w:color w:val="4472C4"/>
          <w:lang w:eastAsia="en-GB"/>
        </w:rPr>
      </w:pPr>
    </w:p>
    <w:tbl>
      <w:tblPr>
        <w:tblStyle w:val="GridTable5DarkAccent10"/>
        <w:tblW w:w="0" w:type="auto"/>
        <w:tblLook w:val="04A0" w:firstRow="1" w:lastRow="0" w:firstColumn="1" w:lastColumn="0" w:noHBand="0" w:noVBand="1"/>
      </w:tblPr>
      <w:tblGrid>
        <w:gridCol w:w="2425"/>
        <w:gridCol w:w="7139"/>
      </w:tblGrid>
      <w:tr w:rsidR="005C57AD" w:rsidRPr="004A64EF" w14:paraId="6DB69FB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hideMark/>
          </w:tcPr>
          <w:p w14:paraId="5809094C" w14:textId="0A9ECF78" w:rsidR="005C57AD" w:rsidRPr="004A64EF" w:rsidRDefault="005C57AD">
            <w:pPr>
              <w:spacing w:beforeLines="20" w:before="48" w:afterLines="20" w:after="48" w:line="240" w:lineRule="auto"/>
              <w:rPr>
                <w:color w:val="auto"/>
                <w:sz w:val="18"/>
              </w:rPr>
            </w:pPr>
            <w:bookmarkStart w:id="304" w:name="_Toc138210187"/>
            <w:bookmarkStart w:id="305" w:name="_Toc138998488"/>
            <w:r>
              <w:rPr>
                <w:color w:val="FFFFFF" w:themeColor="background1"/>
                <w:sz w:val="18"/>
              </w:rPr>
              <w:lastRenderedPageBreak/>
              <w:t>PM 49: Përmirësimi i sigurisë kibernetike në sektorin energjetik</w:t>
            </w:r>
            <w:bookmarkEnd w:id="304"/>
            <w:bookmarkEnd w:id="305"/>
          </w:p>
        </w:tc>
      </w:tr>
      <w:tr w:rsidR="005C57AD" w:rsidRPr="004A64EF" w14:paraId="7EA06EC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hideMark/>
          </w:tcPr>
          <w:p w14:paraId="121B34E3" w14:textId="77777777" w:rsidR="005C57AD" w:rsidRPr="004A64EF" w:rsidRDefault="005C57AD">
            <w:pPr>
              <w:spacing w:beforeLines="20" w:before="48" w:afterLines="20" w:after="48" w:line="240" w:lineRule="auto"/>
              <w:rPr>
                <w:b w:val="0"/>
                <w:bCs w:val="0"/>
                <w:color w:val="FFFFFF" w:themeColor="background1"/>
                <w:sz w:val="18"/>
              </w:rPr>
            </w:pPr>
            <w:r>
              <w:rPr>
                <w:color w:val="FFFFFF" w:themeColor="background1"/>
                <w:sz w:val="18"/>
              </w:rPr>
              <w:t xml:space="preserve">Objektivi: </w:t>
            </w:r>
            <w:r>
              <w:rPr>
                <w:b w:val="0"/>
                <w:color w:val="FFFFFF" w:themeColor="background1"/>
                <w:sz w:val="18"/>
              </w:rPr>
              <w:t xml:space="preserve">Garantimi i sigurisë kibernetike në sektorin energjetik për të siguruar funksionim të besueshëm të tregut, veçanërisht kur punohet drejt liberalizimit të tregut të energjisë elektrike. </w:t>
            </w:r>
          </w:p>
          <w:p w14:paraId="38C89B7E" w14:textId="77777777" w:rsidR="005C57AD" w:rsidRPr="004A64EF" w:rsidRDefault="005C57AD">
            <w:pPr>
              <w:spacing w:beforeLines="20" w:before="48" w:afterLines="20" w:after="48" w:line="240" w:lineRule="auto"/>
              <w:rPr>
                <w:b w:val="0"/>
                <w:bCs w:val="0"/>
                <w:color w:val="FFFFFF" w:themeColor="background1"/>
                <w:sz w:val="18"/>
              </w:rPr>
            </w:pPr>
          </w:p>
          <w:p w14:paraId="0301FF01" w14:textId="4407A496" w:rsidR="005C57AD" w:rsidRPr="004A64EF" w:rsidRDefault="005C57AD">
            <w:pPr>
              <w:spacing w:beforeLines="20" w:before="48" w:afterLines="20" w:after="48" w:line="240" w:lineRule="auto"/>
              <w:rPr>
                <w:color w:val="FFFFFF" w:themeColor="background1"/>
                <w:sz w:val="18"/>
              </w:rPr>
            </w:pPr>
            <w:r>
              <w:rPr>
                <w:b w:val="0"/>
                <w:color w:val="FFFFFF" w:themeColor="background1"/>
                <w:sz w:val="18"/>
              </w:rPr>
              <w:t xml:space="preserve">Përshkrimi: Krijimi i kapaciteteve të reagimit kibernetik (identifikimi, zbulimi, reagimi dhe rikuperimi) në sektorin energjetik duke vendosur bazën ligjore në formën e një Ligji për Sigurinë Kibernetike (përfshirë legjislacionin sekondar – aktualisht, dhjetë akte nënligjore janë në zhvillim e sipër për implementimin e ligjit).  Bazuar në Ligjin për Sigurinë Kibernetike (neni 3, paragrafi 2), janë duke u prezantuar ekipet sektoriale kombëtare për reagimin ndaj incidenteve kibernetike (eCSIRT – Ekipi i Reagimit ndaj Emergjencave Kompjuterike). </w:t>
            </w:r>
          </w:p>
        </w:tc>
      </w:tr>
      <w:tr w:rsidR="005C57AD" w:rsidRPr="004A64EF" w14:paraId="417715EC" w14:textId="77777777">
        <w:tc>
          <w:tcPr>
            <w:cnfStyle w:val="001000000000" w:firstRow="0" w:lastRow="0" w:firstColumn="1" w:lastColumn="0" w:oddVBand="0" w:evenVBand="0" w:oddHBand="0" w:evenHBand="0" w:firstRowFirstColumn="0" w:firstRowLastColumn="0" w:lastRowFirstColumn="0" w:lastRowLastColumn="0"/>
            <w:tcW w:w="2425" w:type="dxa"/>
            <w:hideMark/>
          </w:tcPr>
          <w:p w14:paraId="6BC5AE17" w14:textId="77777777" w:rsidR="005C57AD" w:rsidRPr="004A64EF" w:rsidRDefault="005C57AD">
            <w:pPr>
              <w:spacing w:beforeLines="20" w:before="48" w:afterLines="20" w:after="48" w:line="240" w:lineRule="auto"/>
              <w:jc w:val="left"/>
              <w:rPr>
                <w:color w:val="FFFFFF" w:themeColor="background1"/>
                <w:sz w:val="18"/>
                <w:szCs w:val="18"/>
              </w:rPr>
            </w:pPr>
            <w:r>
              <w:rPr>
                <w:color w:val="FFFFFF" w:themeColor="background1"/>
                <w:sz w:val="18"/>
              </w:rPr>
              <w:t>Sektori/lloji</w:t>
            </w:r>
          </w:p>
        </w:tc>
        <w:tc>
          <w:tcPr>
            <w:tcW w:w="7139" w:type="dxa"/>
            <w:hideMark/>
          </w:tcPr>
          <w:p w14:paraId="19B4A051" w14:textId="77777777" w:rsidR="005C57AD" w:rsidRPr="004A64EF" w:rsidRDefault="005C57AD">
            <w:pPr>
              <w:spacing w:beforeLines="20" w:before="48" w:afterLines="20" w:after="48" w:line="240" w:lineRule="auto"/>
              <w:cnfStyle w:val="000000000000" w:firstRow="0" w:lastRow="0" w:firstColumn="0" w:lastColumn="0" w:oddVBand="0" w:evenVBand="0" w:oddHBand="0" w:evenHBand="0" w:firstRowFirstColumn="0" w:firstRowLastColumn="0" w:lastRowFirstColumn="0" w:lastRowLastColumn="0"/>
              <w:rPr>
                <w:color w:val="333333"/>
                <w:sz w:val="18"/>
              </w:rPr>
            </w:pPr>
            <w:r>
              <w:rPr>
                <w:color w:val="333333"/>
                <w:sz w:val="18"/>
              </w:rPr>
              <w:t>Energjetik/teknik (jo i modeluar)</w:t>
            </w:r>
          </w:p>
        </w:tc>
      </w:tr>
      <w:tr w:rsidR="005C57AD" w:rsidRPr="004A64EF" w14:paraId="38333A0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14:paraId="1090D80D" w14:textId="77777777" w:rsidR="005C57AD" w:rsidRPr="004A64EF" w:rsidRDefault="005C57AD">
            <w:pPr>
              <w:spacing w:beforeLines="20" w:before="48" w:afterLines="20" w:after="48" w:line="240" w:lineRule="auto"/>
              <w:jc w:val="left"/>
              <w:rPr>
                <w:color w:val="FFFFFF" w:themeColor="background1"/>
                <w:sz w:val="18"/>
              </w:rPr>
            </w:pPr>
            <w:r>
              <w:rPr>
                <w:color w:val="FFFFFF" w:themeColor="background1"/>
                <w:sz w:val="18"/>
              </w:rPr>
              <w:t>Statusi i implementimit</w:t>
            </w:r>
          </w:p>
        </w:tc>
        <w:tc>
          <w:tcPr>
            <w:tcW w:w="7139" w:type="dxa"/>
            <w:hideMark/>
          </w:tcPr>
          <w:p w14:paraId="1FBD31FB" w14:textId="7441EB1A" w:rsidR="005C57AD" w:rsidRPr="004A64EF" w:rsidRDefault="005C57AD">
            <w:pPr>
              <w:spacing w:beforeLines="20" w:before="48" w:afterLines="20" w:after="48" w:line="240" w:lineRule="auto"/>
              <w:cnfStyle w:val="000000100000" w:firstRow="0" w:lastRow="0" w:firstColumn="0" w:lastColumn="0" w:oddVBand="0" w:evenVBand="0" w:oddHBand="1" w:evenHBand="0" w:firstRowFirstColumn="0" w:firstRowLastColumn="0" w:lastRowFirstColumn="0" w:lastRowLastColumn="0"/>
              <w:rPr>
                <w:color w:val="333333"/>
                <w:sz w:val="18"/>
              </w:rPr>
            </w:pPr>
            <w:r>
              <w:rPr>
                <w:color w:val="333333"/>
                <w:sz w:val="18"/>
              </w:rPr>
              <w:t xml:space="preserve">Në implementim. Ligji për Sigurinë Kibernetike është miratuar në vitin 2023, aktet nënligjore përkatës aktualisht janë në zhvillim e sipër. </w:t>
            </w:r>
          </w:p>
        </w:tc>
      </w:tr>
      <w:tr w:rsidR="005C57AD" w:rsidRPr="004A64EF" w14:paraId="1E9E94C0" w14:textId="77777777">
        <w:tc>
          <w:tcPr>
            <w:cnfStyle w:val="001000000000" w:firstRow="0" w:lastRow="0" w:firstColumn="1" w:lastColumn="0" w:oddVBand="0" w:evenVBand="0" w:oddHBand="0" w:evenHBand="0" w:firstRowFirstColumn="0" w:firstRowLastColumn="0" w:lastRowFirstColumn="0" w:lastRowLastColumn="0"/>
            <w:tcW w:w="2425" w:type="dxa"/>
            <w:hideMark/>
          </w:tcPr>
          <w:p w14:paraId="20471D0E" w14:textId="77777777" w:rsidR="005C57AD" w:rsidRPr="004A64EF" w:rsidRDefault="005C57AD">
            <w:pPr>
              <w:spacing w:beforeLines="20" w:before="48" w:afterLines="20" w:after="48" w:line="240" w:lineRule="auto"/>
              <w:jc w:val="left"/>
              <w:rPr>
                <w:color w:val="FFFFFF" w:themeColor="background1"/>
                <w:sz w:val="18"/>
              </w:rPr>
            </w:pPr>
            <w:r>
              <w:rPr>
                <w:color w:val="FFFFFF" w:themeColor="background1"/>
                <w:sz w:val="18"/>
              </w:rPr>
              <w:t>Efektet kuantitative</w:t>
            </w:r>
          </w:p>
        </w:tc>
        <w:tc>
          <w:tcPr>
            <w:tcW w:w="7139" w:type="dxa"/>
            <w:hideMark/>
          </w:tcPr>
          <w:p w14:paraId="63326020" w14:textId="77777777" w:rsidR="005C57AD" w:rsidRPr="004A64EF" w:rsidRDefault="005C57AD">
            <w:pPr>
              <w:spacing w:beforeLines="20" w:before="48" w:afterLines="20" w:after="48" w:line="240" w:lineRule="auto"/>
              <w:cnfStyle w:val="000000000000" w:firstRow="0" w:lastRow="0" w:firstColumn="0" w:lastColumn="0" w:oddVBand="0" w:evenVBand="0" w:oddHBand="0" w:evenHBand="0" w:firstRowFirstColumn="0" w:firstRowLastColumn="0" w:lastRowFirstColumn="0" w:lastRowLastColumn="0"/>
              <w:rPr>
                <w:color w:val="333333"/>
                <w:sz w:val="18"/>
              </w:rPr>
            </w:pPr>
            <w:r>
              <w:rPr>
                <w:color w:val="333333"/>
                <w:sz w:val="18"/>
              </w:rPr>
              <w:t>/</w:t>
            </w:r>
          </w:p>
        </w:tc>
      </w:tr>
      <w:tr w:rsidR="005C57AD" w:rsidRPr="004A64EF" w14:paraId="7D6FB84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14:paraId="44BD5D85" w14:textId="77777777" w:rsidR="005C57AD" w:rsidRPr="004A64EF" w:rsidRDefault="005C57AD">
            <w:pPr>
              <w:spacing w:beforeLines="20" w:before="48" w:afterLines="20" w:after="48" w:line="240" w:lineRule="auto"/>
              <w:jc w:val="left"/>
              <w:rPr>
                <w:color w:val="FFFFFF" w:themeColor="background1"/>
                <w:sz w:val="18"/>
              </w:rPr>
            </w:pPr>
            <w:r>
              <w:rPr>
                <w:color w:val="FFFFFF" w:themeColor="background1"/>
                <w:sz w:val="18"/>
              </w:rPr>
              <w:t>Investimet</w:t>
            </w:r>
          </w:p>
        </w:tc>
        <w:tc>
          <w:tcPr>
            <w:tcW w:w="7139" w:type="dxa"/>
            <w:hideMark/>
          </w:tcPr>
          <w:p w14:paraId="2FB99401" w14:textId="263953C6" w:rsidR="005C57AD" w:rsidRPr="004A64EF" w:rsidRDefault="005C57AD">
            <w:pPr>
              <w:spacing w:beforeLines="20" w:before="48" w:afterLines="20" w:after="48" w:line="240" w:lineRule="auto"/>
              <w:cnfStyle w:val="000000100000" w:firstRow="0" w:lastRow="0" w:firstColumn="0" w:lastColumn="0" w:oddVBand="0" w:evenVBand="0" w:oddHBand="1" w:evenHBand="0" w:firstRowFirstColumn="0" w:firstRowLastColumn="0" w:lastRowFirstColumn="0" w:lastRowLastColumn="0"/>
              <w:rPr>
                <w:color w:val="333333"/>
                <w:sz w:val="18"/>
              </w:rPr>
            </w:pPr>
            <w:r>
              <w:rPr>
                <w:color w:val="333333"/>
                <w:sz w:val="18"/>
              </w:rPr>
              <w:t>Planifikimi i buxheti për Strategjinë Kombëtare të Energjisë parashikon një total prej 1.69 mil. euro për forcimin e sigurisë kibernetike në sektorin e energjisë, që do të shpenzohet ndërmjet viteve 2022 dhe 2024 dhe do të financohet nga Buxheti i Kosovës dhe donatorët. Investime shtesë mund të ndërmerren në kuadër të zbatimit të Strategjisë Shtetërore për Siguri Kibernetike 2023-2027 (Burimi: Strategjia Kombëtare e Energjisë, Strategjia Shtetërore për Siguri Kibernetike)</w:t>
            </w:r>
          </w:p>
        </w:tc>
      </w:tr>
      <w:tr w:rsidR="005C57AD" w:rsidRPr="004A64EF" w14:paraId="351DC03F" w14:textId="77777777">
        <w:tc>
          <w:tcPr>
            <w:cnfStyle w:val="001000000000" w:firstRow="0" w:lastRow="0" w:firstColumn="1" w:lastColumn="0" w:oddVBand="0" w:evenVBand="0" w:oddHBand="0" w:evenHBand="0" w:firstRowFirstColumn="0" w:firstRowLastColumn="0" w:lastRowFirstColumn="0" w:lastRowLastColumn="0"/>
            <w:tcW w:w="2425" w:type="dxa"/>
            <w:hideMark/>
          </w:tcPr>
          <w:p w14:paraId="41FDC520" w14:textId="77777777" w:rsidR="005C57AD" w:rsidRPr="004A64EF" w:rsidRDefault="005C57AD">
            <w:pPr>
              <w:spacing w:beforeLines="20" w:before="48" w:afterLines="20" w:after="48" w:line="240" w:lineRule="auto"/>
              <w:jc w:val="left"/>
              <w:rPr>
                <w:color w:val="FFFFFF" w:themeColor="background1"/>
                <w:sz w:val="18"/>
              </w:rPr>
            </w:pPr>
            <w:r>
              <w:rPr>
                <w:color w:val="FFFFFF" w:themeColor="background1"/>
                <w:sz w:val="18"/>
              </w:rPr>
              <w:t>Institucioni përgjegjës</w:t>
            </w:r>
          </w:p>
        </w:tc>
        <w:tc>
          <w:tcPr>
            <w:tcW w:w="7139" w:type="dxa"/>
            <w:hideMark/>
          </w:tcPr>
          <w:p w14:paraId="3F803929" w14:textId="77777777" w:rsidR="005C57AD" w:rsidRPr="004A64EF" w:rsidRDefault="005C57AD">
            <w:pPr>
              <w:spacing w:beforeLines="20" w:before="48" w:afterLines="20" w:after="48" w:line="240" w:lineRule="auto"/>
              <w:cnfStyle w:val="000000000000" w:firstRow="0" w:lastRow="0" w:firstColumn="0" w:lastColumn="0" w:oddVBand="0" w:evenVBand="0" w:oddHBand="0" w:evenHBand="0" w:firstRowFirstColumn="0" w:firstRowLastColumn="0" w:lastRowFirstColumn="0" w:lastRowLastColumn="0"/>
              <w:rPr>
                <w:color w:val="333333"/>
                <w:sz w:val="18"/>
              </w:rPr>
            </w:pPr>
            <w:r>
              <w:rPr>
                <w:color w:val="333333"/>
                <w:sz w:val="18"/>
              </w:rPr>
              <w:t>MPB, ME, ZRRE, KOSTT</w:t>
            </w:r>
          </w:p>
        </w:tc>
      </w:tr>
      <w:tr w:rsidR="005C57AD" w:rsidRPr="004A64EF" w14:paraId="2EE8F02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14:paraId="51650F5F" w14:textId="77777777" w:rsidR="005C57AD" w:rsidRPr="004A64EF" w:rsidRDefault="005C57AD">
            <w:pPr>
              <w:spacing w:beforeLines="20" w:before="48" w:afterLines="20" w:after="48" w:line="240" w:lineRule="auto"/>
              <w:jc w:val="left"/>
              <w:rPr>
                <w:color w:val="FFFFFF" w:themeColor="background1"/>
                <w:sz w:val="18"/>
              </w:rPr>
            </w:pPr>
            <w:r>
              <w:rPr>
                <w:color w:val="FFFFFF" w:themeColor="background1"/>
                <w:sz w:val="18"/>
              </w:rPr>
              <w:t>Treguesit e progresit</w:t>
            </w:r>
          </w:p>
        </w:tc>
        <w:tc>
          <w:tcPr>
            <w:tcW w:w="7139" w:type="dxa"/>
            <w:hideMark/>
          </w:tcPr>
          <w:p w14:paraId="2D0B8B3A" w14:textId="53D165A1" w:rsidR="005C57AD" w:rsidRPr="004A64EF" w:rsidRDefault="005C57AD">
            <w:pPr>
              <w:spacing w:beforeLines="20" w:before="48" w:afterLines="20" w:after="48" w:line="240" w:lineRule="auto"/>
              <w:cnfStyle w:val="000000100000" w:firstRow="0" w:lastRow="0" w:firstColumn="0" w:lastColumn="0" w:oddVBand="0" w:evenVBand="0" w:oddHBand="1" w:evenHBand="0" w:firstRowFirstColumn="0" w:firstRowLastColumn="0" w:lastRowFirstColumn="0" w:lastRowLastColumn="0"/>
              <w:rPr>
                <w:color w:val="333333"/>
                <w:sz w:val="18"/>
              </w:rPr>
            </w:pPr>
            <w:r>
              <w:rPr>
                <w:color w:val="333333"/>
                <w:sz w:val="18"/>
              </w:rPr>
              <w:t xml:space="preserve">Aktet nënligjore në fuqi, Ekipi i Reagimit ndaj Incidenteve të Sigurisë Kompjuterike (eCSIRT) është krijuar. </w:t>
            </w:r>
          </w:p>
        </w:tc>
      </w:tr>
      <w:tr w:rsidR="005C57AD" w:rsidRPr="00976D33" w14:paraId="0A5555F9" w14:textId="77777777" w:rsidTr="00FF705C">
        <w:trPr>
          <w:trHeight w:val="492"/>
        </w:trPr>
        <w:tc>
          <w:tcPr>
            <w:cnfStyle w:val="001000000000" w:firstRow="0" w:lastRow="0" w:firstColumn="1" w:lastColumn="0" w:oddVBand="0" w:evenVBand="0" w:oddHBand="0" w:evenHBand="0" w:firstRowFirstColumn="0" w:firstRowLastColumn="0" w:lastRowFirstColumn="0" w:lastRowLastColumn="0"/>
            <w:tcW w:w="2425" w:type="dxa"/>
          </w:tcPr>
          <w:p w14:paraId="78F7AF65" w14:textId="3FDDFB70" w:rsidR="005C57AD" w:rsidRPr="004A64EF" w:rsidRDefault="005C57AD" w:rsidP="00FF705C">
            <w:pPr>
              <w:spacing w:beforeLines="20" w:before="48" w:afterLines="20" w:after="48" w:line="240" w:lineRule="auto"/>
              <w:jc w:val="left"/>
              <w:rPr>
                <w:color w:val="FFFFFF" w:themeColor="background1"/>
                <w:sz w:val="18"/>
              </w:rPr>
            </w:pPr>
            <w:r>
              <w:rPr>
                <w:color w:val="FFFFFF" w:themeColor="background1"/>
                <w:sz w:val="18"/>
              </w:rPr>
              <w:t>Lidhja me dimension</w:t>
            </w:r>
            <w:r w:rsidR="0037748E">
              <w:rPr>
                <w:color w:val="FFFFFF" w:themeColor="background1"/>
                <w:sz w:val="18"/>
              </w:rPr>
              <w:t>et e tjera</w:t>
            </w:r>
          </w:p>
        </w:tc>
        <w:tc>
          <w:tcPr>
            <w:tcW w:w="7139" w:type="dxa"/>
          </w:tcPr>
          <w:p w14:paraId="5110BDFC" w14:textId="2334B871" w:rsidR="005C57AD" w:rsidRPr="00976D33" w:rsidRDefault="005C57AD">
            <w:pPr>
              <w:spacing w:beforeLines="20" w:before="48" w:afterLines="20" w:after="48"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rPr>
              <w:t>Tregu i brendshëm energjetik</w:t>
            </w:r>
          </w:p>
        </w:tc>
      </w:tr>
    </w:tbl>
    <w:p w14:paraId="06CFFABE" w14:textId="77777777" w:rsidR="005C57AD" w:rsidRPr="00976D33" w:rsidRDefault="005C57AD" w:rsidP="005C57AD">
      <w:pPr>
        <w:spacing w:beforeLines="20" w:before="48" w:afterLines="20" w:after="48" w:line="240" w:lineRule="auto"/>
        <w:rPr>
          <w:rFonts w:cs="Calibri"/>
          <w:color w:val="4472C4"/>
          <w:lang w:eastAsia="en-GB"/>
        </w:rPr>
      </w:pPr>
    </w:p>
    <w:tbl>
      <w:tblPr>
        <w:tblStyle w:val="GridTable5DarkAccent10"/>
        <w:tblW w:w="0" w:type="auto"/>
        <w:tblLook w:val="04A0" w:firstRow="1" w:lastRow="0" w:firstColumn="1" w:lastColumn="0" w:noHBand="0" w:noVBand="1"/>
      </w:tblPr>
      <w:tblGrid>
        <w:gridCol w:w="2425"/>
        <w:gridCol w:w="7139"/>
      </w:tblGrid>
      <w:tr w:rsidR="005A5421" w:rsidRPr="004A64EF" w14:paraId="7E6F1DB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hideMark/>
          </w:tcPr>
          <w:p w14:paraId="73D2F0DC" w14:textId="0A5346C4" w:rsidR="005A5421" w:rsidRPr="004A64EF" w:rsidRDefault="005A5421" w:rsidP="005A5421">
            <w:pPr>
              <w:spacing w:beforeLines="20" w:before="48" w:afterLines="20" w:after="48" w:line="240" w:lineRule="auto"/>
              <w:contextualSpacing/>
              <w:rPr>
                <w:color w:val="FFFFFF" w:themeColor="background1"/>
                <w:sz w:val="18"/>
              </w:rPr>
            </w:pPr>
            <w:bookmarkStart w:id="306" w:name="_Ref138208211"/>
            <w:bookmarkStart w:id="307" w:name="_Toc138210188"/>
            <w:bookmarkStart w:id="308" w:name="_Toc138998489"/>
            <w:bookmarkStart w:id="309" w:name="_Hlk135307520"/>
            <w:r>
              <w:rPr>
                <w:color w:val="FFFFFF" w:themeColor="background1"/>
                <w:sz w:val="18"/>
              </w:rPr>
              <w:t xml:space="preserve">PM </w:t>
            </w:r>
            <w:bookmarkEnd w:id="306"/>
            <w:r>
              <w:rPr>
                <w:color w:val="FFFFFF" w:themeColor="background1"/>
                <w:sz w:val="18"/>
              </w:rPr>
              <w:t xml:space="preserve">50: Rritja e kapacitetit të rrjetit për të trajtuar dhe integruar një sasi më të madhe të burimeve të energjisë së </w:t>
            </w:r>
            <w:bookmarkEnd w:id="307"/>
            <w:bookmarkEnd w:id="308"/>
            <w:r>
              <w:rPr>
                <w:color w:val="FFFFFF" w:themeColor="background1"/>
                <w:sz w:val="18"/>
              </w:rPr>
              <w:t>ripërtëritshme</w:t>
            </w:r>
          </w:p>
        </w:tc>
      </w:tr>
      <w:tr w:rsidR="005A5421" w:rsidRPr="004A64EF" w14:paraId="7B2A6A6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hideMark/>
          </w:tcPr>
          <w:p w14:paraId="07D39747" w14:textId="77777777" w:rsidR="005A5421" w:rsidRPr="004A64EF" w:rsidRDefault="005A5421" w:rsidP="005A5421">
            <w:pPr>
              <w:spacing w:beforeLines="20" w:before="48" w:afterLines="20" w:after="48" w:line="240" w:lineRule="auto"/>
              <w:contextualSpacing/>
              <w:rPr>
                <w:b w:val="0"/>
                <w:bCs w:val="0"/>
                <w:color w:val="FFFFFF" w:themeColor="background1"/>
                <w:sz w:val="18"/>
              </w:rPr>
            </w:pPr>
            <w:r>
              <w:rPr>
                <w:color w:val="FFFFFF" w:themeColor="background1"/>
                <w:sz w:val="18"/>
              </w:rPr>
              <w:t xml:space="preserve">Objektivi: </w:t>
            </w:r>
            <w:r>
              <w:rPr>
                <w:b w:val="0"/>
                <w:color w:val="FFFFFF" w:themeColor="background1"/>
                <w:sz w:val="18"/>
              </w:rPr>
              <w:t xml:space="preserve">Për të garantuar sigurinë energjetike dhe për të arritur një integrim më të mirë në treg, Kosova gjithnjë e më shumë po i zhvendos përpjekjet e saj drejt përdorimit të burimeve të ripërtëritshme të energjisë në sektorin e energjisë, gjë që kërkon punë të nevojshme për modernizimin e rrjeteve elektrike për të akomoduar kapacitete të mëdha gjeneruese të ndryshueshme. </w:t>
            </w:r>
          </w:p>
          <w:p w14:paraId="5B5F2F45" w14:textId="77777777" w:rsidR="005A5421" w:rsidRPr="004A64EF" w:rsidRDefault="005A5421" w:rsidP="005A5421">
            <w:pPr>
              <w:spacing w:beforeLines="20" w:before="48" w:afterLines="20" w:after="48" w:line="240" w:lineRule="auto"/>
              <w:contextualSpacing/>
              <w:rPr>
                <w:b w:val="0"/>
                <w:bCs w:val="0"/>
                <w:color w:val="FFFFFF" w:themeColor="background1"/>
                <w:sz w:val="18"/>
              </w:rPr>
            </w:pPr>
          </w:p>
          <w:p w14:paraId="6DA557E9" w14:textId="49D7709F" w:rsidR="005A5421" w:rsidRPr="004A64EF" w:rsidRDefault="005A5421" w:rsidP="005A5421">
            <w:pPr>
              <w:spacing w:beforeLines="20" w:before="48" w:afterLines="20" w:after="48" w:line="240" w:lineRule="auto"/>
              <w:contextualSpacing/>
              <w:rPr>
                <w:b w:val="0"/>
                <w:color w:val="FFFFFF" w:themeColor="background1"/>
                <w:sz w:val="18"/>
              </w:rPr>
            </w:pPr>
            <w:r>
              <w:rPr>
                <w:color w:val="FFFFFF" w:themeColor="background1"/>
                <w:sz w:val="18"/>
              </w:rPr>
              <w:t>Përshkrimi:</w:t>
            </w:r>
            <w:r>
              <w:rPr>
                <w:b w:val="0"/>
                <w:color w:val="FFFFFF" w:themeColor="background1"/>
                <w:sz w:val="18"/>
              </w:rPr>
              <w:t xml:space="preserve"> Rritja e sasisë së kapacitetit të ndryshueshëm të BRE-ve që sistemi do të jetë në gjendje të integrojë/trajtojë në 2000 MW energji bazuar në BRE, siç synohet deri në vitin 2031 dhe 500 MW si hap i ndërmjetëm në vitin 2024.</w:t>
            </w:r>
            <w:r>
              <w:rPr>
                <w:color w:val="FFFFFF" w:themeColor="background1"/>
                <w:sz w:val="18"/>
              </w:rPr>
              <w:t xml:space="preserve"> </w:t>
            </w:r>
          </w:p>
        </w:tc>
      </w:tr>
      <w:tr w:rsidR="005A5421" w:rsidRPr="004A64EF" w14:paraId="2B9D0064" w14:textId="77777777">
        <w:tc>
          <w:tcPr>
            <w:cnfStyle w:val="001000000000" w:firstRow="0" w:lastRow="0" w:firstColumn="1" w:lastColumn="0" w:oddVBand="0" w:evenVBand="0" w:oddHBand="0" w:evenHBand="0" w:firstRowFirstColumn="0" w:firstRowLastColumn="0" w:lastRowFirstColumn="0" w:lastRowLastColumn="0"/>
            <w:tcW w:w="2425" w:type="dxa"/>
            <w:hideMark/>
          </w:tcPr>
          <w:p w14:paraId="254196EA" w14:textId="77777777" w:rsidR="005A5421" w:rsidRPr="004A64EF" w:rsidRDefault="005A5421" w:rsidP="005A5421">
            <w:pPr>
              <w:spacing w:beforeLines="20" w:before="48" w:afterLines="20" w:after="48" w:line="240" w:lineRule="auto"/>
              <w:contextualSpacing/>
              <w:jc w:val="left"/>
              <w:rPr>
                <w:color w:val="FFFFFF" w:themeColor="background1"/>
                <w:sz w:val="18"/>
                <w:szCs w:val="18"/>
              </w:rPr>
            </w:pPr>
            <w:r>
              <w:rPr>
                <w:color w:val="FFFFFF" w:themeColor="background1"/>
                <w:sz w:val="18"/>
              </w:rPr>
              <w:t>Sektori/lloji</w:t>
            </w:r>
          </w:p>
        </w:tc>
        <w:tc>
          <w:tcPr>
            <w:tcW w:w="7139" w:type="dxa"/>
            <w:hideMark/>
          </w:tcPr>
          <w:p w14:paraId="60475537" w14:textId="77777777" w:rsidR="005A5421" w:rsidRPr="004A64EF" w:rsidRDefault="005A5421" w:rsidP="005A5421">
            <w:pPr>
              <w:spacing w:beforeLines="20" w:before="48" w:afterLines="20" w:after="48"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Energjetik/teknik</w:t>
            </w:r>
          </w:p>
        </w:tc>
      </w:tr>
      <w:tr w:rsidR="005A5421" w:rsidRPr="004A64EF" w14:paraId="0CD3CC2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14:paraId="4124B4E6" w14:textId="77777777" w:rsidR="005A5421" w:rsidRPr="004A64EF" w:rsidRDefault="005A5421" w:rsidP="005A5421">
            <w:pPr>
              <w:spacing w:beforeLines="20" w:before="48" w:afterLines="20" w:after="48" w:line="240" w:lineRule="auto"/>
              <w:contextualSpacing/>
              <w:jc w:val="left"/>
              <w:rPr>
                <w:color w:val="FFFFFF" w:themeColor="background1"/>
                <w:sz w:val="18"/>
              </w:rPr>
            </w:pPr>
            <w:r>
              <w:rPr>
                <w:color w:val="FFFFFF" w:themeColor="background1"/>
                <w:sz w:val="18"/>
              </w:rPr>
              <w:t>Statusi i implementimit</w:t>
            </w:r>
          </w:p>
        </w:tc>
        <w:tc>
          <w:tcPr>
            <w:tcW w:w="7139" w:type="dxa"/>
            <w:hideMark/>
          </w:tcPr>
          <w:p w14:paraId="383CBAB7" w14:textId="367A78B2" w:rsidR="005A5421" w:rsidRPr="004A64EF" w:rsidRDefault="005A5421" w:rsidP="005A5421">
            <w:pPr>
              <w:spacing w:beforeLines="20" w:before="48" w:afterLines="20" w:after="48"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Në implementim. Aktualisht, rrjeti mund të trajtojë tashmë 1400 MW sa i përket stabilitetit të rrjetit. Megjithatë, nevojiten kapacitete shtesë sa i përket fleksibilitetit (platformat balancuese BESS, MARI/PICASSO, njësitë fleksibile shtesë).</w:t>
            </w:r>
          </w:p>
        </w:tc>
      </w:tr>
      <w:tr w:rsidR="005A5421" w:rsidRPr="004A64EF" w14:paraId="249BC45B" w14:textId="77777777">
        <w:tc>
          <w:tcPr>
            <w:cnfStyle w:val="001000000000" w:firstRow="0" w:lastRow="0" w:firstColumn="1" w:lastColumn="0" w:oddVBand="0" w:evenVBand="0" w:oddHBand="0" w:evenHBand="0" w:firstRowFirstColumn="0" w:firstRowLastColumn="0" w:lastRowFirstColumn="0" w:lastRowLastColumn="0"/>
            <w:tcW w:w="2425" w:type="dxa"/>
            <w:hideMark/>
          </w:tcPr>
          <w:p w14:paraId="344CE86A" w14:textId="77777777" w:rsidR="005A5421" w:rsidRPr="004A64EF" w:rsidRDefault="005A5421" w:rsidP="005A5421">
            <w:pPr>
              <w:spacing w:beforeLines="20" w:before="48" w:afterLines="20" w:after="48" w:line="240" w:lineRule="auto"/>
              <w:contextualSpacing/>
              <w:jc w:val="left"/>
              <w:rPr>
                <w:color w:val="FFFFFF" w:themeColor="background1"/>
                <w:sz w:val="18"/>
              </w:rPr>
            </w:pPr>
            <w:r>
              <w:rPr>
                <w:color w:val="FFFFFF" w:themeColor="background1"/>
                <w:sz w:val="18"/>
              </w:rPr>
              <w:t>Efektet kuantitative</w:t>
            </w:r>
          </w:p>
        </w:tc>
        <w:tc>
          <w:tcPr>
            <w:tcW w:w="7139" w:type="dxa"/>
            <w:hideMark/>
          </w:tcPr>
          <w:p w14:paraId="057CECF9" w14:textId="312A923C" w:rsidR="005A5421" w:rsidRPr="004A64EF" w:rsidRDefault="005A5421" w:rsidP="005A5421">
            <w:pPr>
              <w:spacing w:beforeLines="20" w:before="48" w:afterLines="20" w:after="48"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Rritja e kapacitetit të BRE që rrjeti mund të trajtojë/integrojë në 2000 MW deri në vitin 2031 (Burimi: Strategjia Kombëtare e Energjisë)</w:t>
            </w:r>
          </w:p>
        </w:tc>
      </w:tr>
      <w:tr w:rsidR="005A5421" w:rsidRPr="004A64EF" w14:paraId="63BE2F3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14:paraId="06C89DDF" w14:textId="77777777" w:rsidR="005A5421" w:rsidRPr="004A64EF" w:rsidRDefault="005A5421" w:rsidP="005A5421">
            <w:pPr>
              <w:spacing w:beforeLines="20" w:before="48" w:afterLines="20" w:after="48" w:line="240" w:lineRule="auto"/>
              <w:contextualSpacing/>
              <w:jc w:val="left"/>
              <w:rPr>
                <w:color w:val="FFFFFF" w:themeColor="background1"/>
                <w:sz w:val="18"/>
              </w:rPr>
            </w:pPr>
            <w:r>
              <w:rPr>
                <w:color w:val="FFFFFF" w:themeColor="background1"/>
                <w:sz w:val="18"/>
              </w:rPr>
              <w:t>Investimet</w:t>
            </w:r>
          </w:p>
        </w:tc>
        <w:tc>
          <w:tcPr>
            <w:tcW w:w="7139" w:type="dxa"/>
            <w:hideMark/>
          </w:tcPr>
          <w:p w14:paraId="595D1A13" w14:textId="7F68F15A" w:rsidR="005A5421" w:rsidRPr="004A64EF" w:rsidRDefault="005A5421" w:rsidP="005A5421">
            <w:pPr>
              <w:spacing w:beforeLines="20" w:before="48" w:afterLines="20" w:after="48"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Buxheti i Strategjisë Kombëtare të Energjisë parashikon një buxhet total prej rreth 127.12 mil. euro (së bashku me PM 46) për modernizimin e rrjetit dhe punën në drejtim të zvogëlimit të humbjeve në rrjet, që do të financohen nga KEDS dhe KOSTT dhe do të shpenzohen ndërmjet viteve 2022 dhe 2025. (Burimi: Strategjia Kombëtare e Energjisë)</w:t>
            </w:r>
          </w:p>
        </w:tc>
      </w:tr>
      <w:tr w:rsidR="005A5421" w:rsidRPr="004A64EF" w14:paraId="53EE3FB3" w14:textId="77777777">
        <w:tc>
          <w:tcPr>
            <w:cnfStyle w:val="001000000000" w:firstRow="0" w:lastRow="0" w:firstColumn="1" w:lastColumn="0" w:oddVBand="0" w:evenVBand="0" w:oddHBand="0" w:evenHBand="0" w:firstRowFirstColumn="0" w:firstRowLastColumn="0" w:lastRowFirstColumn="0" w:lastRowLastColumn="0"/>
            <w:tcW w:w="2425" w:type="dxa"/>
            <w:hideMark/>
          </w:tcPr>
          <w:p w14:paraId="1226CC98" w14:textId="77777777" w:rsidR="005A5421" w:rsidRPr="004A64EF" w:rsidRDefault="005A5421" w:rsidP="005A5421">
            <w:pPr>
              <w:spacing w:beforeLines="20" w:before="48" w:afterLines="20" w:after="48" w:line="240" w:lineRule="auto"/>
              <w:contextualSpacing/>
              <w:jc w:val="left"/>
              <w:rPr>
                <w:color w:val="FFFFFF" w:themeColor="background1"/>
                <w:sz w:val="18"/>
              </w:rPr>
            </w:pPr>
            <w:r>
              <w:rPr>
                <w:color w:val="FFFFFF" w:themeColor="background1"/>
                <w:sz w:val="18"/>
              </w:rPr>
              <w:t>Institucioni përgjegjës</w:t>
            </w:r>
          </w:p>
        </w:tc>
        <w:tc>
          <w:tcPr>
            <w:tcW w:w="7139" w:type="dxa"/>
            <w:hideMark/>
          </w:tcPr>
          <w:p w14:paraId="758394BE" w14:textId="137507BA" w:rsidR="005A5421" w:rsidRPr="004A64EF" w:rsidRDefault="005A5421" w:rsidP="005A5421">
            <w:pPr>
              <w:spacing w:beforeLines="20" w:before="48" w:afterLines="20" w:after="48"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KOSTT, KEDS, ZRRE</w:t>
            </w:r>
          </w:p>
        </w:tc>
      </w:tr>
      <w:tr w:rsidR="005A5421" w:rsidRPr="004A64EF" w14:paraId="0F08AF6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14:paraId="760E8779" w14:textId="77777777" w:rsidR="005A5421" w:rsidRPr="004A64EF" w:rsidRDefault="005A5421" w:rsidP="005A5421">
            <w:pPr>
              <w:spacing w:beforeLines="20" w:before="48" w:afterLines="20" w:after="48" w:line="240" w:lineRule="auto"/>
              <w:contextualSpacing/>
              <w:jc w:val="left"/>
              <w:rPr>
                <w:color w:val="FFFFFF" w:themeColor="background1"/>
                <w:sz w:val="18"/>
              </w:rPr>
            </w:pPr>
            <w:r>
              <w:rPr>
                <w:color w:val="FFFFFF" w:themeColor="background1"/>
                <w:sz w:val="18"/>
              </w:rPr>
              <w:t>Treguesit e progresit</w:t>
            </w:r>
          </w:p>
        </w:tc>
        <w:tc>
          <w:tcPr>
            <w:tcW w:w="7139" w:type="dxa"/>
            <w:hideMark/>
          </w:tcPr>
          <w:p w14:paraId="267017CF" w14:textId="0D5DB3C1" w:rsidR="005A5421" w:rsidRPr="004A64EF" w:rsidRDefault="005A5421" w:rsidP="005A5421">
            <w:pPr>
              <w:spacing w:beforeLines="20" w:before="48" w:afterLines="20" w:after="48"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 xml:space="preserve">Sasia e kapacitetit të BRE-ve që rrjeti është në gjendje të trajtojë/integrojë: </w:t>
            </w:r>
          </w:p>
          <w:p w14:paraId="354E1493" w14:textId="77777777" w:rsidR="005A5421" w:rsidRPr="004A64EF" w:rsidRDefault="005A5421" w:rsidP="005A5421">
            <w:pPr>
              <w:pStyle w:val="ListParagraph"/>
              <w:numPr>
                <w:ilvl w:val="0"/>
                <w:numId w:val="37"/>
              </w:numPr>
              <w:spacing w:beforeLines="20" w:before="48" w:afterLines="20" w:after="48" w:line="240" w:lineRule="auto"/>
              <w:cnfStyle w:val="000000100000" w:firstRow="0" w:lastRow="0" w:firstColumn="0" w:lastColumn="0" w:oddVBand="0" w:evenVBand="0" w:oddHBand="1" w:evenHBand="0" w:firstRowFirstColumn="0" w:firstRowLastColumn="0" w:lastRowFirstColumn="0" w:lastRowLastColumn="0"/>
              <w:rPr>
                <w:rFonts w:cs="Times New Roman"/>
                <w:sz w:val="18"/>
              </w:rPr>
            </w:pPr>
            <w:r>
              <w:rPr>
                <w:sz w:val="18"/>
              </w:rPr>
              <w:t>2024: 500 MW.</w:t>
            </w:r>
          </w:p>
          <w:p w14:paraId="0F7823F9" w14:textId="77777777" w:rsidR="005A5421" w:rsidRPr="004A64EF" w:rsidRDefault="005A5421" w:rsidP="005A5421">
            <w:pPr>
              <w:pStyle w:val="ListParagraph"/>
              <w:numPr>
                <w:ilvl w:val="0"/>
                <w:numId w:val="37"/>
              </w:numPr>
              <w:spacing w:beforeLines="20" w:before="48" w:afterLines="20" w:after="48" w:line="240" w:lineRule="auto"/>
              <w:cnfStyle w:val="000000100000" w:firstRow="0" w:lastRow="0" w:firstColumn="0" w:lastColumn="0" w:oddVBand="0" w:evenVBand="0" w:oddHBand="1" w:evenHBand="0" w:firstRowFirstColumn="0" w:firstRowLastColumn="0" w:lastRowFirstColumn="0" w:lastRowLastColumn="0"/>
              <w:rPr>
                <w:sz w:val="18"/>
              </w:rPr>
            </w:pPr>
            <w:r>
              <w:rPr>
                <w:sz w:val="18"/>
              </w:rPr>
              <w:t>2031: 2000 MW.</w:t>
            </w:r>
          </w:p>
        </w:tc>
      </w:tr>
      <w:tr w:rsidR="005A5421" w:rsidRPr="00976D33" w14:paraId="3E785B0B" w14:textId="77777777" w:rsidTr="00FF705C">
        <w:trPr>
          <w:trHeight w:val="510"/>
        </w:trPr>
        <w:tc>
          <w:tcPr>
            <w:cnfStyle w:val="001000000000" w:firstRow="0" w:lastRow="0" w:firstColumn="1" w:lastColumn="0" w:oddVBand="0" w:evenVBand="0" w:oddHBand="0" w:evenHBand="0" w:firstRowFirstColumn="0" w:firstRowLastColumn="0" w:lastRowFirstColumn="0" w:lastRowLastColumn="0"/>
            <w:tcW w:w="2425" w:type="dxa"/>
          </w:tcPr>
          <w:p w14:paraId="5B3D8869" w14:textId="24737D48" w:rsidR="005A5421" w:rsidRPr="004A64EF" w:rsidRDefault="005A5421" w:rsidP="005A5421">
            <w:pPr>
              <w:spacing w:beforeLines="20" w:before="48" w:afterLines="20" w:after="48" w:line="240" w:lineRule="auto"/>
              <w:contextualSpacing/>
              <w:jc w:val="left"/>
              <w:rPr>
                <w:color w:val="FFFFFF" w:themeColor="background1"/>
                <w:sz w:val="18"/>
              </w:rPr>
            </w:pPr>
            <w:r>
              <w:rPr>
                <w:color w:val="FFFFFF" w:themeColor="background1"/>
                <w:sz w:val="18"/>
              </w:rPr>
              <w:t>Lidhja me dimension</w:t>
            </w:r>
            <w:r w:rsidR="0037748E">
              <w:rPr>
                <w:color w:val="FFFFFF" w:themeColor="background1"/>
                <w:sz w:val="18"/>
              </w:rPr>
              <w:t>et e tjera</w:t>
            </w:r>
          </w:p>
        </w:tc>
        <w:tc>
          <w:tcPr>
            <w:tcW w:w="7139" w:type="dxa"/>
          </w:tcPr>
          <w:p w14:paraId="62A7125D" w14:textId="77777777" w:rsidR="005A5421" w:rsidRPr="00976D33" w:rsidRDefault="005A5421" w:rsidP="005A5421">
            <w:pPr>
              <w:spacing w:beforeLines="20" w:before="48" w:afterLines="20" w:after="48"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Dekarbonizimi, siguria energjetike, tregu i brendshëm energjetik</w:t>
            </w:r>
          </w:p>
        </w:tc>
      </w:tr>
      <w:bookmarkEnd w:id="309"/>
    </w:tbl>
    <w:p w14:paraId="2A4985FF" w14:textId="77777777" w:rsidR="005C57AD" w:rsidRPr="00976D33" w:rsidRDefault="005C57AD" w:rsidP="005C57AD">
      <w:pPr>
        <w:spacing w:beforeLines="20" w:before="48" w:afterLines="20" w:after="48" w:line="240" w:lineRule="auto"/>
        <w:rPr>
          <w:rFonts w:cs="Calibri"/>
          <w:color w:val="4472C4"/>
          <w:lang w:eastAsia="en-GB"/>
        </w:rPr>
      </w:pPr>
    </w:p>
    <w:tbl>
      <w:tblPr>
        <w:tblStyle w:val="GridTable5DarkAccent10"/>
        <w:tblW w:w="0" w:type="auto"/>
        <w:tblLook w:val="04A0" w:firstRow="1" w:lastRow="0" w:firstColumn="1" w:lastColumn="0" w:noHBand="0" w:noVBand="1"/>
      </w:tblPr>
      <w:tblGrid>
        <w:gridCol w:w="2425"/>
        <w:gridCol w:w="7139"/>
      </w:tblGrid>
      <w:tr w:rsidR="005C57AD" w:rsidRPr="004A64EF" w14:paraId="433EE1C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hideMark/>
          </w:tcPr>
          <w:p w14:paraId="61A648AC" w14:textId="1B16EC2A" w:rsidR="005C57AD" w:rsidRPr="004A64EF" w:rsidRDefault="005C57AD">
            <w:pPr>
              <w:spacing w:beforeLines="20" w:before="48" w:afterLines="20" w:after="48" w:line="240" w:lineRule="auto"/>
              <w:contextualSpacing/>
              <w:rPr>
                <w:color w:val="auto"/>
                <w:sz w:val="18"/>
                <w:szCs w:val="18"/>
              </w:rPr>
            </w:pPr>
            <w:bookmarkStart w:id="310" w:name="_Toc138210189"/>
            <w:bookmarkStart w:id="311" w:name="_Toc138998490"/>
            <w:r>
              <w:rPr>
                <w:color w:val="FFFFFF" w:themeColor="background1"/>
                <w:sz w:val="18"/>
              </w:rPr>
              <w:t xml:space="preserve">PM 51: Instalimi </w:t>
            </w:r>
            <w:bookmarkEnd w:id="310"/>
            <w:bookmarkEnd w:id="311"/>
            <w:r>
              <w:rPr>
                <w:color w:val="FFFFFF" w:themeColor="background1"/>
                <w:sz w:val="18"/>
              </w:rPr>
              <w:t>i sistemit të ruajtjes së energjisë përmes baterive</w:t>
            </w:r>
          </w:p>
        </w:tc>
      </w:tr>
      <w:tr w:rsidR="005C57AD" w:rsidRPr="004A64EF" w14:paraId="12AD48E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hideMark/>
          </w:tcPr>
          <w:p w14:paraId="5E693DDA" w14:textId="310B7461" w:rsidR="005C57AD" w:rsidRPr="004A64EF" w:rsidRDefault="005C57AD">
            <w:pPr>
              <w:spacing w:beforeLines="20" w:before="48" w:afterLines="20" w:after="48" w:line="240" w:lineRule="auto"/>
              <w:contextualSpacing/>
              <w:rPr>
                <w:b w:val="0"/>
                <w:bCs w:val="0"/>
                <w:color w:val="FFFFFF" w:themeColor="background1"/>
                <w:sz w:val="18"/>
                <w:szCs w:val="18"/>
              </w:rPr>
            </w:pPr>
            <w:r>
              <w:rPr>
                <w:b w:val="0"/>
                <w:color w:val="FFFFFF" w:themeColor="background1"/>
                <w:sz w:val="18"/>
              </w:rPr>
              <w:t xml:space="preserve">Objektivi: Objektivi i projektit të Sistemit të Ruajtjes së së Energjisë përmes Baterive (BESS) është të mbështesë sigurinë energjetike të Kosovës dhe kalimin në një të ardhme më të pastër energjetike përmes përdorimit të sistemeve të ruajtjes së energjisë për rezerva, disponueshmërinë e sistemeve të ruajtjes dhe uljen e kostos për sigurimin e furnizimit adekuat me energji elektrike për Kosovën. BESS do të ofrojë fleksibilitetin e nevojshëm për Kosovën për të mundësuar integrimin e burimeve shtesë të energjisë së ripërtëritshme. </w:t>
            </w:r>
          </w:p>
          <w:p w14:paraId="0676BFDF" w14:textId="77777777" w:rsidR="005C57AD" w:rsidRPr="004A64EF" w:rsidRDefault="005C57AD">
            <w:pPr>
              <w:spacing w:beforeLines="20" w:before="48" w:afterLines="20" w:after="48" w:line="240" w:lineRule="auto"/>
              <w:contextualSpacing/>
              <w:rPr>
                <w:b w:val="0"/>
                <w:bCs w:val="0"/>
                <w:color w:val="FFFFFF" w:themeColor="background1"/>
                <w:sz w:val="18"/>
              </w:rPr>
            </w:pPr>
          </w:p>
          <w:p w14:paraId="18963FDA" w14:textId="77777777" w:rsidR="00B24719" w:rsidRDefault="005C57AD">
            <w:pPr>
              <w:spacing w:beforeLines="20" w:before="48" w:afterLines="20" w:after="48" w:line="240" w:lineRule="auto"/>
              <w:contextualSpacing/>
              <w:rPr>
                <w:bCs w:val="0"/>
              </w:rPr>
            </w:pPr>
            <w:r>
              <w:rPr>
                <w:b w:val="0"/>
                <w:color w:val="FFFFFF" w:themeColor="background1"/>
                <w:sz w:val="18"/>
              </w:rPr>
              <w:lastRenderedPageBreak/>
              <w:t xml:space="preserve">Përshkrimi: Instalimi i të paktën 170 MW kapacitet të ruajtjes së energjisë përmes baterive në sistemin elektroenergjetik të Kosovës. </w:t>
            </w:r>
            <w:r>
              <w:rPr>
                <w:b w:val="0"/>
              </w:rPr>
              <w:tab/>
            </w:r>
          </w:p>
          <w:p w14:paraId="14AB822A" w14:textId="1CDE5602" w:rsidR="005C57AD" w:rsidRPr="004A64EF" w:rsidRDefault="005C57AD">
            <w:pPr>
              <w:spacing w:beforeLines="20" w:before="48" w:afterLines="20" w:after="48" w:line="240" w:lineRule="auto"/>
              <w:contextualSpacing/>
              <w:rPr>
                <w:b w:val="0"/>
                <w:bCs w:val="0"/>
                <w:color w:val="auto"/>
                <w:sz w:val="18"/>
                <w:szCs w:val="18"/>
              </w:rPr>
            </w:pPr>
            <w:r>
              <w:rPr>
                <w:b w:val="0"/>
                <w:color w:val="FFFFFF" w:themeColor="background1"/>
                <w:sz w:val="18"/>
              </w:rPr>
              <w:t xml:space="preserve">Projekti përbëhet nga tri aktivitete: Aktiviteti reagues për rivendosje të frekuencave, aktiviteti shumëfunksional i ruajtjes së energjisë (“Aktiviteti MFES”) dhe aktiviteti mbështetës i politikave për energji dhe klimë. Aktiviteti reagues për rivendosje të frekuencave synon të mbështesë KOSTT-in që të zotërojë dhe operojë përafërsisht 45 megavat (MW) (ose 90 MWh) rezerva të energjisë për të zbutur me kosto efektive disbalancat në rrjetin elektrik (aFRR), duke garantuar sigurinë e sistemit të interkoneksionit energjetik, ndërsa mundëson integrimin e energjisë elektrike të prodhuar nga burimet e ripërtëritshme. Aktiviteti i ruajtjes shumëfunksionale të energjisë (“Aktiviteti i MFES”) synon të mbështesë një subjekt publik për të zotëruar dhe operuar me rreth 125 MW (ose 250 MWh) të një ose më shumë BESS dhe sisteme të tjera potenciale të ruajtjes së energjisë elektrike. Subjekti i ri publik do të projektohet për të mundësuar rezervat e rivendosjes së frekuencave (aFRR, mFRR, aftësia për ristartim pas ndërprerjes totale), arbitrazhin energjetik ose shërbime të tjera të mundshme të ruajtjes së energjisë (si mbështetje për tensionin, etj.). </w:t>
            </w:r>
            <w:r w:rsidRPr="00B24719">
              <w:rPr>
                <w:b w:val="0"/>
                <w:color w:val="FFFFFF" w:themeColor="background1"/>
                <w:sz w:val="18"/>
              </w:rPr>
              <w:t>Aktiviteti i subjektit të ruajtjes shumëfunksionale të energjisë</w:t>
            </w:r>
            <w:r>
              <w:rPr>
                <w:b w:val="0"/>
                <w:color w:val="FFFFFF" w:themeColor="background1"/>
                <w:sz w:val="18"/>
              </w:rPr>
              <w:t xml:space="preserve"> (MFES) me kapacitetin e tij për ruajtjen e energjisë përmes baterive do të mundësojë integrimin e burimeve të ripërtëritshme në sistemin energjetik të Kosovës dhe do të përmirësojë sigurinë e furnizimit, duke ndikuar pozitivisht gjithashtu tek konsumatorët e energjisë.</w:t>
            </w:r>
          </w:p>
        </w:tc>
      </w:tr>
      <w:tr w:rsidR="005C57AD" w:rsidRPr="004A64EF" w14:paraId="6339E311" w14:textId="77777777">
        <w:tc>
          <w:tcPr>
            <w:cnfStyle w:val="001000000000" w:firstRow="0" w:lastRow="0" w:firstColumn="1" w:lastColumn="0" w:oddVBand="0" w:evenVBand="0" w:oddHBand="0" w:evenHBand="0" w:firstRowFirstColumn="0" w:firstRowLastColumn="0" w:lastRowFirstColumn="0" w:lastRowLastColumn="0"/>
            <w:tcW w:w="2425" w:type="dxa"/>
            <w:hideMark/>
          </w:tcPr>
          <w:p w14:paraId="1CD33A09" w14:textId="77777777" w:rsidR="005C57AD" w:rsidRPr="004A64EF" w:rsidRDefault="005C57AD">
            <w:pPr>
              <w:spacing w:beforeLines="20" w:before="48" w:afterLines="20" w:after="48" w:line="240" w:lineRule="auto"/>
              <w:contextualSpacing/>
              <w:jc w:val="left"/>
              <w:rPr>
                <w:color w:val="FFFFFF" w:themeColor="background1"/>
                <w:sz w:val="18"/>
                <w:szCs w:val="18"/>
              </w:rPr>
            </w:pPr>
            <w:r>
              <w:rPr>
                <w:color w:val="FFFFFF" w:themeColor="background1"/>
                <w:sz w:val="18"/>
              </w:rPr>
              <w:lastRenderedPageBreak/>
              <w:t>Sektori/lloji</w:t>
            </w:r>
          </w:p>
        </w:tc>
        <w:tc>
          <w:tcPr>
            <w:tcW w:w="7139" w:type="dxa"/>
            <w:hideMark/>
          </w:tcPr>
          <w:p w14:paraId="6E663CDD" w14:textId="77777777" w:rsidR="005C57AD" w:rsidRPr="004A64EF" w:rsidRDefault="005C57AD">
            <w:pPr>
              <w:spacing w:beforeLines="20" w:before="48" w:afterLines="20" w:after="48"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Energjetik/teknik</w:t>
            </w:r>
          </w:p>
        </w:tc>
      </w:tr>
      <w:tr w:rsidR="005C57AD" w:rsidRPr="004A64EF" w14:paraId="6097F6F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14:paraId="3EC8FBE3" w14:textId="77777777" w:rsidR="005C57AD" w:rsidRPr="004A64EF" w:rsidRDefault="005C57AD">
            <w:pPr>
              <w:spacing w:beforeLines="20" w:before="48" w:afterLines="20" w:after="48" w:line="240" w:lineRule="auto"/>
              <w:contextualSpacing/>
              <w:jc w:val="left"/>
              <w:rPr>
                <w:color w:val="FFFFFF" w:themeColor="background1"/>
                <w:sz w:val="18"/>
              </w:rPr>
            </w:pPr>
            <w:r>
              <w:rPr>
                <w:color w:val="FFFFFF" w:themeColor="background1"/>
                <w:sz w:val="18"/>
              </w:rPr>
              <w:t>Statusi i implementimit</w:t>
            </w:r>
          </w:p>
        </w:tc>
        <w:tc>
          <w:tcPr>
            <w:tcW w:w="7139" w:type="dxa"/>
            <w:hideMark/>
          </w:tcPr>
          <w:p w14:paraId="3F73FED8" w14:textId="28F50D0D" w:rsidR="005C57AD" w:rsidRPr="004A64EF" w:rsidRDefault="005C57AD">
            <w:pPr>
              <w:spacing w:beforeLines="20" w:before="48" w:afterLines="20" w:after="48" w:line="240"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MCC dhe Qeveria e Kosovës tashmë kanë nënshkruar një partneritet bashkëpunimi përmes nënshkrimit të Marrëveshjes së Kompaktit në korrik të vitit 2022, e pasuar  nga nënshkrimi dhe aranzhimi i marrëveshjeve të tjera të ndërlidhura. Si rezultat i kësaj, u themelua dhe u funksionalizua Llogaria e Sfidave së Mijëvjeçarit (MCA), e cila do të mbikëqyrë dhe zbatojë Programin Kompakt në Kosovë, i cili gjithashtu përfshin Projektin BESS. </w:t>
            </w:r>
          </w:p>
          <w:p w14:paraId="600473F7" w14:textId="77777777" w:rsidR="005C57AD" w:rsidRPr="004A64EF" w:rsidRDefault="005C57AD">
            <w:pPr>
              <w:spacing w:beforeLines="20" w:before="48" w:afterLines="20" w:after="48" w:line="240" w:lineRule="auto"/>
              <w:contextualSpacing/>
              <w:cnfStyle w:val="000000100000" w:firstRow="0" w:lastRow="0" w:firstColumn="0" w:lastColumn="0" w:oddVBand="0" w:evenVBand="0" w:oddHBand="1" w:evenHBand="0" w:firstRowFirstColumn="0" w:firstRowLastColumn="0" w:lastRowFirstColumn="0" w:lastRowLastColumn="0"/>
              <w:rPr>
                <w:sz w:val="18"/>
                <w:szCs w:val="18"/>
              </w:rPr>
            </w:pPr>
          </w:p>
          <w:p w14:paraId="25E1C038" w14:textId="384E7DE0" w:rsidR="005C57AD" w:rsidRPr="004A64EF" w:rsidRDefault="005C57AD">
            <w:pPr>
              <w:spacing w:beforeLines="20" w:before="48" w:afterLines="20" w:after="48" w:line="240"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rPr>
              <w:t>Qeveria e Kosovës ka themeluar Korporatën e Ruajtjes së Energjisë (ESCorp), në mars të vitit 2024, e cila do të zotërojë dhe menaxhojë kapacitetet e sistemit të ruajtjes së energjisë përmes baterive. Ky subjekt, përveç zotërimit dhe menaxhimit të këtij aseti, do të ofrojë shërbime siç janë arbitrazhi i energjisë, balancimi i sistemit energjetik, funksionimi i sistemit të ruajtjes së energjisë, tregtimi i energjisë së depozituar në rajon, si dhe operacionet e nevojshme të modelimit nëpërmjet simulimeve të sistemit.</w:t>
            </w:r>
          </w:p>
        </w:tc>
      </w:tr>
      <w:tr w:rsidR="005C57AD" w:rsidRPr="004A64EF" w14:paraId="6FD8D70D" w14:textId="77777777">
        <w:tc>
          <w:tcPr>
            <w:cnfStyle w:val="001000000000" w:firstRow="0" w:lastRow="0" w:firstColumn="1" w:lastColumn="0" w:oddVBand="0" w:evenVBand="0" w:oddHBand="0" w:evenHBand="0" w:firstRowFirstColumn="0" w:firstRowLastColumn="0" w:lastRowFirstColumn="0" w:lastRowLastColumn="0"/>
            <w:tcW w:w="2425" w:type="dxa"/>
            <w:hideMark/>
          </w:tcPr>
          <w:p w14:paraId="40EB2F29" w14:textId="77777777" w:rsidR="005C57AD" w:rsidRPr="004A64EF" w:rsidRDefault="005C57AD">
            <w:pPr>
              <w:spacing w:beforeLines="20" w:before="48" w:afterLines="20" w:after="48" w:line="240" w:lineRule="auto"/>
              <w:contextualSpacing/>
              <w:jc w:val="left"/>
              <w:rPr>
                <w:color w:val="FFFFFF" w:themeColor="background1"/>
                <w:sz w:val="18"/>
              </w:rPr>
            </w:pPr>
            <w:r>
              <w:rPr>
                <w:color w:val="FFFFFF" w:themeColor="background1"/>
                <w:sz w:val="18"/>
              </w:rPr>
              <w:t>Efektet kuantitative</w:t>
            </w:r>
          </w:p>
        </w:tc>
        <w:tc>
          <w:tcPr>
            <w:tcW w:w="7139" w:type="dxa"/>
            <w:hideMark/>
          </w:tcPr>
          <w:p w14:paraId="197D1D46" w14:textId="41F0636A" w:rsidR="005C57AD" w:rsidRPr="004A64EF" w:rsidRDefault="005C57AD">
            <w:pPr>
              <w:spacing w:beforeLines="20" w:before="48" w:afterLines="20" w:after="48"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170 MW të ruajtjes përmes baterive do të instalohen deri në vitin 2028 (45 MW / 90 MWh deri në vitin 2027) (Burimi: Grupi i Punës për PKEK)</w:t>
            </w:r>
          </w:p>
        </w:tc>
      </w:tr>
      <w:tr w:rsidR="005C57AD" w:rsidRPr="004A64EF" w14:paraId="73D6DBF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14:paraId="6CBEF8A5" w14:textId="77777777" w:rsidR="005C57AD" w:rsidRPr="004A64EF" w:rsidRDefault="005C57AD">
            <w:pPr>
              <w:spacing w:beforeLines="20" w:before="48" w:afterLines="20" w:after="48" w:line="240" w:lineRule="auto"/>
              <w:contextualSpacing/>
              <w:jc w:val="left"/>
              <w:rPr>
                <w:color w:val="FFFFFF" w:themeColor="background1"/>
                <w:sz w:val="18"/>
              </w:rPr>
            </w:pPr>
            <w:r>
              <w:rPr>
                <w:color w:val="FFFFFF" w:themeColor="background1"/>
                <w:sz w:val="18"/>
              </w:rPr>
              <w:t>Investimet</w:t>
            </w:r>
          </w:p>
        </w:tc>
        <w:tc>
          <w:tcPr>
            <w:tcW w:w="7139" w:type="dxa"/>
            <w:hideMark/>
          </w:tcPr>
          <w:p w14:paraId="7555B392" w14:textId="498C05F4" w:rsidR="005C57AD" w:rsidRPr="004A64EF" w:rsidRDefault="005C57AD">
            <w:pPr>
              <w:spacing w:beforeLines="20" w:before="48" w:afterLines="20" w:after="48" w:line="240"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rPr>
              <w:t>Një grant prej 202 mil. USD u sigurua nga Korporata e Sfidave të Mijëvjeçarit (MCC), me një shtesë prej 34 mil. USD të siguruara nga Qeveria e Kosovës, prej të cilave rreth 180 mil. USD do të ndahen për blerjen dhe instalimin e sistemimit të ruajtjes përmes baterive (Burimi: MCC)</w:t>
            </w:r>
          </w:p>
        </w:tc>
      </w:tr>
      <w:tr w:rsidR="005C57AD" w:rsidRPr="000A65E6" w14:paraId="23501D52" w14:textId="77777777">
        <w:tc>
          <w:tcPr>
            <w:cnfStyle w:val="001000000000" w:firstRow="0" w:lastRow="0" w:firstColumn="1" w:lastColumn="0" w:oddVBand="0" w:evenVBand="0" w:oddHBand="0" w:evenHBand="0" w:firstRowFirstColumn="0" w:firstRowLastColumn="0" w:lastRowFirstColumn="0" w:lastRowLastColumn="0"/>
            <w:tcW w:w="2425" w:type="dxa"/>
            <w:hideMark/>
          </w:tcPr>
          <w:p w14:paraId="14C0F97C" w14:textId="77777777" w:rsidR="005C57AD" w:rsidRPr="004A64EF" w:rsidRDefault="005C57AD">
            <w:pPr>
              <w:spacing w:beforeLines="20" w:before="48" w:afterLines="20" w:after="48" w:line="240" w:lineRule="auto"/>
              <w:contextualSpacing/>
              <w:jc w:val="left"/>
              <w:rPr>
                <w:color w:val="FFFFFF" w:themeColor="background1"/>
                <w:sz w:val="18"/>
              </w:rPr>
            </w:pPr>
            <w:r>
              <w:rPr>
                <w:color w:val="FFFFFF" w:themeColor="background1"/>
                <w:sz w:val="18"/>
              </w:rPr>
              <w:t>Institucioni përgjegjës</w:t>
            </w:r>
          </w:p>
        </w:tc>
        <w:tc>
          <w:tcPr>
            <w:tcW w:w="7139" w:type="dxa"/>
            <w:hideMark/>
          </w:tcPr>
          <w:p w14:paraId="4A2FB56E" w14:textId="4526BF66" w:rsidR="005C57AD" w:rsidRPr="004A64EF" w:rsidRDefault="005C57AD">
            <w:pPr>
              <w:spacing w:beforeLines="20" w:before="48" w:afterLines="20" w:after="48" w:line="240" w:lineRule="auto"/>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rPr>
              <w:t>MCC, ME, MFPT, KOSTT, ESCorp</w:t>
            </w:r>
          </w:p>
        </w:tc>
      </w:tr>
      <w:tr w:rsidR="005C57AD" w:rsidRPr="004A64EF" w14:paraId="1E74173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14:paraId="53819CE4" w14:textId="77777777" w:rsidR="005C57AD" w:rsidRPr="004A64EF" w:rsidRDefault="005C57AD">
            <w:pPr>
              <w:spacing w:beforeLines="20" w:before="48" w:afterLines="20" w:after="48" w:line="240" w:lineRule="auto"/>
              <w:contextualSpacing/>
              <w:jc w:val="left"/>
              <w:rPr>
                <w:color w:val="FFFFFF" w:themeColor="background1"/>
                <w:sz w:val="18"/>
              </w:rPr>
            </w:pPr>
            <w:r>
              <w:rPr>
                <w:color w:val="FFFFFF" w:themeColor="background1"/>
                <w:sz w:val="18"/>
              </w:rPr>
              <w:t>Treguesit e progresit</w:t>
            </w:r>
          </w:p>
        </w:tc>
        <w:tc>
          <w:tcPr>
            <w:tcW w:w="7139" w:type="dxa"/>
            <w:hideMark/>
          </w:tcPr>
          <w:p w14:paraId="2E6CC952" w14:textId="77777777" w:rsidR="005C57AD" w:rsidRPr="004A64EF" w:rsidRDefault="005C57AD">
            <w:pPr>
              <w:spacing w:beforeLines="20" w:before="48" w:afterLines="20" w:after="48"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MW të instaluar në sistemin e ruajtjes përmes baterive</w:t>
            </w:r>
          </w:p>
        </w:tc>
      </w:tr>
      <w:tr w:rsidR="005C57AD" w:rsidRPr="00976D33" w14:paraId="39BA1FB4" w14:textId="77777777">
        <w:tc>
          <w:tcPr>
            <w:cnfStyle w:val="001000000000" w:firstRow="0" w:lastRow="0" w:firstColumn="1" w:lastColumn="0" w:oddVBand="0" w:evenVBand="0" w:oddHBand="0" w:evenHBand="0" w:firstRowFirstColumn="0" w:firstRowLastColumn="0" w:lastRowFirstColumn="0" w:lastRowLastColumn="0"/>
            <w:tcW w:w="2425" w:type="dxa"/>
          </w:tcPr>
          <w:p w14:paraId="66AC9829" w14:textId="6A004A37" w:rsidR="005C57AD" w:rsidRPr="004A64EF" w:rsidRDefault="005C57AD">
            <w:pPr>
              <w:spacing w:beforeLines="20" w:before="48" w:afterLines="20" w:after="48" w:line="240" w:lineRule="auto"/>
              <w:contextualSpacing/>
              <w:jc w:val="left"/>
              <w:rPr>
                <w:color w:val="FFFFFF" w:themeColor="background1"/>
                <w:sz w:val="18"/>
              </w:rPr>
            </w:pPr>
            <w:r>
              <w:rPr>
                <w:color w:val="FFFFFF" w:themeColor="background1"/>
                <w:sz w:val="18"/>
              </w:rPr>
              <w:t>Lidhja me dimension</w:t>
            </w:r>
            <w:r w:rsidR="0037748E">
              <w:rPr>
                <w:color w:val="FFFFFF" w:themeColor="background1"/>
                <w:sz w:val="18"/>
              </w:rPr>
              <w:t>et e tjera</w:t>
            </w:r>
          </w:p>
        </w:tc>
        <w:tc>
          <w:tcPr>
            <w:tcW w:w="7139" w:type="dxa"/>
          </w:tcPr>
          <w:p w14:paraId="065659A7" w14:textId="77777777" w:rsidR="005C57AD" w:rsidRPr="00976D33" w:rsidRDefault="005C57AD">
            <w:pPr>
              <w:spacing w:beforeLines="20" w:before="48" w:afterLines="20" w:after="48"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Dekarbonizimi, siguria energjetike, tregu i brendshëm energjetik</w:t>
            </w:r>
          </w:p>
        </w:tc>
      </w:tr>
    </w:tbl>
    <w:p w14:paraId="345F1389" w14:textId="77777777" w:rsidR="005C57AD" w:rsidRPr="00976D33" w:rsidRDefault="005C57AD" w:rsidP="005C57AD"/>
    <w:tbl>
      <w:tblPr>
        <w:tblW w:w="9669" w:type="dxa"/>
        <w:tblCellSpacing w:w="5" w:type="dxa"/>
        <w:tblLayout w:type="fixed"/>
        <w:tblCellMar>
          <w:left w:w="0" w:type="dxa"/>
          <w:right w:w="0" w:type="dxa"/>
        </w:tblCellMar>
        <w:tblLook w:val="01E0" w:firstRow="1" w:lastRow="1" w:firstColumn="1" w:lastColumn="1" w:noHBand="0" w:noVBand="0"/>
      </w:tblPr>
      <w:tblGrid>
        <w:gridCol w:w="2646"/>
        <w:gridCol w:w="7023"/>
      </w:tblGrid>
      <w:tr w:rsidR="005C57AD" w:rsidRPr="004A64EF" w14:paraId="6304AC22" w14:textId="77777777" w:rsidTr="006E6E51">
        <w:trPr>
          <w:trHeight w:val="194"/>
          <w:tblCellSpacing w:w="5" w:type="dxa"/>
        </w:trPr>
        <w:tc>
          <w:tcPr>
            <w:tcW w:w="9649" w:type="dxa"/>
            <w:gridSpan w:val="2"/>
            <w:tcBorders>
              <w:bottom w:val="single" w:sz="4" w:space="0" w:color="FFFFFF" w:themeColor="background1"/>
            </w:tcBorders>
            <w:shd w:val="clear" w:color="auto" w:fill="014F75"/>
          </w:tcPr>
          <w:p w14:paraId="3E7D2BC3" w14:textId="0182D632" w:rsidR="005C57AD" w:rsidRPr="004A64EF" w:rsidRDefault="00E2732B">
            <w:pPr>
              <w:pStyle w:val="TableParagraph"/>
              <w:spacing w:before="1" w:line="184" w:lineRule="exact"/>
              <w:ind w:left="145"/>
              <w:rPr>
                <w:rFonts w:asciiTheme="majorHAnsi" w:hAnsiTheme="majorHAnsi" w:cstheme="majorBidi"/>
                <w:b/>
                <w:sz w:val="18"/>
                <w:szCs w:val="18"/>
              </w:rPr>
            </w:pPr>
            <w:r>
              <w:rPr>
                <w:rFonts w:asciiTheme="majorHAnsi" w:hAnsiTheme="majorHAnsi"/>
                <w:b/>
                <w:color w:val="FFFFFF" w:themeColor="background1"/>
                <w:sz w:val="18"/>
              </w:rPr>
              <w:t>PM 52: Gatishmëria ndaj rrezikut në sektorin e energjisë elektrike (Rp</w:t>
            </w:r>
            <w:r w:rsidR="00B24719">
              <w:rPr>
                <w:rFonts w:asciiTheme="majorHAnsi" w:hAnsiTheme="majorHAnsi"/>
                <w:b/>
                <w:color w:val="FFFFFF" w:themeColor="background1"/>
                <w:sz w:val="18"/>
              </w:rPr>
              <w:t>P</w:t>
            </w:r>
            <w:r>
              <w:rPr>
                <w:rFonts w:asciiTheme="majorHAnsi" w:hAnsiTheme="majorHAnsi"/>
                <w:b/>
                <w:color w:val="FFFFFF" w:themeColor="background1"/>
                <w:sz w:val="18"/>
              </w:rPr>
              <w:t>)</w:t>
            </w:r>
          </w:p>
        </w:tc>
      </w:tr>
      <w:tr w:rsidR="005C57AD" w:rsidRPr="004A64EF" w14:paraId="166F74FF" w14:textId="77777777" w:rsidTr="006E6E51">
        <w:trPr>
          <w:trHeight w:val="1025"/>
          <w:tblCellSpacing w:w="5" w:type="dxa"/>
        </w:trPr>
        <w:tc>
          <w:tcPr>
            <w:tcW w:w="9649" w:type="dxa"/>
            <w:gridSpan w:val="2"/>
            <w:tcBorders>
              <w:top w:val="single" w:sz="4" w:space="0" w:color="FFFFFF" w:themeColor="background1"/>
              <w:bottom w:val="nil"/>
            </w:tcBorders>
            <w:shd w:val="clear" w:color="auto" w:fill="014F75"/>
          </w:tcPr>
          <w:p w14:paraId="454C7B74" w14:textId="77777777" w:rsidR="005C57AD" w:rsidRPr="004A64EF" w:rsidRDefault="005C57AD">
            <w:pPr>
              <w:pStyle w:val="TableParagraph"/>
              <w:spacing w:before="1" w:line="242" w:lineRule="auto"/>
              <w:ind w:left="145"/>
              <w:rPr>
                <w:rFonts w:asciiTheme="majorHAnsi" w:hAnsiTheme="majorHAnsi" w:cstheme="majorHAnsi"/>
                <w:sz w:val="18"/>
                <w:szCs w:val="18"/>
              </w:rPr>
            </w:pPr>
            <w:r>
              <w:rPr>
                <w:rFonts w:asciiTheme="majorHAnsi" w:hAnsiTheme="majorHAnsi"/>
                <w:b/>
                <w:color w:val="FFFFFF"/>
                <w:sz w:val="18"/>
              </w:rPr>
              <w:t xml:space="preserve">Objektivi: </w:t>
            </w:r>
            <w:r>
              <w:rPr>
                <w:rFonts w:asciiTheme="majorHAnsi" w:hAnsiTheme="majorHAnsi"/>
                <w:color w:val="FFFFFF"/>
                <w:sz w:val="18"/>
              </w:rPr>
              <w:t>Krijimi i planeve të gatishmërisë ndaj rrezikut për të identifikuar dhe trajtuar krizat e mundshme të energjisë elektrike.</w:t>
            </w:r>
          </w:p>
          <w:p w14:paraId="2228E896" w14:textId="45F1E609" w:rsidR="005C57AD" w:rsidRPr="004A64EF" w:rsidRDefault="005C57AD">
            <w:pPr>
              <w:pStyle w:val="TableParagraph"/>
              <w:spacing w:before="179" w:line="210" w:lineRule="atLeast"/>
              <w:ind w:left="145" w:right="139"/>
              <w:rPr>
                <w:rFonts w:asciiTheme="majorHAnsi" w:hAnsiTheme="majorHAnsi" w:cstheme="majorHAnsi"/>
                <w:sz w:val="18"/>
                <w:szCs w:val="18"/>
              </w:rPr>
            </w:pPr>
            <w:r>
              <w:rPr>
                <w:rFonts w:asciiTheme="majorHAnsi" w:hAnsiTheme="majorHAnsi"/>
                <w:b/>
                <w:color w:val="FFFFFF"/>
                <w:sz w:val="18"/>
              </w:rPr>
              <w:t xml:space="preserve">Përshkrimi: </w:t>
            </w:r>
            <w:r>
              <w:rPr>
                <w:rFonts w:asciiTheme="majorHAnsi" w:hAnsiTheme="majorHAnsi"/>
                <w:color w:val="FFFFFF"/>
                <w:sz w:val="18"/>
              </w:rPr>
              <w:t xml:space="preserve">Krijimi i planit të gatishmërisë ndaj rrezikut do ta ndihmojë Kosovën që të përcaktojë metodologjinë dhe rregullat e përbashkëta për bashkëpunim me vendet e tjera në mënyrë që të përgatitet dhe të parandalojë çdo krizë të mundshme të energjisë elektrike, duke respektuar kërkesat për një treg të brendshëm konkurrues të energjisë elektrike. </w:t>
            </w:r>
            <w:r>
              <w:rPr>
                <w:rFonts w:ascii="Arial" w:hAnsi="Arial"/>
                <w:color w:val="FFFFFF"/>
                <w:sz w:val="18"/>
              </w:rPr>
              <w:t>Përfshirja e vlerësimeve të ndikimit social dhe gjinor në metodologjinë e RpP-së do të sigurojë që planet të marrin në konsideratë dhe adresojnë mënyra të ndryshme në të cilat krizat e mundshme të energjisë elektrike mund të prekin gjinitë e ndryshme, duke ndihmuar kështu në krijimin e strategjive më të barabarta të gatishmërisë ndaj rrezikut për të siguruar që gratë dhe grupet e tjera të margjinalizuara shoqërore të mbështeten njësoj në kohët e krizave energjetike.</w:t>
            </w:r>
          </w:p>
        </w:tc>
      </w:tr>
      <w:tr w:rsidR="005C57AD" w:rsidRPr="004A64EF" w14:paraId="0B0C36D0" w14:textId="77777777" w:rsidTr="006E6E51">
        <w:trPr>
          <w:trHeight w:val="200"/>
          <w:tblCellSpacing w:w="5" w:type="dxa"/>
        </w:trPr>
        <w:tc>
          <w:tcPr>
            <w:tcW w:w="2631" w:type="dxa"/>
            <w:tcBorders>
              <w:top w:val="single" w:sz="4" w:space="0" w:color="FFFFFF" w:themeColor="background1"/>
            </w:tcBorders>
            <w:shd w:val="clear" w:color="auto" w:fill="014F75"/>
          </w:tcPr>
          <w:p w14:paraId="4CE81E72" w14:textId="77777777" w:rsidR="005C57AD" w:rsidRPr="004A64EF" w:rsidRDefault="005C57AD">
            <w:pPr>
              <w:pStyle w:val="TableParagraph"/>
              <w:spacing w:before="1" w:line="189" w:lineRule="exact"/>
              <w:ind w:left="145"/>
              <w:rPr>
                <w:rFonts w:asciiTheme="majorHAnsi" w:hAnsiTheme="majorHAnsi" w:cstheme="majorHAnsi"/>
                <w:b/>
                <w:sz w:val="18"/>
                <w:szCs w:val="18"/>
              </w:rPr>
            </w:pPr>
            <w:r>
              <w:rPr>
                <w:rFonts w:asciiTheme="majorHAnsi" w:hAnsiTheme="majorHAnsi"/>
                <w:b/>
                <w:color w:val="FFFFFF"/>
                <w:sz w:val="18"/>
              </w:rPr>
              <w:t>Sektori/lloji</w:t>
            </w:r>
          </w:p>
        </w:tc>
        <w:tc>
          <w:tcPr>
            <w:tcW w:w="7008" w:type="dxa"/>
            <w:tcBorders>
              <w:top w:val="single" w:sz="4" w:space="0" w:color="FFFFFF" w:themeColor="background1"/>
            </w:tcBorders>
            <w:shd w:val="clear" w:color="auto" w:fill="B0E3FC"/>
          </w:tcPr>
          <w:p w14:paraId="7FE4E403" w14:textId="77777777" w:rsidR="005C57AD" w:rsidRPr="004A64EF" w:rsidRDefault="005C57AD" w:rsidP="006E6E51">
            <w:pPr>
              <w:pStyle w:val="TableParagraph"/>
              <w:spacing w:before="1" w:line="189" w:lineRule="exact"/>
              <w:rPr>
                <w:rFonts w:asciiTheme="majorHAnsi" w:hAnsiTheme="majorHAnsi" w:cstheme="majorHAnsi"/>
                <w:sz w:val="18"/>
                <w:szCs w:val="18"/>
              </w:rPr>
            </w:pPr>
            <w:r>
              <w:rPr>
                <w:rFonts w:asciiTheme="majorHAnsi" w:hAnsiTheme="majorHAnsi"/>
                <w:color w:val="0E0D29"/>
                <w:sz w:val="18"/>
              </w:rPr>
              <w:t xml:space="preserve"> Energjetik/teknik/rregullativ</w:t>
            </w:r>
          </w:p>
        </w:tc>
      </w:tr>
      <w:tr w:rsidR="005C57AD" w:rsidRPr="004A64EF" w14:paraId="049FB580" w14:textId="77777777" w:rsidTr="006E6E51">
        <w:trPr>
          <w:trHeight w:val="195"/>
          <w:tblCellSpacing w:w="5" w:type="dxa"/>
        </w:trPr>
        <w:tc>
          <w:tcPr>
            <w:tcW w:w="2631" w:type="dxa"/>
            <w:tcBorders>
              <w:top w:val="single" w:sz="4" w:space="0" w:color="FFFFFF" w:themeColor="background1"/>
              <w:bottom w:val="single" w:sz="4" w:space="0" w:color="FFFFFF" w:themeColor="background1"/>
            </w:tcBorders>
            <w:shd w:val="clear" w:color="auto" w:fill="014F75"/>
          </w:tcPr>
          <w:p w14:paraId="6E9F7671" w14:textId="77777777" w:rsidR="005C57AD" w:rsidRPr="004A64EF" w:rsidRDefault="005C57AD">
            <w:pPr>
              <w:pStyle w:val="TableParagraph"/>
              <w:spacing w:before="1" w:line="184" w:lineRule="exact"/>
              <w:ind w:left="145"/>
              <w:rPr>
                <w:rFonts w:asciiTheme="majorHAnsi" w:hAnsiTheme="majorHAnsi" w:cstheme="majorHAnsi"/>
                <w:b/>
                <w:sz w:val="18"/>
                <w:szCs w:val="18"/>
              </w:rPr>
            </w:pPr>
            <w:r>
              <w:rPr>
                <w:rFonts w:asciiTheme="majorHAnsi" w:hAnsiTheme="majorHAnsi"/>
                <w:b/>
                <w:color w:val="FFFFFF"/>
                <w:sz w:val="18"/>
              </w:rPr>
              <w:t>Statusi i implementimit</w:t>
            </w:r>
          </w:p>
        </w:tc>
        <w:tc>
          <w:tcPr>
            <w:tcW w:w="7008" w:type="dxa"/>
            <w:tcBorders>
              <w:top w:val="nil"/>
              <w:bottom w:val="nil"/>
            </w:tcBorders>
            <w:shd w:val="clear" w:color="auto" w:fill="63C8FB"/>
          </w:tcPr>
          <w:p w14:paraId="768FC5AF" w14:textId="2BEF2503" w:rsidR="005C57AD" w:rsidRPr="004A64EF" w:rsidRDefault="005C57AD">
            <w:pPr>
              <w:pStyle w:val="TableParagraph"/>
              <w:spacing w:before="1" w:line="184" w:lineRule="exact"/>
              <w:ind w:left="102"/>
              <w:rPr>
                <w:rFonts w:asciiTheme="majorHAnsi" w:hAnsiTheme="majorHAnsi" w:cstheme="majorHAnsi"/>
                <w:sz w:val="18"/>
                <w:szCs w:val="18"/>
              </w:rPr>
            </w:pPr>
            <w:r>
              <w:rPr>
                <w:rFonts w:asciiTheme="majorHAnsi" w:hAnsiTheme="majorHAnsi"/>
                <w:color w:val="0E0D29"/>
                <w:sz w:val="18"/>
              </w:rPr>
              <w:t>Është  planifikuar të fillojë në pjesën e dytë të vitit 2024 pas miratimit të Ligjit për Energjinë Elektrike dhe Ligjit për Energjinë dhe parashihet të përfundojë deri në tremujorin e dytë të vitit 2025.</w:t>
            </w:r>
          </w:p>
        </w:tc>
      </w:tr>
      <w:tr w:rsidR="005C57AD" w:rsidRPr="004A64EF" w14:paraId="7F5A19F0" w14:textId="77777777" w:rsidTr="006E6E51">
        <w:trPr>
          <w:trHeight w:val="192"/>
          <w:tblCellSpacing w:w="5" w:type="dxa"/>
        </w:trPr>
        <w:tc>
          <w:tcPr>
            <w:tcW w:w="2631" w:type="dxa"/>
            <w:tcBorders>
              <w:top w:val="single" w:sz="4" w:space="0" w:color="FFFFFF" w:themeColor="background1"/>
              <w:bottom w:val="single" w:sz="4" w:space="0" w:color="FFFFFF" w:themeColor="background1"/>
            </w:tcBorders>
            <w:shd w:val="clear" w:color="auto" w:fill="014F75"/>
          </w:tcPr>
          <w:p w14:paraId="7E02AAC4" w14:textId="77777777" w:rsidR="005C57AD" w:rsidRPr="004A64EF" w:rsidRDefault="005C57AD">
            <w:pPr>
              <w:pStyle w:val="TableParagraph"/>
              <w:spacing w:before="1" w:line="181" w:lineRule="exact"/>
              <w:ind w:left="145"/>
              <w:rPr>
                <w:rFonts w:asciiTheme="majorHAnsi" w:hAnsiTheme="majorHAnsi" w:cstheme="majorHAnsi"/>
                <w:b/>
                <w:sz w:val="18"/>
                <w:szCs w:val="18"/>
              </w:rPr>
            </w:pPr>
            <w:r>
              <w:rPr>
                <w:rFonts w:asciiTheme="majorHAnsi" w:hAnsiTheme="majorHAnsi"/>
                <w:b/>
                <w:color w:val="FFFFFF"/>
                <w:sz w:val="18"/>
              </w:rPr>
              <w:t>Efektet kuantitative</w:t>
            </w:r>
          </w:p>
        </w:tc>
        <w:tc>
          <w:tcPr>
            <w:tcW w:w="7008" w:type="dxa"/>
            <w:tcBorders>
              <w:top w:val="nil"/>
            </w:tcBorders>
            <w:shd w:val="clear" w:color="auto" w:fill="B0E3FC"/>
          </w:tcPr>
          <w:p w14:paraId="475E150B" w14:textId="44E394F5" w:rsidR="005C57AD" w:rsidRPr="004A64EF" w:rsidRDefault="00D9783F">
            <w:pPr>
              <w:pStyle w:val="TableParagraph"/>
              <w:spacing w:before="1" w:line="181" w:lineRule="exact"/>
              <w:ind w:left="102"/>
              <w:rPr>
                <w:rFonts w:asciiTheme="majorHAnsi" w:hAnsiTheme="majorHAnsi" w:cstheme="majorHAnsi"/>
                <w:sz w:val="18"/>
                <w:szCs w:val="18"/>
              </w:rPr>
            </w:pPr>
            <w:r>
              <w:rPr>
                <w:rFonts w:asciiTheme="majorHAnsi" w:hAnsiTheme="majorHAnsi"/>
                <w:color w:val="0E0D29"/>
                <w:sz w:val="18"/>
              </w:rPr>
              <w:t>Nuk zbatohet.</w:t>
            </w:r>
          </w:p>
        </w:tc>
      </w:tr>
      <w:tr w:rsidR="005C57AD" w:rsidRPr="004A64EF" w14:paraId="2591FCDE" w14:textId="77777777" w:rsidTr="006E6E51">
        <w:trPr>
          <w:trHeight w:val="445"/>
          <w:tblCellSpacing w:w="5" w:type="dxa"/>
        </w:trPr>
        <w:tc>
          <w:tcPr>
            <w:tcW w:w="2631" w:type="dxa"/>
            <w:tcBorders>
              <w:top w:val="single" w:sz="4" w:space="0" w:color="FFFFFF" w:themeColor="background1"/>
              <w:bottom w:val="single" w:sz="4" w:space="0" w:color="FFFFFF" w:themeColor="background1"/>
            </w:tcBorders>
            <w:shd w:val="clear" w:color="auto" w:fill="014F75"/>
          </w:tcPr>
          <w:p w14:paraId="3EA20F50" w14:textId="77777777" w:rsidR="005C57AD" w:rsidRPr="004A64EF" w:rsidRDefault="005C57AD">
            <w:pPr>
              <w:pStyle w:val="TableParagraph"/>
              <w:spacing w:line="206" w:lineRule="exact"/>
              <w:ind w:left="145"/>
              <w:rPr>
                <w:rFonts w:asciiTheme="majorHAnsi" w:hAnsiTheme="majorHAnsi" w:cstheme="majorHAnsi"/>
                <w:b/>
                <w:sz w:val="18"/>
                <w:szCs w:val="18"/>
              </w:rPr>
            </w:pPr>
            <w:r>
              <w:rPr>
                <w:rFonts w:asciiTheme="majorHAnsi" w:hAnsiTheme="majorHAnsi"/>
                <w:b/>
                <w:color w:val="FFFFFF"/>
                <w:sz w:val="18"/>
              </w:rPr>
              <w:t>Investimet</w:t>
            </w:r>
          </w:p>
        </w:tc>
        <w:tc>
          <w:tcPr>
            <w:tcW w:w="7008" w:type="dxa"/>
            <w:tcBorders>
              <w:bottom w:val="nil"/>
            </w:tcBorders>
            <w:shd w:val="clear" w:color="auto" w:fill="63C8FB"/>
          </w:tcPr>
          <w:p w14:paraId="6A32451B" w14:textId="5D03A94D" w:rsidR="005C57AD" w:rsidRPr="004A64EF" w:rsidRDefault="00D9783F">
            <w:pPr>
              <w:pStyle w:val="TableParagraph"/>
              <w:spacing w:line="189" w:lineRule="exact"/>
              <w:ind w:left="102"/>
              <w:jc w:val="both"/>
              <w:rPr>
                <w:rFonts w:asciiTheme="majorHAnsi" w:hAnsiTheme="majorHAnsi" w:cstheme="majorHAnsi"/>
                <w:sz w:val="18"/>
                <w:szCs w:val="18"/>
              </w:rPr>
            </w:pPr>
            <w:r>
              <w:rPr>
                <w:rFonts w:asciiTheme="majorHAnsi" w:hAnsiTheme="majorHAnsi"/>
                <w:color w:val="0E0D29"/>
                <w:sz w:val="18"/>
              </w:rPr>
              <w:t>0.3 mil. euro në vit (2025-27) për asistencë teknike për zhvillimin e një plani të gatishmërisë ndaj rrezikut (Burimi: Vlerësimi i ekspertëve)</w:t>
            </w:r>
          </w:p>
        </w:tc>
      </w:tr>
      <w:tr w:rsidR="005C57AD" w:rsidRPr="004A64EF" w14:paraId="3F48BDAC" w14:textId="77777777" w:rsidTr="006E6E51">
        <w:trPr>
          <w:trHeight w:val="195"/>
          <w:tblCellSpacing w:w="5" w:type="dxa"/>
        </w:trPr>
        <w:tc>
          <w:tcPr>
            <w:tcW w:w="2631" w:type="dxa"/>
            <w:tcBorders>
              <w:top w:val="single" w:sz="4" w:space="0" w:color="FFFFFF" w:themeColor="background1"/>
              <w:bottom w:val="single" w:sz="4" w:space="0" w:color="FFFFFF" w:themeColor="background1"/>
            </w:tcBorders>
            <w:shd w:val="clear" w:color="auto" w:fill="014F75"/>
          </w:tcPr>
          <w:p w14:paraId="6C9EA53D" w14:textId="77777777" w:rsidR="005C57AD" w:rsidRPr="004A64EF" w:rsidRDefault="005C57AD">
            <w:pPr>
              <w:pStyle w:val="TableParagraph"/>
              <w:spacing w:before="1" w:line="184" w:lineRule="exact"/>
              <w:ind w:left="145"/>
              <w:rPr>
                <w:rFonts w:asciiTheme="majorHAnsi" w:hAnsiTheme="majorHAnsi" w:cstheme="majorHAnsi"/>
                <w:b/>
                <w:sz w:val="18"/>
                <w:szCs w:val="18"/>
              </w:rPr>
            </w:pPr>
            <w:r>
              <w:rPr>
                <w:rFonts w:asciiTheme="majorHAnsi" w:hAnsiTheme="majorHAnsi"/>
                <w:b/>
                <w:color w:val="FFFFFF"/>
                <w:sz w:val="18"/>
              </w:rPr>
              <w:t>Institucioni përgjegjës</w:t>
            </w:r>
          </w:p>
        </w:tc>
        <w:tc>
          <w:tcPr>
            <w:tcW w:w="7008" w:type="dxa"/>
            <w:tcBorders>
              <w:top w:val="nil"/>
              <w:bottom w:val="nil"/>
            </w:tcBorders>
            <w:shd w:val="clear" w:color="auto" w:fill="B0E3FC"/>
          </w:tcPr>
          <w:p w14:paraId="1D361823" w14:textId="0B54B656" w:rsidR="005C57AD" w:rsidRPr="004A64EF" w:rsidRDefault="005C57AD">
            <w:pPr>
              <w:pStyle w:val="TableParagraph"/>
              <w:spacing w:before="1" w:line="184" w:lineRule="exact"/>
              <w:ind w:left="102"/>
              <w:rPr>
                <w:rFonts w:asciiTheme="majorHAnsi" w:hAnsiTheme="majorHAnsi" w:cstheme="majorHAnsi"/>
                <w:sz w:val="18"/>
                <w:szCs w:val="18"/>
              </w:rPr>
            </w:pPr>
            <w:r>
              <w:rPr>
                <w:rFonts w:asciiTheme="majorHAnsi" w:hAnsiTheme="majorHAnsi"/>
                <w:color w:val="0E0D29"/>
                <w:sz w:val="18"/>
              </w:rPr>
              <w:t>ME</w:t>
            </w:r>
          </w:p>
        </w:tc>
      </w:tr>
      <w:tr w:rsidR="005C57AD" w:rsidRPr="004A64EF" w14:paraId="43734B47" w14:textId="77777777" w:rsidTr="006E6E51">
        <w:trPr>
          <w:trHeight w:val="200"/>
          <w:tblCellSpacing w:w="5" w:type="dxa"/>
        </w:trPr>
        <w:tc>
          <w:tcPr>
            <w:tcW w:w="2631" w:type="dxa"/>
            <w:tcBorders>
              <w:top w:val="single" w:sz="4" w:space="0" w:color="FFFFFF" w:themeColor="background1"/>
              <w:bottom w:val="single" w:sz="4" w:space="0" w:color="FFFFFF" w:themeColor="background1"/>
            </w:tcBorders>
            <w:shd w:val="clear" w:color="auto" w:fill="014F75"/>
          </w:tcPr>
          <w:p w14:paraId="64A149D9" w14:textId="77777777" w:rsidR="005C57AD" w:rsidRPr="004A64EF" w:rsidRDefault="005C57AD">
            <w:pPr>
              <w:pStyle w:val="TableParagraph"/>
              <w:spacing w:before="1" w:line="189" w:lineRule="exact"/>
              <w:ind w:left="145"/>
              <w:rPr>
                <w:rFonts w:asciiTheme="majorHAnsi" w:hAnsiTheme="majorHAnsi" w:cstheme="majorHAnsi"/>
                <w:b/>
                <w:sz w:val="18"/>
                <w:szCs w:val="18"/>
              </w:rPr>
            </w:pPr>
            <w:r>
              <w:rPr>
                <w:rFonts w:asciiTheme="majorHAnsi" w:hAnsiTheme="majorHAnsi"/>
                <w:b/>
                <w:color w:val="FFFFFF"/>
                <w:sz w:val="18"/>
              </w:rPr>
              <w:t>Treguesit e progresit</w:t>
            </w:r>
          </w:p>
        </w:tc>
        <w:tc>
          <w:tcPr>
            <w:tcW w:w="7008" w:type="dxa"/>
            <w:tcBorders>
              <w:top w:val="nil"/>
              <w:bottom w:val="nil"/>
            </w:tcBorders>
            <w:shd w:val="clear" w:color="auto" w:fill="63C8FB"/>
          </w:tcPr>
          <w:p w14:paraId="1A9AE5EC" w14:textId="24C6B505" w:rsidR="005C57AD" w:rsidRPr="004A64EF" w:rsidRDefault="005C57AD">
            <w:pPr>
              <w:pStyle w:val="TableParagraph"/>
              <w:spacing w:before="1" w:line="189" w:lineRule="exact"/>
              <w:ind w:left="102"/>
              <w:rPr>
                <w:rFonts w:asciiTheme="majorHAnsi" w:hAnsiTheme="majorHAnsi" w:cstheme="majorHAnsi"/>
                <w:sz w:val="18"/>
                <w:szCs w:val="18"/>
              </w:rPr>
            </w:pPr>
            <w:r>
              <w:rPr>
                <w:rFonts w:asciiTheme="majorHAnsi" w:hAnsiTheme="majorHAnsi"/>
                <w:color w:val="0E0D29"/>
                <w:sz w:val="18"/>
              </w:rPr>
              <w:t>Planet e RpP-së të përgatitura dhe të zhvilluara</w:t>
            </w:r>
          </w:p>
        </w:tc>
      </w:tr>
      <w:tr w:rsidR="005C57AD" w:rsidRPr="00976D33" w14:paraId="5CBB9F30" w14:textId="77777777" w:rsidTr="006E6E51">
        <w:trPr>
          <w:trHeight w:val="400"/>
          <w:tblCellSpacing w:w="5" w:type="dxa"/>
        </w:trPr>
        <w:tc>
          <w:tcPr>
            <w:tcW w:w="2631" w:type="dxa"/>
            <w:tcBorders>
              <w:top w:val="single" w:sz="4" w:space="0" w:color="FFFFFF" w:themeColor="background1"/>
            </w:tcBorders>
            <w:shd w:val="clear" w:color="auto" w:fill="014F75"/>
          </w:tcPr>
          <w:p w14:paraId="391BB3A4" w14:textId="3CC7E02F" w:rsidR="005C57AD" w:rsidRPr="004A64EF" w:rsidRDefault="005C57AD">
            <w:pPr>
              <w:pStyle w:val="TableParagraph"/>
              <w:spacing w:line="206" w:lineRule="exact"/>
              <w:ind w:left="145" w:right="846"/>
              <w:rPr>
                <w:rFonts w:asciiTheme="majorHAnsi" w:hAnsiTheme="majorHAnsi" w:cstheme="majorHAnsi"/>
                <w:b/>
                <w:sz w:val="18"/>
                <w:szCs w:val="18"/>
              </w:rPr>
            </w:pPr>
            <w:r>
              <w:rPr>
                <w:rFonts w:asciiTheme="majorHAnsi" w:hAnsiTheme="majorHAnsi"/>
                <w:b/>
                <w:color w:val="FFFFFF"/>
                <w:sz w:val="18"/>
              </w:rPr>
              <w:t>Lidhja me dimension</w:t>
            </w:r>
            <w:r w:rsidR="0037748E">
              <w:rPr>
                <w:rFonts w:asciiTheme="majorHAnsi" w:hAnsiTheme="majorHAnsi"/>
                <w:b/>
                <w:color w:val="FFFFFF"/>
                <w:sz w:val="18"/>
              </w:rPr>
              <w:t>et e tjera</w:t>
            </w:r>
          </w:p>
        </w:tc>
        <w:tc>
          <w:tcPr>
            <w:tcW w:w="7008" w:type="dxa"/>
            <w:tcBorders>
              <w:top w:val="nil"/>
            </w:tcBorders>
            <w:shd w:val="clear" w:color="auto" w:fill="B0E3FC"/>
          </w:tcPr>
          <w:p w14:paraId="76C7740A" w14:textId="77777777" w:rsidR="005C57AD" w:rsidRPr="00976D33" w:rsidRDefault="005C57AD">
            <w:pPr>
              <w:pStyle w:val="TableParagraph"/>
              <w:spacing w:before="1"/>
              <w:ind w:left="102"/>
              <w:rPr>
                <w:rFonts w:asciiTheme="majorHAnsi" w:hAnsiTheme="majorHAnsi" w:cstheme="majorHAnsi"/>
                <w:sz w:val="18"/>
                <w:szCs w:val="18"/>
              </w:rPr>
            </w:pPr>
            <w:r>
              <w:rPr>
                <w:rFonts w:asciiTheme="majorHAnsi" w:hAnsiTheme="majorHAnsi"/>
                <w:color w:val="0E0D29"/>
                <w:sz w:val="18"/>
              </w:rPr>
              <w:t>Tregu i brendshëm energjetik</w:t>
            </w:r>
          </w:p>
        </w:tc>
      </w:tr>
    </w:tbl>
    <w:p w14:paraId="24D6E282" w14:textId="77777777" w:rsidR="005C57AD" w:rsidRPr="00976D33" w:rsidRDefault="005C57AD" w:rsidP="006E6E51"/>
    <w:tbl>
      <w:tblPr>
        <w:tblW w:w="0" w:type="auto"/>
        <w:tblBorders>
          <w:insideH w:val="single" w:sz="4" w:space="0" w:color="FFFFFF" w:themeColor="background1"/>
        </w:tblBorders>
        <w:tblLayout w:type="fixed"/>
        <w:tblLook w:val="01E0" w:firstRow="1" w:lastRow="1" w:firstColumn="1" w:lastColumn="1" w:noHBand="0" w:noVBand="0"/>
      </w:tblPr>
      <w:tblGrid>
        <w:gridCol w:w="2612"/>
        <w:gridCol w:w="6958"/>
      </w:tblGrid>
      <w:tr w:rsidR="005C57AD" w:rsidRPr="00976D33" w14:paraId="71039C19" w14:textId="77777777" w:rsidTr="006E6E51">
        <w:trPr>
          <w:trHeight w:val="195"/>
        </w:trPr>
        <w:tc>
          <w:tcPr>
            <w:tcW w:w="9570" w:type="dxa"/>
            <w:gridSpan w:val="2"/>
            <w:shd w:val="clear" w:color="auto" w:fill="014F75"/>
          </w:tcPr>
          <w:p w14:paraId="62BC688C" w14:textId="41BC10A5" w:rsidR="005C57AD" w:rsidRPr="00976D33" w:rsidRDefault="00E2732B" w:rsidP="006E6E51">
            <w:pPr>
              <w:spacing w:before="1" w:after="0"/>
              <w:ind w:left="30" w:right="-20"/>
              <w:rPr>
                <w:rFonts w:eastAsia="Arial" w:cs="Arial"/>
                <w:b/>
                <w:color w:val="FFFFFF" w:themeColor="background1"/>
                <w:sz w:val="18"/>
                <w:szCs w:val="18"/>
              </w:rPr>
            </w:pPr>
            <w:r>
              <w:rPr>
                <w:b/>
                <w:color w:val="FFFFFF" w:themeColor="background1"/>
                <w:sz w:val="18"/>
              </w:rPr>
              <w:lastRenderedPageBreak/>
              <w:t>PM 53: Përmirësimi dhe modernizimi i udhëzuesve për operacionet e sistemit (OS) dhe kodet e rrjetit</w:t>
            </w:r>
          </w:p>
        </w:tc>
      </w:tr>
      <w:tr w:rsidR="005C57AD" w:rsidRPr="00976D33" w14:paraId="4ED76137" w14:textId="77777777" w:rsidTr="006E6E51">
        <w:trPr>
          <w:trHeight w:val="1020"/>
        </w:trPr>
        <w:tc>
          <w:tcPr>
            <w:tcW w:w="9570" w:type="dxa"/>
            <w:gridSpan w:val="2"/>
            <w:shd w:val="clear" w:color="auto" w:fill="014F75"/>
          </w:tcPr>
          <w:p w14:paraId="328851BC" w14:textId="77777777" w:rsidR="005C57AD" w:rsidRPr="00976D33" w:rsidRDefault="005C57AD" w:rsidP="006E6E51">
            <w:pPr>
              <w:spacing w:before="1" w:after="0" w:line="240" w:lineRule="auto"/>
              <w:ind w:left="30" w:right="-20"/>
              <w:rPr>
                <w:color w:val="FFFFFF" w:themeColor="background1"/>
                <w:sz w:val="18"/>
                <w:szCs w:val="18"/>
              </w:rPr>
            </w:pPr>
            <w:r>
              <w:rPr>
                <w:b/>
                <w:color w:val="FFFFFF" w:themeColor="background1"/>
                <w:sz w:val="18"/>
              </w:rPr>
              <w:t xml:space="preserve">Objektivi: </w:t>
            </w:r>
            <w:r>
              <w:rPr>
                <w:color w:val="FFFFFF" w:themeColor="background1"/>
                <w:sz w:val="18"/>
              </w:rPr>
              <w:t>Përmirësimi i udhëzimeve të OS-së në mënyrë që të jetë në përputhje me kërkesat e ENTSO-E në lidhje me integrimin e më shumë burimeve të ripërtëritshme</w:t>
            </w:r>
          </w:p>
          <w:p w14:paraId="32B46D71" w14:textId="77777777" w:rsidR="005C57AD" w:rsidRPr="00976D33" w:rsidRDefault="005C57AD" w:rsidP="006E6E51">
            <w:pPr>
              <w:spacing w:before="179" w:after="0"/>
              <w:ind w:left="30" w:right="139"/>
              <w:rPr>
                <w:color w:val="FFFFFF" w:themeColor="background1"/>
                <w:sz w:val="18"/>
                <w:szCs w:val="18"/>
              </w:rPr>
            </w:pPr>
            <w:r>
              <w:rPr>
                <w:b/>
                <w:color w:val="FFFFFF" w:themeColor="background1"/>
                <w:sz w:val="18"/>
              </w:rPr>
              <w:t xml:space="preserve">Përshkrimi: </w:t>
            </w:r>
            <w:r>
              <w:rPr>
                <w:color w:val="FFFFFF" w:themeColor="background1"/>
                <w:sz w:val="18"/>
              </w:rPr>
              <w:t xml:space="preserve">Përmirësimi i udhëzimeve do të ndihmojë operatorin e sistemit të transmisionit të menaxhojë më mirë rrjetin e tij në dritën e integrimit të zgjeruar të burimeve të ripërtëritshme të energjisë, të jetë në gjendje të menaxhojë rritjen e ndërlidhjes dhe konkurrencës ndërkufitare, si dhe të përmirësojë bashkëpunimin e operatorëve rajonalë të rrjetit. </w:t>
            </w:r>
          </w:p>
        </w:tc>
      </w:tr>
      <w:tr w:rsidR="005C57AD" w:rsidRPr="00976D33" w14:paraId="6619733A" w14:textId="77777777" w:rsidTr="006E6E51">
        <w:trPr>
          <w:trHeight w:val="195"/>
        </w:trPr>
        <w:tc>
          <w:tcPr>
            <w:tcW w:w="2612" w:type="dxa"/>
            <w:shd w:val="clear" w:color="auto" w:fill="014F75"/>
          </w:tcPr>
          <w:p w14:paraId="37B95AAA" w14:textId="77777777" w:rsidR="005C57AD" w:rsidRPr="00976D33" w:rsidRDefault="005C57AD" w:rsidP="006E6E51">
            <w:pPr>
              <w:spacing w:before="1" w:after="0"/>
              <w:ind w:left="30" w:right="-20"/>
              <w:rPr>
                <w:rFonts w:eastAsia="Arial" w:cs="Arial"/>
                <w:b/>
                <w:color w:val="FFFFFF" w:themeColor="background1"/>
                <w:sz w:val="18"/>
                <w:szCs w:val="18"/>
              </w:rPr>
            </w:pPr>
            <w:r>
              <w:rPr>
                <w:b/>
                <w:color w:val="FFFFFF" w:themeColor="background1"/>
                <w:sz w:val="18"/>
              </w:rPr>
              <w:t>Sektori/lloji</w:t>
            </w:r>
          </w:p>
        </w:tc>
        <w:tc>
          <w:tcPr>
            <w:tcW w:w="6958" w:type="dxa"/>
            <w:shd w:val="clear" w:color="auto" w:fill="B0E3FC"/>
          </w:tcPr>
          <w:p w14:paraId="5CD803DF" w14:textId="77777777" w:rsidR="005C57AD" w:rsidRPr="00976D33" w:rsidRDefault="005C57AD" w:rsidP="00E2732B">
            <w:pPr>
              <w:spacing w:before="1" w:after="0"/>
              <w:ind w:left="30" w:right="-20"/>
              <w:rPr>
                <w:color w:val="0E0D29"/>
                <w:sz w:val="18"/>
                <w:szCs w:val="18"/>
              </w:rPr>
            </w:pPr>
            <w:r>
              <w:rPr>
                <w:color w:val="0E0D29"/>
                <w:sz w:val="18"/>
              </w:rPr>
              <w:t xml:space="preserve"> Energjetik/teknik/rregullativ</w:t>
            </w:r>
          </w:p>
        </w:tc>
      </w:tr>
      <w:tr w:rsidR="005C57AD" w:rsidRPr="00976D33" w14:paraId="161E1633" w14:textId="77777777" w:rsidTr="006E6E51">
        <w:trPr>
          <w:trHeight w:val="195"/>
        </w:trPr>
        <w:tc>
          <w:tcPr>
            <w:tcW w:w="2612" w:type="dxa"/>
            <w:shd w:val="clear" w:color="auto" w:fill="014F75"/>
          </w:tcPr>
          <w:p w14:paraId="79666384" w14:textId="77777777" w:rsidR="005C57AD" w:rsidRPr="00976D33" w:rsidRDefault="005C57AD" w:rsidP="006E6E51">
            <w:pPr>
              <w:spacing w:before="1" w:after="0"/>
              <w:ind w:left="30" w:right="-20"/>
              <w:rPr>
                <w:rFonts w:eastAsia="Arial" w:cs="Arial"/>
                <w:b/>
                <w:color w:val="FFFFFF" w:themeColor="background1"/>
                <w:sz w:val="18"/>
                <w:szCs w:val="18"/>
              </w:rPr>
            </w:pPr>
            <w:r>
              <w:rPr>
                <w:b/>
                <w:color w:val="FFFFFF" w:themeColor="background1"/>
                <w:sz w:val="18"/>
              </w:rPr>
              <w:t>Statusi i implementimit</w:t>
            </w:r>
          </w:p>
        </w:tc>
        <w:tc>
          <w:tcPr>
            <w:tcW w:w="6958" w:type="dxa"/>
            <w:shd w:val="clear" w:color="auto" w:fill="63C8FB"/>
          </w:tcPr>
          <w:p w14:paraId="6804AAEC" w14:textId="1D786B43" w:rsidR="005C57AD" w:rsidRPr="00976D33" w:rsidRDefault="005C57AD" w:rsidP="006E6E51">
            <w:pPr>
              <w:spacing w:before="1" w:after="0"/>
              <w:ind w:left="30" w:right="-20"/>
              <w:rPr>
                <w:color w:val="0E0D29"/>
                <w:sz w:val="18"/>
                <w:szCs w:val="18"/>
              </w:rPr>
            </w:pPr>
            <w:r>
              <w:rPr>
                <w:color w:val="0E0D29"/>
                <w:sz w:val="18"/>
              </w:rPr>
              <w:t xml:space="preserve">Në implementim. KOSTT është duke transpozuar të gjitha rregulloret dhe rregullat teknike të ENTSO-e. Kodi i ri i KOSTT-it është në zhvillim e sipër dhe pajtueshmëria e plotë me ENTSO-e është synuar deri në fund të vitit. </w:t>
            </w:r>
          </w:p>
        </w:tc>
      </w:tr>
      <w:tr w:rsidR="005C57AD" w:rsidRPr="00976D33" w14:paraId="33C6A0EE" w14:textId="77777777" w:rsidTr="006E6E51">
        <w:trPr>
          <w:trHeight w:val="195"/>
        </w:trPr>
        <w:tc>
          <w:tcPr>
            <w:tcW w:w="2612" w:type="dxa"/>
            <w:shd w:val="clear" w:color="auto" w:fill="014F75"/>
          </w:tcPr>
          <w:p w14:paraId="1B465CAD" w14:textId="77777777" w:rsidR="005C57AD" w:rsidRPr="00976D33" w:rsidRDefault="005C57AD" w:rsidP="006E6E51">
            <w:pPr>
              <w:spacing w:before="1" w:after="0"/>
              <w:ind w:left="30" w:right="-20"/>
              <w:rPr>
                <w:rFonts w:eastAsia="Arial" w:cs="Arial"/>
                <w:b/>
                <w:color w:val="FFFFFF" w:themeColor="background1"/>
                <w:sz w:val="18"/>
                <w:szCs w:val="18"/>
              </w:rPr>
            </w:pPr>
            <w:r>
              <w:rPr>
                <w:b/>
                <w:color w:val="FFFFFF" w:themeColor="background1"/>
                <w:sz w:val="18"/>
              </w:rPr>
              <w:t>Efektet kuantitative</w:t>
            </w:r>
          </w:p>
        </w:tc>
        <w:tc>
          <w:tcPr>
            <w:tcW w:w="6958" w:type="dxa"/>
            <w:shd w:val="clear" w:color="auto" w:fill="B0E3FC"/>
          </w:tcPr>
          <w:p w14:paraId="755E0A86" w14:textId="77777777" w:rsidR="005C57AD" w:rsidRPr="00976D33" w:rsidRDefault="005C57AD" w:rsidP="006E6E51">
            <w:pPr>
              <w:spacing w:before="1" w:after="0"/>
              <w:ind w:left="30" w:right="-20"/>
              <w:rPr>
                <w:color w:val="0E0D29"/>
                <w:sz w:val="18"/>
                <w:szCs w:val="18"/>
              </w:rPr>
            </w:pPr>
            <w:r>
              <w:rPr>
                <w:color w:val="0E0D29"/>
                <w:sz w:val="18"/>
              </w:rPr>
              <w:t>/</w:t>
            </w:r>
          </w:p>
        </w:tc>
      </w:tr>
      <w:tr w:rsidR="005C57AD" w:rsidRPr="00976D33" w14:paraId="026A6664" w14:textId="77777777" w:rsidTr="006E6E51">
        <w:trPr>
          <w:trHeight w:val="252"/>
        </w:trPr>
        <w:tc>
          <w:tcPr>
            <w:tcW w:w="2612" w:type="dxa"/>
            <w:shd w:val="clear" w:color="auto" w:fill="014F75"/>
          </w:tcPr>
          <w:p w14:paraId="661893D0" w14:textId="77777777" w:rsidR="005C57AD" w:rsidRPr="00976D33" w:rsidRDefault="005C57AD" w:rsidP="006E6E51">
            <w:pPr>
              <w:spacing w:after="0"/>
              <w:ind w:left="30" w:right="-20"/>
              <w:rPr>
                <w:rFonts w:eastAsia="Arial" w:cs="Arial"/>
                <w:b/>
                <w:color w:val="FFFFFF" w:themeColor="background1"/>
                <w:sz w:val="18"/>
                <w:szCs w:val="18"/>
              </w:rPr>
            </w:pPr>
            <w:r>
              <w:rPr>
                <w:b/>
                <w:color w:val="FFFFFF" w:themeColor="background1"/>
                <w:sz w:val="18"/>
              </w:rPr>
              <w:t>Investimet</w:t>
            </w:r>
          </w:p>
        </w:tc>
        <w:tc>
          <w:tcPr>
            <w:tcW w:w="6958" w:type="dxa"/>
            <w:shd w:val="clear" w:color="auto" w:fill="63C8FB"/>
          </w:tcPr>
          <w:p w14:paraId="57EB8C18" w14:textId="2FB7ABF4" w:rsidR="005C57AD" w:rsidRPr="00976D33" w:rsidRDefault="005C57AD" w:rsidP="006E6E51">
            <w:pPr>
              <w:spacing w:after="0"/>
              <w:ind w:left="30" w:right="-20"/>
              <w:rPr>
                <w:color w:val="0E0D29"/>
                <w:sz w:val="18"/>
                <w:szCs w:val="18"/>
              </w:rPr>
            </w:pPr>
            <w:r>
              <w:rPr>
                <w:color w:val="0E0D29"/>
                <w:sz w:val="18"/>
              </w:rPr>
              <w:t xml:space="preserve">Nuk zbatohet.  </w:t>
            </w:r>
          </w:p>
        </w:tc>
      </w:tr>
      <w:tr w:rsidR="005C57AD" w:rsidRPr="00976D33" w14:paraId="7C4933DF" w14:textId="77777777" w:rsidTr="006E6E51">
        <w:trPr>
          <w:trHeight w:val="195"/>
        </w:trPr>
        <w:tc>
          <w:tcPr>
            <w:tcW w:w="2612" w:type="dxa"/>
            <w:shd w:val="clear" w:color="auto" w:fill="014F75"/>
          </w:tcPr>
          <w:p w14:paraId="46E6AC7F" w14:textId="77777777" w:rsidR="005C57AD" w:rsidRPr="00976D33" w:rsidRDefault="005C57AD" w:rsidP="006E6E51">
            <w:pPr>
              <w:spacing w:before="1" w:after="0"/>
              <w:ind w:left="30" w:right="-20"/>
              <w:rPr>
                <w:rFonts w:eastAsia="Arial" w:cs="Arial"/>
                <w:b/>
                <w:color w:val="FFFFFF" w:themeColor="background1"/>
                <w:sz w:val="18"/>
                <w:szCs w:val="18"/>
              </w:rPr>
            </w:pPr>
            <w:r>
              <w:rPr>
                <w:b/>
                <w:color w:val="FFFFFF" w:themeColor="background1"/>
                <w:sz w:val="18"/>
              </w:rPr>
              <w:t>Institucioni përgjegjës</w:t>
            </w:r>
          </w:p>
        </w:tc>
        <w:tc>
          <w:tcPr>
            <w:tcW w:w="6958" w:type="dxa"/>
            <w:shd w:val="clear" w:color="auto" w:fill="B0E3FC"/>
          </w:tcPr>
          <w:p w14:paraId="1A745763" w14:textId="344C757A" w:rsidR="005C57AD" w:rsidRPr="00976D33" w:rsidRDefault="005C57AD" w:rsidP="006E6E51">
            <w:pPr>
              <w:spacing w:before="1" w:after="0"/>
              <w:ind w:left="30" w:right="-20"/>
              <w:rPr>
                <w:color w:val="0E0D29"/>
                <w:sz w:val="18"/>
                <w:szCs w:val="18"/>
              </w:rPr>
            </w:pPr>
            <w:r>
              <w:rPr>
                <w:color w:val="0E0D29"/>
                <w:sz w:val="18"/>
              </w:rPr>
              <w:t>KOSTT</w:t>
            </w:r>
          </w:p>
        </w:tc>
      </w:tr>
      <w:tr w:rsidR="005C57AD" w:rsidRPr="00976D33" w14:paraId="649EC393" w14:textId="77777777" w:rsidTr="006E6E51">
        <w:trPr>
          <w:trHeight w:val="195"/>
        </w:trPr>
        <w:tc>
          <w:tcPr>
            <w:tcW w:w="2612" w:type="dxa"/>
            <w:shd w:val="clear" w:color="auto" w:fill="014F75"/>
          </w:tcPr>
          <w:p w14:paraId="1F57FA15" w14:textId="77777777" w:rsidR="005C57AD" w:rsidRPr="00976D33" w:rsidRDefault="005C57AD" w:rsidP="006E6E51">
            <w:pPr>
              <w:spacing w:before="1" w:after="0"/>
              <w:ind w:left="30" w:right="-20"/>
              <w:rPr>
                <w:rFonts w:eastAsia="Arial" w:cs="Arial"/>
                <w:b/>
                <w:color w:val="FFFFFF" w:themeColor="background1"/>
                <w:sz w:val="18"/>
                <w:szCs w:val="18"/>
              </w:rPr>
            </w:pPr>
            <w:r>
              <w:rPr>
                <w:b/>
                <w:color w:val="FFFFFF" w:themeColor="background1"/>
                <w:sz w:val="18"/>
              </w:rPr>
              <w:t>Treguesit e progresit</w:t>
            </w:r>
          </w:p>
        </w:tc>
        <w:tc>
          <w:tcPr>
            <w:tcW w:w="6958" w:type="dxa"/>
            <w:shd w:val="clear" w:color="auto" w:fill="63C8FB"/>
          </w:tcPr>
          <w:p w14:paraId="0D21CC14" w14:textId="77777777" w:rsidR="005C57AD" w:rsidRPr="00976D33" w:rsidRDefault="005C57AD" w:rsidP="002350B9">
            <w:pPr>
              <w:spacing w:before="1" w:after="0"/>
              <w:ind w:right="-20"/>
              <w:rPr>
                <w:color w:val="0E0D29"/>
                <w:sz w:val="18"/>
                <w:szCs w:val="18"/>
              </w:rPr>
            </w:pPr>
            <w:r>
              <w:rPr>
                <w:color w:val="0E0D29"/>
                <w:sz w:val="18"/>
              </w:rPr>
              <w:t xml:space="preserve">Udhëzimet e përmirësuara dhe miratuara </w:t>
            </w:r>
          </w:p>
        </w:tc>
      </w:tr>
      <w:tr w:rsidR="005C57AD" w:rsidRPr="00976D33" w14:paraId="564C2FD5" w14:textId="77777777" w:rsidTr="006E6E51">
        <w:trPr>
          <w:trHeight w:val="405"/>
        </w:trPr>
        <w:tc>
          <w:tcPr>
            <w:tcW w:w="2612" w:type="dxa"/>
            <w:shd w:val="clear" w:color="auto" w:fill="014F75"/>
          </w:tcPr>
          <w:p w14:paraId="39C1D3F7" w14:textId="071664CD" w:rsidR="005C57AD" w:rsidRPr="00976D33" w:rsidRDefault="005C57AD" w:rsidP="006E6E51">
            <w:pPr>
              <w:pStyle w:val="TableParagraph"/>
              <w:spacing w:line="206" w:lineRule="exact"/>
              <w:ind w:left="30" w:right="846"/>
              <w:rPr>
                <w:rFonts w:eastAsia="Arial" w:cs="Arial"/>
                <w:b/>
                <w:color w:val="FFFFFF" w:themeColor="background1"/>
                <w:sz w:val="18"/>
                <w:szCs w:val="18"/>
              </w:rPr>
            </w:pPr>
            <w:r>
              <w:rPr>
                <w:rFonts w:asciiTheme="majorHAnsi" w:hAnsiTheme="majorHAnsi"/>
                <w:b/>
                <w:color w:val="FFFFFF"/>
                <w:sz w:val="18"/>
              </w:rPr>
              <w:t>Lidhja me dimensionet e tjera</w:t>
            </w:r>
          </w:p>
        </w:tc>
        <w:tc>
          <w:tcPr>
            <w:tcW w:w="6958" w:type="dxa"/>
            <w:shd w:val="clear" w:color="auto" w:fill="B0E3FC"/>
          </w:tcPr>
          <w:p w14:paraId="5BED8458" w14:textId="77777777" w:rsidR="005C57AD" w:rsidRPr="00976D33" w:rsidRDefault="005C57AD" w:rsidP="00E2732B">
            <w:pPr>
              <w:spacing w:before="1" w:after="0"/>
              <w:ind w:left="147" w:right="-20"/>
              <w:jc w:val="left"/>
              <w:rPr>
                <w:color w:val="0E0D29"/>
                <w:sz w:val="18"/>
                <w:szCs w:val="18"/>
              </w:rPr>
            </w:pPr>
          </w:p>
          <w:p w14:paraId="41FB0719" w14:textId="77777777" w:rsidR="005C57AD" w:rsidRPr="00976D33" w:rsidRDefault="005C57AD" w:rsidP="002350B9">
            <w:pPr>
              <w:spacing w:before="1" w:after="0"/>
              <w:ind w:right="-20"/>
              <w:jc w:val="left"/>
              <w:rPr>
                <w:color w:val="0E0D29"/>
                <w:sz w:val="18"/>
                <w:szCs w:val="18"/>
              </w:rPr>
            </w:pPr>
            <w:r>
              <w:rPr>
                <w:color w:val="0E0D29"/>
                <w:sz w:val="18"/>
              </w:rPr>
              <w:t>Tregu i brendshëm energjetik</w:t>
            </w:r>
          </w:p>
        </w:tc>
      </w:tr>
    </w:tbl>
    <w:p w14:paraId="43D3F1D8" w14:textId="77777777" w:rsidR="005C57AD" w:rsidRPr="00976D33" w:rsidRDefault="005C57AD" w:rsidP="005C57AD"/>
    <w:tbl>
      <w:tblPr>
        <w:tblW w:w="0" w:type="auto"/>
        <w:tblBorders>
          <w:insideH w:val="single" w:sz="4" w:space="0" w:color="FFFFFF" w:themeColor="background1"/>
        </w:tblBorders>
        <w:tblLayout w:type="fixed"/>
        <w:tblLook w:val="01E0" w:firstRow="1" w:lastRow="1" w:firstColumn="1" w:lastColumn="1" w:noHBand="0" w:noVBand="0"/>
      </w:tblPr>
      <w:tblGrid>
        <w:gridCol w:w="2612"/>
        <w:gridCol w:w="6958"/>
      </w:tblGrid>
      <w:tr w:rsidR="005C57AD" w:rsidRPr="004A64EF" w14:paraId="39A41F73" w14:textId="77777777" w:rsidTr="00E2732B">
        <w:trPr>
          <w:trHeight w:val="195"/>
        </w:trPr>
        <w:tc>
          <w:tcPr>
            <w:tcW w:w="9570" w:type="dxa"/>
            <w:gridSpan w:val="2"/>
            <w:shd w:val="clear" w:color="auto" w:fill="014F75"/>
          </w:tcPr>
          <w:p w14:paraId="34F1C1CA" w14:textId="710D3676" w:rsidR="005C57AD" w:rsidRPr="004A64EF" w:rsidRDefault="00E2732B" w:rsidP="00E2732B">
            <w:pPr>
              <w:spacing w:before="1" w:after="0"/>
              <w:ind w:left="30" w:right="-20"/>
              <w:rPr>
                <w:rFonts w:eastAsia="Arial" w:cs="Arial"/>
                <w:b/>
                <w:color w:val="FFFFFF" w:themeColor="background1"/>
                <w:sz w:val="18"/>
                <w:szCs w:val="18"/>
              </w:rPr>
            </w:pPr>
            <w:r>
              <w:rPr>
                <w:b/>
                <w:color w:val="FFFFFF" w:themeColor="background1"/>
                <w:sz w:val="18"/>
              </w:rPr>
              <w:t>PM 54: Përcaktimi i procedurave për lirimin e rezervave emergjente të naftës</w:t>
            </w:r>
          </w:p>
        </w:tc>
      </w:tr>
      <w:tr w:rsidR="005C57AD" w:rsidRPr="004A64EF" w14:paraId="21F1A2DA" w14:textId="77777777" w:rsidTr="00E2732B">
        <w:trPr>
          <w:trHeight w:val="1020"/>
        </w:trPr>
        <w:tc>
          <w:tcPr>
            <w:tcW w:w="9570" w:type="dxa"/>
            <w:gridSpan w:val="2"/>
            <w:shd w:val="clear" w:color="auto" w:fill="014F75"/>
          </w:tcPr>
          <w:p w14:paraId="68575A0A" w14:textId="77777777" w:rsidR="005C57AD" w:rsidRPr="004A64EF" w:rsidRDefault="005C57AD" w:rsidP="00E2732B">
            <w:pPr>
              <w:spacing w:before="1" w:after="0" w:line="240" w:lineRule="auto"/>
              <w:ind w:left="30" w:right="-20"/>
              <w:rPr>
                <w:color w:val="FFFFFF" w:themeColor="background1"/>
                <w:sz w:val="18"/>
                <w:szCs w:val="18"/>
              </w:rPr>
            </w:pPr>
            <w:r>
              <w:rPr>
                <w:b/>
                <w:color w:val="FFFFFF" w:themeColor="background1"/>
                <w:sz w:val="18"/>
              </w:rPr>
              <w:t xml:space="preserve">Objektivi: </w:t>
            </w:r>
            <w:r>
              <w:rPr>
                <w:color w:val="FFFFFF" w:themeColor="background1"/>
                <w:sz w:val="18"/>
              </w:rPr>
              <w:t xml:space="preserve">Përcaktimi i procedurave për lirimin e rezervave emergjente të naftës, duke përfshirë zhvillimin e planit reagues. </w:t>
            </w:r>
          </w:p>
          <w:p w14:paraId="7A26149C" w14:textId="77777777" w:rsidR="005C57AD" w:rsidRPr="004A64EF" w:rsidRDefault="005C57AD" w:rsidP="00E2732B">
            <w:pPr>
              <w:spacing w:before="179" w:after="0"/>
              <w:ind w:left="30" w:right="139"/>
              <w:rPr>
                <w:color w:val="FFFFFF" w:themeColor="background1"/>
                <w:sz w:val="18"/>
                <w:szCs w:val="18"/>
              </w:rPr>
            </w:pPr>
            <w:r>
              <w:rPr>
                <w:b/>
                <w:color w:val="FFFFFF" w:themeColor="background1"/>
                <w:sz w:val="18"/>
              </w:rPr>
              <w:t xml:space="preserve">Përshkrimi: </w:t>
            </w:r>
            <w:r>
              <w:rPr>
                <w:color w:val="FFFFFF" w:themeColor="background1"/>
                <w:sz w:val="18"/>
              </w:rPr>
              <w:t xml:space="preserve">Zhvillimi dhe miratimi i planit reagues për specifikimin e procedurave për lirimin e rezervave të naftës në rast të krizës së furnizimit do të japë kontribut të rëndësishëm në ruajtjen e sigurisë së furnizimit. </w:t>
            </w:r>
          </w:p>
        </w:tc>
      </w:tr>
      <w:tr w:rsidR="005C57AD" w:rsidRPr="004A64EF" w14:paraId="5447FE80" w14:textId="77777777" w:rsidTr="00E2732B">
        <w:trPr>
          <w:trHeight w:val="195"/>
        </w:trPr>
        <w:tc>
          <w:tcPr>
            <w:tcW w:w="2612" w:type="dxa"/>
            <w:shd w:val="clear" w:color="auto" w:fill="014F75"/>
          </w:tcPr>
          <w:p w14:paraId="4E015A8A" w14:textId="77777777" w:rsidR="005C57AD" w:rsidRPr="004A64EF" w:rsidRDefault="005C57AD" w:rsidP="00E2732B">
            <w:pPr>
              <w:spacing w:before="1" w:after="0"/>
              <w:ind w:left="30" w:right="-20"/>
              <w:rPr>
                <w:rFonts w:eastAsia="Arial" w:cs="Arial"/>
                <w:b/>
                <w:color w:val="FFFFFF" w:themeColor="background1"/>
                <w:sz w:val="18"/>
                <w:szCs w:val="18"/>
              </w:rPr>
            </w:pPr>
            <w:r>
              <w:rPr>
                <w:b/>
                <w:color w:val="FFFFFF" w:themeColor="background1"/>
                <w:sz w:val="18"/>
              </w:rPr>
              <w:t>Sektori/lloji</w:t>
            </w:r>
          </w:p>
        </w:tc>
        <w:tc>
          <w:tcPr>
            <w:tcW w:w="6958" w:type="dxa"/>
            <w:shd w:val="clear" w:color="auto" w:fill="B0E3FC"/>
          </w:tcPr>
          <w:p w14:paraId="24FB35B4" w14:textId="77777777" w:rsidR="005C57AD" w:rsidRPr="004A64EF" w:rsidRDefault="005C57AD" w:rsidP="00E2732B">
            <w:pPr>
              <w:spacing w:before="1" w:after="0"/>
              <w:ind w:left="30" w:right="-20"/>
              <w:rPr>
                <w:color w:val="0E0D29"/>
                <w:sz w:val="18"/>
                <w:szCs w:val="18"/>
              </w:rPr>
            </w:pPr>
            <w:r>
              <w:rPr>
                <w:color w:val="0E0D29"/>
                <w:sz w:val="18"/>
              </w:rPr>
              <w:t>Rregullator</w:t>
            </w:r>
          </w:p>
        </w:tc>
      </w:tr>
      <w:tr w:rsidR="005C57AD" w:rsidRPr="004A64EF" w14:paraId="7F91DDF2" w14:textId="77777777" w:rsidTr="00E2732B">
        <w:trPr>
          <w:trHeight w:val="195"/>
        </w:trPr>
        <w:tc>
          <w:tcPr>
            <w:tcW w:w="2612" w:type="dxa"/>
            <w:shd w:val="clear" w:color="auto" w:fill="014F75"/>
          </w:tcPr>
          <w:p w14:paraId="68FB529C" w14:textId="77777777" w:rsidR="005C57AD" w:rsidRPr="004A64EF" w:rsidRDefault="005C57AD" w:rsidP="00E2732B">
            <w:pPr>
              <w:spacing w:before="1" w:after="0"/>
              <w:ind w:left="30" w:right="-20"/>
              <w:rPr>
                <w:rFonts w:eastAsia="Arial" w:cs="Arial"/>
                <w:b/>
                <w:color w:val="FFFFFF" w:themeColor="background1"/>
                <w:sz w:val="18"/>
                <w:szCs w:val="18"/>
              </w:rPr>
            </w:pPr>
            <w:r>
              <w:rPr>
                <w:b/>
                <w:color w:val="FFFFFF" w:themeColor="background1"/>
                <w:sz w:val="18"/>
              </w:rPr>
              <w:t>Statusi i implementimit</w:t>
            </w:r>
          </w:p>
        </w:tc>
        <w:tc>
          <w:tcPr>
            <w:tcW w:w="6958" w:type="dxa"/>
            <w:shd w:val="clear" w:color="auto" w:fill="63C8FB"/>
          </w:tcPr>
          <w:p w14:paraId="0C9D09E9" w14:textId="77777777" w:rsidR="005C57AD" w:rsidRPr="004A64EF" w:rsidRDefault="005C57AD" w:rsidP="00E2732B">
            <w:pPr>
              <w:spacing w:before="1" w:after="0"/>
              <w:ind w:left="30" w:right="-20"/>
              <w:rPr>
                <w:color w:val="0E0D29"/>
                <w:sz w:val="18"/>
                <w:szCs w:val="18"/>
              </w:rPr>
            </w:pPr>
            <w:r>
              <w:rPr>
                <w:color w:val="0E0D29"/>
                <w:sz w:val="18"/>
              </w:rPr>
              <w:t xml:space="preserve">Në implementim. Është në zhvillim e sipër Projektligji për Rezervat e Naftës, i cili pritet të miratohet deri në fund të vitit. Pas miratimit, do të zhvillohet plani reagues për lirimin e rezervave emergjente të naftës. </w:t>
            </w:r>
          </w:p>
        </w:tc>
      </w:tr>
      <w:tr w:rsidR="005C57AD" w:rsidRPr="004A64EF" w14:paraId="10752517" w14:textId="77777777" w:rsidTr="00E2732B">
        <w:trPr>
          <w:trHeight w:val="195"/>
        </w:trPr>
        <w:tc>
          <w:tcPr>
            <w:tcW w:w="2612" w:type="dxa"/>
            <w:shd w:val="clear" w:color="auto" w:fill="014F75"/>
          </w:tcPr>
          <w:p w14:paraId="19FC96DC" w14:textId="77777777" w:rsidR="005C57AD" w:rsidRPr="004A64EF" w:rsidRDefault="005C57AD" w:rsidP="00E2732B">
            <w:pPr>
              <w:spacing w:before="1" w:after="0"/>
              <w:ind w:left="30" w:right="-20"/>
              <w:rPr>
                <w:rFonts w:eastAsia="Arial" w:cs="Arial"/>
                <w:b/>
                <w:color w:val="FFFFFF" w:themeColor="background1"/>
                <w:sz w:val="18"/>
                <w:szCs w:val="18"/>
              </w:rPr>
            </w:pPr>
            <w:r>
              <w:rPr>
                <w:b/>
                <w:color w:val="FFFFFF" w:themeColor="background1"/>
                <w:sz w:val="18"/>
              </w:rPr>
              <w:t>Efektet kuantitative</w:t>
            </w:r>
          </w:p>
        </w:tc>
        <w:tc>
          <w:tcPr>
            <w:tcW w:w="6958" w:type="dxa"/>
            <w:shd w:val="clear" w:color="auto" w:fill="B0E3FC"/>
          </w:tcPr>
          <w:p w14:paraId="0A3438D6" w14:textId="77777777" w:rsidR="005C57AD" w:rsidRPr="004A64EF" w:rsidRDefault="005C57AD" w:rsidP="00E2732B">
            <w:pPr>
              <w:spacing w:before="1" w:after="0"/>
              <w:ind w:left="30" w:right="-20"/>
              <w:rPr>
                <w:color w:val="0E0D29"/>
                <w:sz w:val="18"/>
                <w:szCs w:val="18"/>
              </w:rPr>
            </w:pPr>
            <w:r>
              <w:rPr>
                <w:color w:val="0E0D29"/>
                <w:sz w:val="18"/>
              </w:rPr>
              <w:t>/</w:t>
            </w:r>
          </w:p>
        </w:tc>
      </w:tr>
      <w:tr w:rsidR="005C57AD" w:rsidRPr="004A64EF" w14:paraId="36BF7323" w14:textId="77777777" w:rsidTr="00E2732B">
        <w:trPr>
          <w:trHeight w:val="450"/>
        </w:trPr>
        <w:tc>
          <w:tcPr>
            <w:tcW w:w="2612" w:type="dxa"/>
            <w:shd w:val="clear" w:color="auto" w:fill="014F75"/>
          </w:tcPr>
          <w:p w14:paraId="791C916F" w14:textId="77777777" w:rsidR="005C57AD" w:rsidRPr="004A64EF" w:rsidRDefault="005C57AD" w:rsidP="00E2732B">
            <w:pPr>
              <w:spacing w:after="0"/>
              <w:ind w:left="30" w:right="-20"/>
              <w:rPr>
                <w:rFonts w:eastAsia="Arial" w:cs="Arial"/>
                <w:b/>
                <w:color w:val="FFFFFF" w:themeColor="background1"/>
                <w:sz w:val="18"/>
                <w:szCs w:val="18"/>
              </w:rPr>
            </w:pPr>
            <w:r>
              <w:rPr>
                <w:b/>
                <w:color w:val="FFFFFF" w:themeColor="background1"/>
                <w:sz w:val="18"/>
              </w:rPr>
              <w:t>Investimet</w:t>
            </w:r>
          </w:p>
        </w:tc>
        <w:tc>
          <w:tcPr>
            <w:tcW w:w="6958" w:type="dxa"/>
            <w:shd w:val="clear" w:color="auto" w:fill="63C8FB"/>
          </w:tcPr>
          <w:p w14:paraId="5804445C" w14:textId="117C25F7" w:rsidR="005C57AD" w:rsidRPr="004A64EF" w:rsidRDefault="002E6046" w:rsidP="00E2732B">
            <w:pPr>
              <w:spacing w:after="0"/>
              <w:ind w:left="30" w:right="-20"/>
              <w:rPr>
                <w:color w:val="0E0D29"/>
                <w:sz w:val="18"/>
                <w:szCs w:val="18"/>
              </w:rPr>
            </w:pPr>
            <w:r>
              <w:rPr>
                <w:color w:val="0E0D29"/>
                <w:sz w:val="18"/>
              </w:rPr>
              <w:t>0.2 mil. euro për zhvillimin e planit të reagimit (0.1 mil. euro në vitin 2025 dhe 2026 (Burimi: Vlerësimi i ekspertëve)</w:t>
            </w:r>
          </w:p>
        </w:tc>
      </w:tr>
      <w:tr w:rsidR="005C57AD" w:rsidRPr="004A64EF" w14:paraId="3F33D357" w14:textId="77777777" w:rsidTr="00E2732B">
        <w:trPr>
          <w:trHeight w:val="195"/>
        </w:trPr>
        <w:tc>
          <w:tcPr>
            <w:tcW w:w="2612" w:type="dxa"/>
            <w:shd w:val="clear" w:color="auto" w:fill="014F75"/>
          </w:tcPr>
          <w:p w14:paraId="69B0C6E6" w14:textId="77777777" w:rsidR="005C57AD" w:rsidRPr="004A64EF" w:rsidRDefault="005C57AD" w:rsidP="00E2732B">
            <w:pPr>
              <w:spacing w:before="1" w:after="0"/>
              <w:ind w:left="30" w:right="-20"/>
              <w:rPr>
                <w:rFonts w:eastAsia="Arial" w:cs="Arial"/>
                <w:b/>
                <w:color w:val="FFFFFF" w:themeColor="background1"/>
                <w:sz w:val="18"/>
                <w:szCs w:val="18"/>
              </w:rPr>
            </w:pPr>
            <w:r>
              <w:rPr>
                <w:b/>
                <w:color w:val="FFFFFF" w:themeColor="background1"/>
                <w:sz w:val="18"/>
              </w:rPr>
              <w:t>Institucioni përgjegjës</w:t>
            </w:r>
          </w:p>
        </w:tc>
        <w:tc>
          <w:tcPr>
            <w:tcW w:w="6958" w:type="dxa"/>
            <w:shd w:val="clear" w:color="auto" w:fill="B0E3FC"/>
          </w:tcPr>
          <w:p w14:paraId="3DCB66CE" w14:textId="77777777" w:rsidR="005C57AD" w:rsidRPr="004A64EF" w:rsidRDefault="005C57AD" w:rsidP="00E2732B">
            <w:pPr>
              <w:spacing w:before="1" w:after="0"/>
              <w:ind w:left="30" w:right="-20"/>
              <w:rPr>
                <w:color w:val="0E0D29"/>
                <w:sz w:val="18"/>
                <w:szCs w:val="18"/>
              </w:rPr>
            </w:pPr>
            <w:r>
              <w:rPr>
                <w:color w:val="0E0D29"/>
                <w:sz w:val="18"/>
              </w:rPr>
              <w:t>MINT</w:t>
            </w:r>
          </w:p>
        </w:tc>
      </w:tr>
      <w:tr w:rsidR="005C57AD" w:rsidRPr="004A64EF" w14:paraId="0F5F3740" w14:textId="77777777" w:rsidTr="00E2732B">
        <w:trPr>
          <w:trHeight w:val="195"/>
        </w:trPr>
        <w:tc>
          <w:tcPr>
            <w:tcW w:w="2612" w:type="dxa"/>
            <w:shd w:val="clear" w:color="auto" w:fill="014F75"/>
          </w:tcPr>
          <w:p w14:paraId="423F76AA" w14:textId="77777777" w:rsidR="005C57AD" w:rsidRPr="004A64EF" w:rsidRDefault="005C57AD" w:rsidP="00E2732B">
            <w:pPr>
              <w:spacing w:before="1" w:after="0"/>
              <w:ind w:left="30" w:right="-20"/>
              <w:rPr>
                <w:rFonts w:eastAsia="Arial" w:cs="Arial"/>
                <w:b/>
                <w:color w:val="FFFFFF" w:themeColor="background1"/>
                <w:sz w:val="18"/>
                <w:szCs w:val="18"/>
              </w:rPr>
            </w:pPr>
            <w:r>
              <w:rPr>
                <w:b/>
                <w:color w:val="FFFFFF" w:themeColor="background1"/>
                <w:sz w:val="18"/>
              </w:rPr>
              <w:t>Treguesit e progresit</w:t>
            </w:r>
          </w:p>
        </w:tc>
        <w:tc>
          <w:tcPr>
            <w:tcW w:w="6958" w:type="dxa"/>
            <w:shd w:val="clear" w:color="auto" w:fill="63C8FB"/>
          </w:tcPr>
          <w:p w14:paraId="17B82B3B" w14:textId="77777777" w:rsidR="005C57AD" w:rsidRPr="004A64EF" w:rsidRDefault="005C57AD" w:rsidP="00E2732B">
            <w:pPr>
              <w:spacing w:before="1" w:after="0"/>
              <w:ind w:left="30" w:right="-20"/>
              <w:rPr>
                <w:color w:val="0E0D29"/>
                <w:sz w:val="18"/>
                <w:szCs w:val="18"/>
              </w:rPr>
            </w:pPr>
            <w:r>
              <w:rPr>
                <w:color w:val="0E0D29"/>
                <w:sz w:val="18"/>
              </w:rPr>
              <w:t xml:space="preserve">Ligji në dispozicion, plani reagues është zhvilluar.  </w:t>
            </w:r>
          </w:p>
        </w:tc>
      </w:tr>
      <w:tr w:rsidR="005C57AD" w:rsidRPr="00976D33" w14:paraId="1C58049B" w14:textId="77777777" w:rsidTr="00E2732B">
        <w:trPr>
          <w:trHeight w:val="405"/>
        </w:trPr>
        <w:tc>
          <w:tcPr>
            <w:tcW w:w="2612" w:type="dxa"/>
            <w:shd w:val="clear" w:color="auto" w:fill="014F75"/>
          </w:tcPr>
          <w:p w14:paraId="52D74A4C" w14:textId="4B3DBCF6" w:rsidR="005C57AD" w:rsidRPr="004A64EF" w:rsidRDefault="005C57AD" w:rsidP="00E2732B">
            <w:pPr>
              <w:spacing w:after="0"/>
              <w:ind w:left="30" w:right="846"/>
              <w:rPr>
                <w:rFonts w:eastAsia="Arial" w:cs="Arial"/>
                <w:b/>
                <w:color w:val="FFFFFF" w:themeColor="background1"/>
                <w:sz w:val="18"/>
                <w:szCs w:val="18"/>
              </w:rPr>
            </w:pPr>
            <w:r>
              <w:rPr>
                <w:b/>
                <w:color w:val="FFFFFF" w:themeColor="background1"/>
                <w:sz w:val="18"/>
              </w:rPr>
              <w:t>Lidhja me dimension</w:t>
            </w:r>
            <w:r w:rsidR="0037748E">
              <w:rPr>
                <w:b/>
                <w:color w:val="FFFFFF" w:themeColor="background1"/>
                <w:sz w:val="18"/>
              </w:rPr>
              <w:t>et e tjera</w:t>
            </w:r>
          </w:p>
        </w:tc>
        <w:tc>
          <w:tcPr>
            <w:tcW w:w="6958" w:type="dxa"/>
            <w:shd w:val="clear" w:color="auto" w:fill="B0E3FC"/>
          </w:tcPr>
          <w:p w14:paraId="284A1A5B" w14:textId="77777777" w:rsidR="005C57AD" w:rsidRPr="004A64EF" w:rsidRDefault="005C57AD" w:rsidP="00E2732B">
            <w:pPr>
              <w:spacing w:before="1" w:after="0"/>
              <w:ind w:left="30" w:right="-20"/>
              <w:jc w:val="left"/>
              <w:rPr>
                <w:color w:val="0E0D29"/>
                <w:sz w:val="18"/>
                <w:szCs w:val="18"/>
              </w:rPr>
            </w:pPr>
          </w:p>
          <w:p w14:paraId="3DE1D93E" w14:textId="77777777" w:rsidR="005C57AD" w:rsidRPr="00976D33" w:rsidRDefault="005C57AD" w:rsidP="00E2732B">
            <w:pPr>
              <w:spacing w:before="1" w:after="0"/>
              <w:ind w:left="30" w:right="-20"/>
              <w:jc w:val="left"/>
              <w:rPr>
                <w:color w:val="0E0D29"/>
                <w:sz w:val="18"/>
                <w:szCs w:val="18"/>
              </w:rPr>
            </w:pPr>
            <w:r>
              <w:rPr>
                <w:color w:val="0E0D29"/>
                <w:sz w:val="18"/>
              </w:rPr>
              <w:t>Tregu i brendshëm energjetik</w:t>
            </w:r>
          </w:p>
        </w:tc>
      </w:tr>
    </w:tbl>
    <w:p w14:paraId="77B5630E" w14:textId="77777777" w:rsidR="005C57AD" w:rsidRPr="00976D33" w:rsidRDefault="005C57AD" w:rsidP="005C57AD"/>
    <w:p w14:paraId="04A60B7F" w14:textId="77777777" w:rsidR="005C57AD" w:rsidRPr="00976D33" w:rsidRDefault="005C57AD" w:rsidP="005C57AD">
      <w:pPr>
        <w:pStyle w:val="Heading3"/>
      </w:pPr>
      <w:bookmarkStart w:id="312" w:name="_Toc182302299"/>
      <w:r>
        <w:t>Bashkëpunimi rajonal në këtë fushë</w:t>
      </w:r>
      <w:bookmarkEnd w:id="312"/>
      <w:r>
        <w:t xml:space="preserve"> </w:t>
      </w:r>
    </w:p>
    <w:p w14:paraId="4510A6CD" w14:textId="77777777" w:rsidR="005C57AD" w:rsidRPr="00976D33" w:rsidRDefault="005C57AD" w:rsidP="005C57AD">
      <w:r>
        <w:t xml:space="preserve">Për të garantuar siguri afatgjatë të furnizimit, qeveria e Kosovës parasheh rritjen e bashkëpunimit rajonal në këtë fushë. Veçanërisht, qeveria është e angazhuar për të rritur planifikimin e përbashkët të sistemit energjetik me Republikën e Shqipërisë. Më konkretisht, zhvillimet në rajon dhe globalisht do të ndiqen nga afër dhe do të hulumtohet (bashkë)investimi në termocentrale me gaz për ngarkesën bazë dhe/ose fleksibilitetin e sistemit në Shqipëri, Maqedoni të Veriut dhe Greqi me qëllim të implementimit deri në vitin 2031. </w:t>
      </w:r>
    </w:p>
    <w:p w14:paraId="2A55BA1C" w14:textId="30AD955E" w:rsidR="005C57AD" w:rsidRPr="00976D33" w:rsidRDefault="005C57AD" w:rsidP="005C57AD">
      <w:r>
        <w:t xml:space="preserve">Me një termocentral me gaz natyror jashtë Kosovës, ku energjia do të blihet sipas një marrëveshjeje të blerjes afatgjatë, dhe me masa plotësuese të planifikuara për efiçiencë të energjisë, Kosova planifikon të reduktojë importet neto, duke kontribuar kështu në sigurinë e furnizimit me energji. </w:t>
      </w:r>
    </w:p>
    <w:p w14:paraId="35D19971" w14:textId="3EB8B6E7" w:rsidR="005C57AD" w:rsidRPr="00976D33" w:rsidRDefault="002D4126" w:rsidP="005C57AD">
      <w:pPr>
        <w:pStyle w:val="Heading3"/>
      </w:pPr>
      <w:bookmarkStart w:id="313" w:name="_Toc182302300"/>
      <w:r>
        <w:t>Masat financuese në këtë fushë</w:t>
      </w:r>
      <w:bookmarkEnd w:id="313"/>
    </w:p>
    <w:p w14:paraId="3E018D4A" w14:textId="4BF928AF" w:rsidR="005C57AD" w:rsidRPr="00976D33" w:rsidRDefault="005C57AD" w:rsidP="0037748E">
      <w:r>
        <w:t>Buxheti dhe burimi i financimit për secilën nga politikat dhe masat e propozuara, aty ku ka, përfshihen në tabela.</w:t>
      </w:r>
      <w:r>
        <w:br w:type="page"/>
      </w:r>
    </w:p>
    <w:p w14:paraId="5C9632A3" w14:textId="7BA2EFD6" w:rsidR="005C57AD" w:rsidRPr="00976D33" w:rsidRDefault="00E509D0" w:rsidP="006E6E51">
      <w:pPr>
        <w:pStyle w:val="Heading2"/>
        <w:numPr>
          <w:ilvl w:val="0"/>
          <w:numId w:val="0"/>
        </w:numPr>
        <w:ind w:left="360"/>
      </w:pPr>
      <w:bookmarkStart w:id="314" w:name="_Toc182302301"/>
      <w:r>
        <w:lastRenderedPageBreak/>
        <w:t>3.4. Dimensioni i tregut të brendshëm energjetik</w:t>
      </w:r>
      <w:bookmarkEnd w:id="314"/>
      <w:r>
        <w:t xml:space="preserve"> </w:t>
      </w:r>
    </w:p>
    <w:p w14:paraId="0921807E" w14:textId="77777777" w:rsidR="005C57AD" w:rsidRPr="00976D33" w:rsidRDefault="005C57AD" w:rsidP="00AF7BBF">
      <w:pPr>
        <w:pStyle w:val="Heading3"/>
        <w:numPr>
          <w:ilvl w:val="0"/>
          <w:numId w:val="15"/>
        </w:numPr>
      </w:pPr>
      <w:bookmarkStart w:id="315" w:name="_Toc182302302"/>
      <w:r>
        <w:t>Infrastruktura e energjisë elektrike</w:t>
      </w:r>
      <w:bookmarkEnd w:id="315"/>
      <w:r>
        <w:t xml:space="preserve"> </w:t>
      </w:r>
    </w:p>
    <w:p w14:paraId="654B1D1D" w14:textId="77777777" w:rsidR="005C57AD" w:rsidRPr="00976D33" w:rsidRDefault="005C57AD" w:rsidP="00AF7BBF">
      <w:pPr>
        <w:pStyle w:val="Heading4"/>
        <w:numPr>
          <w:ilvl w:val="0"/>
          <w:numId w:val="14"/>
        </w:numPr>
      </w:pPr>
      <w:r>
        <w:t xml:space="preserve"> Politikat dhe masat për të arritur nivelin e synuar të ndërlidhjes siç përcaktohet në pikën (d) të nenit 4</w:t>
      </w:r>
    </w:p>
    <w:p w14:paraId="0DA8DC59" w14:textId="77777777" w:rsidR="005C57AD" w:rsidRPr="00976D33" w:rsidRDefault="005C57AD" w:rsidP="005C57AD">
      <w:r>
        <w:t>Siç përshkruhet më lart, niveli i ndërlidhjes së energjisë elektrike në Kosovë është disa herë më i lartë se caku prej 15%, duke nënkuptuar se nuk ka nevojë specifike për politika apo masa shtesë për të rritur nivelin e ndërlidhjes.</w:t>
      </w:r>
    </w:p>
    <w:p w14:paraId="2219EAA5" w14:textId="77777777" w:rsidR="005C57AD" w:rsidRPr="00976D33" w:rsidRDefault="005C57AD" w:rsidP="00AF7BBF">
      <w:pPr>
        <w:pStyle w:val="Heading4"/>
        <w:numPr>
          <w:ilvl w:val="0"/>
          <w:numId w:val="14"/>
        </w:numPr>
      </w:pPr>
      <w:r>
        <w:t xml:space="preserve"> Bashkëpunimi rajonal në këtë fushë </w:t>
      </w:r>
    </w:p>
    <w:p w14:paraId="574B8B24" w14:textId="37EB7179" w:rsidR="005C57AD" w:rsidRPr="00976D33" w:rsidRDefault="005C57AD" w:rsidP="005C57AD">
      <w:r>
        <w:t>Edhe pse niveli i ndërlidhjes është mbi cakun e BE-së, KOSTT do të vazhdojë bashkëpunimin rajonal me operatorët e tjerë të sistemit të transmisionit përmes ENTSO-E (Rrjeti Evropian i Operatorëve të Sistemit të Transmisionit), me fokus të veçantë në zbatimin e marrëveshjeve të nevojshme për bashkim të mëtejshëm të mundshëm të tregut pas lansimit të suksesshëm të ALPEX-it në tregun e ditës në avancë dhe tregun brenda të njëjtës ditë.</w:t>
      </w:r>
    </w:p>
    <w:p w14:paraId="0825BDB2" w14:textId="77777777" w:rsidR="005C57AD" w:rsidRPr="00976D33" w:rsidRDefault="005C57AD" w:rsidP="005C57AD">
      <w:pPr>
        <w:pStyle w:val="Heading4"/>
      </w:pPr>
      <w:r>
        <w:t>Kur është e aplikueshme, masat financuese në këtë fushë në nivel kombëtar</w:t>
      </w:r>
    </w:p>
    <w:p w14:paraId="2AEB126F" w14:textId="77777777" w:rsidR="005C57AD" w:rsidRPr="00976D33" w:rsidRDefault="005C57AD" w:rsidP="005C57AD">
      <w:r>
        <w:t>Nuk aplikohet.</w:t>
      </w:r>
    </w:p>
    <w:p w14:paraId="172EEBB7" w14:textId="4FA88939" w:rsidR="005C57AD" w:rsidRPr="00976D33" w:rsidRDefault="005C57AD" w:rsidP="00AF7BBF">
      <w:pPr>
        <w:pStyle w:val="Heading3"/>
        <w:numPr>
          <w:ilvl w:val="0"/>
          <w:numId w:val="15"/>
        </w:numPr>
      </w:pPr>
      <w:bookmarkStart w:id="316" w:name="_Toc182302303"/>
      <w:r>
        <w:t>Infrastruktura e transmisionit të energjisë</w:t>
      </w:r>
      <w:bookmarkEnd w:id="316"/>
      <w:r>
        <w:t xml:space="preserve"> </w:t>
      </w:r>
    </w:p>
    <w:p w14:paraId="7E159894" w14:textId="77777777" w:rsidR="005C57AD" w:rsidRPr="00976D33" w:rsidRDefault="005C57AD" w:rsidP="00AF7BBF">
      <w:pPr>
        <w:pStyle w:val="Heading4"/>
        <w:numPr>
          <w:ilvl w:val="0"/>
          <w:numId w:val="16"/>
        </w:numPr>
        <w:spacing w:line="240" w:lineRule="auto"/>
      </w:pPr>
      <w:r>
        <w:t xml:space="preserve"> Politikat dhe masat që ndërlidhen me elementët e përcaktuar në pikën 2.4.2, duke përfshirë, aty ku është e zbatueshme, masat specifike për të mundësuar ofrimin e Projekteve me Interes të Komunitetit të Energjisë (PECI) ose Projekteve me Interes të Ndërsjellë (PMI) dhe projekteve të tjera kyçe infrastrukturore</w:t>
      </w:r>
    </w:p>
    <w:tbl>
      <w:tblPr>
        <w:tblStyle w:val="GridTable5DarkAccent10"/>
        <w:tblpPr w:leftFromText="141" w:rightFromText="141" w:vertAnchor="text" w:horzAnchor="margin" w:tblpY="225"/>
        <w:tblW w:w="5000" w:type="pct"/>
        <w:tblLook w:val="04A0" w:firstRow="1" w:lastRow="0" w:firstColumn="1" w:lastColumn="0" w:noHBand="0" w:noVBand="1"/>
      </w:tblPr>
      <w:tblGrid>
        <w:gridCol w:w="2607"/>
        <w:gridCol w:w="6957"/>
      </w:tblGrid>
      <w:tr w:rsidR="005C57AD" w:rsidRPr="004A64EF" w14:paraId="074C92D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1D8B6273" w14:textId="5138BF9D" w:rsidR="005C57AD" w:rsidRPr="004A64EF" w:rsidRDefault="005C57AD">
            <w:pPr>
              <w:spacing w:before="20" w:after="20" w:line="240" w:lineRule="auto"/>
              <w:contextualSpacing/>
              <w:rPr>
                <w:color w:val="FFFFFF" w:themeColor="background1"/>
                <w:sz w:val="18"/>
              </w:rPr>
            </w:pPr>
            <w:bookmarkStart w:id="317" w:name="_Ref164907735"/>
            <w:bookmarkStart w:id="318" w:name="_Toc138210190"/>
            <w:bookmarkStart w:id="319" w:name="_Toc138998491"/>
            <w:r>
              <w:rPr>
                <w:color w:val="FFFFFF" w:themeColor="background1"/>
                <w:sz w:val="18"/>
              </w:rPr>
              <w:t>PM</w:t>
            </w:r>
            <w:bookmarkEnd w:id="317"/>
            <w:r>
              <w:rPr>
                <w:color w:val="FFFFFF" w:themeColor="background1"/>
                <w:sz w:val="18"/>
              </w:rPr>
              <w:t xml:space="preserve"> 55: Përmirësimi i disponueshmërisë komerciale të kapaciteteve transmetuese ndërkufitare</w:t>
            </w:r>
            <w:bookmarkEnd w:id="318"/>
            <w:bookmarkEnd w:id="319"/>
            <w:r>
              <w:rPr>
                <w:color w:val="FFFFFF" w:themeColor="background1"/>
                <w:sz w:val="18"/>
              </w:rPr>
              <w:t xml:space="preserve"> </w:t>
            </w:r>
          </w:p>
        </w:tc>
      </w:tr>
      <w:tr w:rsidR="005C57AD" w:rsidRPr="004A64EF" w14:paraId="121533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1FAA43BC" w14:textId="77777777" w:rsidR="005C57AD" w:rsidRPr="004A64EF" w:rsidRDefault="005C57AD">
            <w:pPr>
              <w:spacing w:before="20" w:after="20" w:line="240" w:lineRule="auto"/>
              <w:contextualSpacing/>
              <w:rPr>
                <w:b w:val="0"/>
                <w:bCs w:val="0"/>
                <w:color w:val="FFFFFF" w:themeColor="background1"/>
                <w:sz w:val="18"/>
              </w:rPr>
            </w:pPr>
            <w:r>
              <w:rPr>
                <w:color w:val="FFFFFF" w:themeColor="background1"/>
                <w:sz w:val="18"/>
              </w:rPr>
              <w:t xml:space="preserve">Objektivi: </w:t>
            </w:r>
            <w:r>
              <w:rPr>
                <w:b w:val="0"/>
                <w:color w:val="FFFFFF" w:themeColor="background1"/>
                <w:sz w:val="18"/>
              </w:rPr>
              <w:t xml:space="preserve">Përmirësimi i kapaciteteve neto të transferit është i rëndësishëm në drejtim të forcimit të bashkëpunimit rajonal dhe integrimit të tregut, i cili nga ana tjetër kontribuon në rritjen e sigurisë energjetike. </w:t>
            </w:r>
          </w:p>
          <w:p w14:paraId="61F53FEA" w14:textId="77777777" w:rsidR="005C57AD" w:rsidRPr="004A64EF" w:rsidRDefault="005C57AD">
            <w:pPr>
              <w:spacing w:before="20" w:after="20" w:line="240" w:lineRule="auto"/>
              <w:contextualSpacing/>
              <w:rPr>
                <w:b w:val="0"/>
                <w:bCs w:val="0"/>
                <w:color w:val="FFFFFF" w:themeColor="background1"/>
                <w:sz w:val="18"/>
              </w:rPr>
            </w:pPr>
          </w:p>
          <w:p w14:paraId="18A1CBD4" w14:textId="732AD018" w:rsidR="005C57AD" w:rsidRPr="004A64EF" w:rsidRDefault="005C57AD">
            <w:pPr>
              <w:spacing w:before="20" w:after="20" w:line="240" w:lineRule="auto"/>
              <w:contextualSpacing/>
              <w:rPr>
                <w:b w:val="0"/>
                <w:color w:val="FFFFFF" w:themeColor="background1"/>
                <w:sz w:val="18"/>
                <w:szCs w:val="18"/>
              </w:rPr>
            </w:pPr>
            <w:r>
              <w:rPr>
                <w:color w:val="FFFFFF" w:themeColor="background1"/>
                <w:sz w:val="18"/>
              </w:rPr>
              <w:t xml:space="preserve">Përshkrimi: </w:t>
            </w:r>
            <w:r>
              <w:rPr>
                <w:b w:val="0"/>
                <w:color w:val="FFFFFF" w:themeColor="background1"/>
                <w:sz w:val="18"/>
              </w:rPr>
              <w:t xml:space="preserve">Përmirësimi i përcaktimit dhe kapaciteteve transmetuese ndërkufitare. Në mënyrë ideale, prezantimi i bashkimit të tregut të bazuar në rrjedhën (përcaktimin e përbashkët të kapaciteteve të transmisionit me pastrimin e tregut të energjisë elektrike). Caku 2025: Minimumi prej 28-30% e kapacitetit nominal në çdo drejtim, caku 2031: për të mundësuar një kapacitet minimal prej 70% si marzhë e vendosur në procesin e llogaritjes së kapacitetit për flukset e shkaktuara nga shkëmbimi ndërzonal, në përputhje me Rregulloren përkatëse të Energjisë Elektrike (BE ) 2019/943 </w:t>
            </w:r>
            <w:r>
              <w:tab/>
            </w:r>
          </w:p>
        </w:tc>
      </w:tr>
      <w:tr w:rsidR="005C57AD" w:rsidRPr="004A64EF" w14:paraId="22E8F4E6" w14:textId="77777777">
        <w:tc>
          <w:tcPr>
            <w:cnfStyle w:val="001000000000" w:firstRow="0" w:lastRow="0" w:firstColumn="1" w:lastColumn="0" w:oddVBand="0" w:evenVBand="0" w:oddHBand="0" w:evenHBand="0" w:firstRowFirstColumn="0" w:firstRowLastColumn="0" w:lastRowFirstColumn="0" w:lastRowLastColumn="0"/>
            <w:tcW w:w="1363" w:type="pct"/>
            <w:hideMark/>
          </w:tcPr>
          <w:p w14:paraId="52523634" w14:textId="77777777" w:rsidR="005C57AD" w:rsidRPr="004A64EF" w:rsidRDefault="005C57AD">
            <w:pPr>
              <w:spacing w:before="20" w:after="20" w:line="240" w:lineRule="auto"/>
              <w:contextualSpacing/>
              <w:jc w:val="left"/>
              <w:rPr>
                <w:color w:val="FFFFFF" w:themeColor="background1"/>
                <w:sz w:val="18"/>
                <w:szCs w:val="18"/>
              </w:rPr>
            </w:pPr>
            <w:r>
              <w:rPr>
                <w:color w:val="FFFFFF" w:themeColor="background1"/>
                <w:sz w:val="18"/>
              </w:rPr>
              <w:t>Sektori/lloji</w:t>
            </w:r>
          </w:p>
        </w:tc>
        <w:tc>
          <w:tcPr>
            <w:tcW w:w="3637" w:type="pct"/>
            <w:hideMark/>
          </w:tcPr>
          <w:p w14:paraId="36F6535D" w14:textId="77777777" w:rsidR="005C57AD" w:rsidRPr="004A64EF"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Energjetik/teknik</w:t>
            </w:r>
          </w:p>
        </w:tc>
      </w:tr>
      <w:tr w:rsidR="005C57AD" w:rsidRPr="004A64EF" w14:paraId="1094CA4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pct"/>
            <w:hideMark/>
          </w:tcPr>
          <w:p w14:paraId="5E07D46C" w14:textId="77777777" w:rsidR="005C57AD" w:rsidRPr="004A64EF" w:rsidRDefault="005C57AD">
            <w:pPr>
              <w:spacing w:before="20" w:after="20" w:line="240" w:lineRule="auto"/>
              <w:contextualSpacing/>
              <w:jc w:val="left"/>
              <w:rPr>
                <w:color w:val="FFFFFF" w:themeColor="background1"/>
                <w:sz w:val="18"/>
              </w:rPr>
            </w:pPr>
            <w:r>
              <w:rPr>
                <w:color w:val="FFFFFF" w:themeColor="background1"/>
                <w:sz w:val="18"/>
              </w:rPr>
              <w:t>Statusi i implementimit</w:t>
            </w:r>
          </w:p>
        </w:tc>
        <w:tc>
          <w:tcPr>
            <w:tcW w:w="3637" w:type="pct"/>
            <w:hideMark/>
          </w:tcPr>
          <w:p w14:paraId="6D6D2E44" w14:textId="4C7E17D6" w:rsidR="005C57AD" w:rsidRPr="004A64EF" w:rsidRDefault="005C57AD">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Në implementim; KOSTT-i është i përkushtuar që sa më shpejt të jetë e mundur të arrijë cakun prej 70% për disponueshmëri komerciale të kapaciteteve ndërkufitare të transmisionit. Megjithatë, përmbushja e cakut varet nga arritja e një marrëveshjeje në kontestin në lidhje me alokimin e kapacitetit ndërkufitar të transmisionit për linjat interkonektive SRB-KOS (procedura e zgjidhjes së kontestit është hapur nga Sekretariati i Komunitetit të Energjisë në vitin 2022, rasti numër ECS-2/21 ), si dhe një qasje rajonale për rritjen e disponueshmërisë së kapaciteteve ndërkufitare të transmisionit. KOSTT-i është i përkushtuar të punojë me OST-të fqinje për arritjen e një marrëveshjeje rajonale për një metodologji të bazuar në rrjedhën për alokimin e kapaciteteve ndërkufitare të transmisionit, e cila mund të rrisë disponueshmërinë komerciale kundrejt metodologjisë aktuale të kapacitetit të transferimit neto.</w:t>
            </w:r>
          </w:p>
        </w:tc>
      </w:tr>
      <w:tr w:rsidR="005C57AD" w:rsidRPr="004A64EF" w14:paraId="3119BA91" w14:textId="77777777">
        <w:tc>
          <w:tcPr>
            <w:cnfStyle w:val="001000000000" w:firstRow="0" w:lastRow="0" w:firstColumn="1" w:lastColumn="0" w:oddVBand="0" w:evenVBand="0" w:oddHBand="0" w:evenHBand="0" w:firstRowFirstColumn="0" w:firstRowLastColumn="0" w:lastRowFirstColumn="0" w:lastRowLastColumn="0"/>
            <w:tcW w:w="1363" w:type="pct"/>
            <w:hideMark/>
          </w:tcPr>
          <w:p w14:paraId="3721156E" w14:textId="77777777" w:rsidR="005C57AD" w:rsidRPr="004A64EF" w:rsidRDefault="005C57AD">
            <w:pPr>
              <w:spacing w:before="20" w:after="20" w:line="240" w:lineRule="auto"/>
              <w:contextualSpacing/>
              <w:jc w:val="left"/>
              <w:rPr>
                <w:color w:val="FFFFFF" w:themeColor="background1"/>
                <w:sz w:val="18"/>
              </w:rPr>
            </w:pPr>
            <w:r>
              <w:rPr>
                <w:color w:val="FFFFFF" w:themeColor="background1"/>
                <w:sz w:val="18"/>
              </w:rPr>
              <w:t>Efektet kuantitative</w:t>
            </w:r>
          </w:p>
        </w:tc>
        <w:tc>
          <w:tcPr>
            <w:tcW w:w="3637" w:type="pct"/>
            <w:hideMark/>
          </w:tcPr>
          <w:p w14:paraId="0B3FFEAC" w14:textId="5EB30A87" w:rsidR="005C57AD" w:rsidRPr="004A64EF"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Disponueshmëria komerciale e 28-30% të kapacitetit termik të linjës së transmisionit në secilin drejtim (2024), 70% e kapacitetit nominal në secilin drejtim (2031) (Burimi: Strategjia Kombëtare e Energjisë)</w:t>
            </w:r>
          </w:p>
        </w:tc>
      </w:tr>
      <w:tr w:rsidR="005C57AD" w:rsidRPr="004A64EF" w14:paraId="3BF19CC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pct"/>
            <w:hideMark/>
          </w:tcPr>
          <w:p w14:paraId="43171B5A" w14:textId="77777777" w:rsidR="005C57AD" w:rsidRPr="004A64EF" w:rsidRDefault="005C57AD">
            <w:pPr>
              <w:spacing w:before="20" w:after="20" w:line="240" w:lineRule="auto"/>
              <w:contextualSpacing/>
              <w:jc w:val="left"/>
              <w:rPr>
                <w:color w:val="FFFFFF" w:themeColor="background1"/>
                <w:sz w:val="18"/>
              </w:rPr>
            </w:pPr>
            <w:r>
              <w:rPr>
                <w:color w:val="FFFFFF" w:themeColor="background1"/>
                <w:sz w:val="18"/>
              </w:rPr>
              <w:t>Investimet</w:t>
            </w:r>
          </w:p>
        </w:tc>
        <w:tc>
          <w:tcPr>
            <w:tcW w:w="3637" w:type="pct"/>
            <w:hideMark/>
          </w:tcPr>
          <w:p w14:paraId="68811AE4" w14:textId="77777777" w:rsidR="005C57AD" w:rsidRPr="004A64EF" w:rsidRDefault="005C57AD" w:rsidP="00AF7BBF">
            <w:pPr>
              <w:numPr>
                <w:ilvl w:val="0"/>
                <w:numId w:val="31"/>
              </w:numPr>
              <w:spacing w:before="20" w:after="20" w:line="240" w:lineRule="auto"/>
              <w:contextualSpacing/>
              <w:jc w:val="left"/>
              <w:cnfStyle w:val="000000100000" w:firstRow="0" w:lastRow="0" w:firstColumn="0" w:lastColumn="0" w:oddVBand="0" w:evenVBand="0" w:oddHBand="1" w:evenHBand="0" w:firstRowFirstColumn="0" w:firstRowLastColumn="0" w:lastRowFirstColumn="0" w:lastRowLastColumn="0"/>
              <w:rPr>
                <w:sz w:val="18"/>
              </w:rPr>
            </w:pPr>
            <w:r>
              <w:rPr>
                <w:sz w:val="18"/>
              </w:rPr>
              <w:t>NA</w:t>
            </w:r>
            <w:r>
              <w:rPr>
                <w:sz w:val="18"/>
              </w:rPr>
              <w:tab/>
            </w:r>
          </w:p>
        </w:tc>
      </w:tr>
      <w:tr w:rsidR="005C57AD" w:rsidRPr="004A64EF" w14:paraId="08469C27" w14:textId="77777777">
        <w:tc>
          <w:tcPr>
            <w:cnfStyle w:val="001000000000" w:firstRow="0" w:lastRow="0" w:firstColumn="1" w:lastColumn="0" w:oddVBand="0" w:evenVBand="0" w:oddHBand="0" w:evenHBand="0" w:firstRowFirstColumn="0" w:firstRowLastColumn="0" w:lastRowFirstColumn="0" w:lastRowLastColumn="0"/>
            <w:tcW w:w="1363" w:type="pct"/>
            <w:hideMark/>
          </w:tcPr>
          <w:p w14:paraId="3F196DF7" w14:textId="77777777" w:rsidR="005C57AD" w:rsidRPr="004A64EF" w:rsidRDefault="005C57AD">
            <w:pPr>
              <w:spacing w:before="20" w:after="20" w:line="240" w:lineRule="auto"/>
              <w:contextualSpacing/>
              <w:jc w:val="left"/>
              <w:rPr>
                <w:color w:val="FFFFFF" w:themeColor="background1"/>
                <w:sz w:val="18"/>
              </w:rPr>
            </w:pPr>
            <w:r>
              <w:rPr>
                <w:color w:val="FFFFFF" w:themeColor="background1"/>
                <w:sz w:val="18"/>
              </w:rPr>
              <w:t>Institucioni përgjegjës</w:t>
            </w:r>
          </w:p>
        </w:tc>
        <w:tc>
          <w:tcPr>
            <w:tcW w:w="3637" w:type="pct"/>
            <w:hideMark/>
          </w:tcPr>
          <w:p w14:paraId="4D9C827C" w14:textId="2D6F63DF" w:rsidR="005C57AD" w:rsidRPr="004A64EF"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 xml:space="preserve"> KOSTT dhe OST-të fqinje, ZRRE</w:t>
            </w:r>
          </w:p>
        </w:tc>
      </w:tr>
      <w:tr w:rsidR="005C57AD" w:rsidRPr="004A64EF" w14:paraId="59EB9D9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pct"/>
            <w:hideMark/>
          </w:tcPr>
          <w:p w14:paraId="17E13420" w14:textId="77777777" w:rsidR="005C57AD" w:rsidRPr="004A64EF" w:rsidRDefault="005C57AD">
            <w:pPr>
              <w:spacing w:before="20" w:after="20" w:line="240" w:lineRule="auto"/>
              <w:contextualSpacing/>
              <w:jc w:val="left"/>
              <w:rPr>
                <w:color w:val="FFFFFF" w:themeColor="background1"/>
                <w:sz w:val="18"/>
              </w:rPr>
            </w:pPr>
            <w:r>
              <w:rPr>
                <w:color w:val="FFFFFF" w:themeColor="background1"/>
                <w:sz w:val="18"/>
              </w:rPr>
              <w:t>Treguesit e progresit</w:t>
            </w:r>
          </w:p>
        </w:tc>
        <w:tc>
          <w:tcPr>
            <w:tcW w:w="3637" w:type="pct"/>
            <w:hideMark/>
          </w:tcPr>
          <w:p w14:paraId="35996CB1" w14:textId="77777777" w:rsidR="005C57AD" w:rsidRPr="004A64EF" w:rsidRDefault="005C57AD">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Përcaktimi i kapacitetin maksimal të transferimit neto (NTC) dhe ofrimi i NTC-së dhe/ose prezantimin rajonal in një mekanizmi lidhës tregu të bazuar në rrjedhën</w:t>
            </w:r>
          </w:p>
        </w:tc>
      </w:tr>
      <w:tr w:rsidR="005C57AD" w:rsidRPr="00976D33" w14:paraId="4A195C28" w14:textId="77777777">
        <w:tc>
          <w:tcPr>
            <w:cnfStyle w:val="001000000000" w:firstRow="0" w:lastRow="0" w:firstColumn="1" w:lastColumn="0" w:oddVBand="0" w:evenVBand="0" w:oddHBand="0" w:evenHBand="0" w:firstRowFirstColumn="0" w:firstRowLastColumn="0" w:lastRowFirstColumn="0" w:lastRowLastColumn="0"/>
            <w:tcW w:w="1363" w:type="pct"/>
          </w:tcPr>
          <w:p w14:paraId="3F08804B" w14:textId="4756A827" w:rsidR="005C57AD" w:rsidRPr="004A64EF" w:rsidRDefault="005C57AD">
            <w:pPr>
              <w:spacing w:before="20" w:after="20" w:line="240" w:lineRule="auto"/>
              <w:contextualSpacing/>
              <w:jc w:val="left"/>
              <w:rPr>
                <w:color w:val="FFFFFF" w:themeColor="background1"/>
                <w:sz w:val="18"/>
              </w:rPr>
            </w:pPr>
            <w:r>
              <w:rPr>
                <w:color w:val="FFFFFF" w:themeColor="background1"/>
                <w:sz w:val="18"/>
              </w:rPr>
              <w:t>Lidhja me dimension</w:t>
            </w:r>
            <w:r w:rsidR="0037748E">
              <w:rPr>
                <w:color w:val="FFFFFF" w:themeColor="background1"/>
                <w:sz w:val="18"/>
              </w:rPr>
              <w:t>et e tjera</w:t>
            </w:r>
          </w:p>
        </w:tc>
        <w:tc>
          <w:tcPr>
            <w:tcW w:w="3637" w:type="pct"/>
          </w:tcPr>
          <w:p w14:paraId="442E9510" w14:textId="77777777" w:rsidR="005C57AD" w:rsidRPr="00976D33"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Siguria energjetike, dekarbonizimi</w:t>
            </w:r>
          </w:p>
        </w:tc>
      </w:tr>
    </w:tbl>
    <w:tbl>
      <w:tblPr>
        <w:tblStyle w:val="GridTable5DarkAccent10"/>
        <w:tblW w:w="5000" w:type="pct"/>
        <w:tblLook w:val="04A0" w:firstRow="1" w:lastRow="0" w:firstColumn="1" w:lastColumn="0" w:noHBand="0" w:noVBand="1"/>
      </w:tblPr>
      <w:tblGrid>
        <w:gridCol w:w="2596"/>
        <w:gridCol w:w="6968"/>
      </w:tblGrid>
      <w:tr w:rsidR="005C57AD" w:rsidRPr="004A64EF" w14:paraId="53F0CAB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4734E98E" w14:textId="09CE9332" w:rsidR="005C57AD" w:rsidRPr="004A64EF" w:rsidRDefault="005C57AD">
            <w:pPr>
              <w:spacing w:before="20" w:after="20" w:line="240" w:lineRule="auto"/>
              <w:contextualSpacing/>
              <w:rPr>
                <w:color w:val="auto"/>
                <w:sz w:val="18"/>
              </w:rPr>
            </w:pPr>
            <w:bookmarkStart w:id="320" w:name="_Toc138210191"/>
            <w:bookmarkStart w:id="321" w:name="_Toc138998492"/>
            <w:r>
              <w:rPr>
                <w:color w:val="FFFFFF" w:themeColor="background1"/>
                <w:sz w:val="18"/>
              </w:rPr>
              <w:t>PM 56: Udhërrëfyesi për konkurrencën e tregut me pakicë</w:t>
            </w:r>
            <w:bookmarkEnd w:id="320"/>
            <w:bookmarkEnd w:id="321"/>
          </w:p>
        </w:tc>
      </w:tr>
      <w:tr w:rsidR="005C57AD" w:rsidRPr="004A64EF" w14:paraId="3DAC1C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579CEDE6" w14:textId="77777777" w:rsidR="005C57AD" w:rsidRPr="004A64EF" w:rsidRDefault="005C57AD">
            <w:pPr>
              <w:spacing w:before="20" w:after="20" w:line="240" w:lineRule="auto"/>
              <w:contextualSpacing/>
              <w:rPr>
                <w:b w:val="0"/>
                <w:bCs w:val="0"/>
                <w:color w:val="FFFFFF" w:themeColor="background1"/>
                <w:sz w:val="18"/>
              </w:rPr>
            </w:pPr>
            <w:r>
              <w:rPr>
                <w:color w:val="FFFFFF" w:themeColor="background1"/>
                <w:sz w:val="18"/>
              </w:rPr>
              <w:lastRenderedPageBreak/>
              <w:t>Objektivi:</w:t>
            </w:r>
            <w:r>
              <w:rPr>
                <w:b w:val="0"/>
                <w:color w:val="FFFFFF" w:themeColor="background1"/>
                <w:sz w:val="18"/>
              </w:rPr>
              <w:t xml:space="preserve"> Rritja e konkurrencës në tregjet e shitjes me pakicë të energjisë për të përmirësuar funksionimin e tregut duke krijuar një model tregu konkurrues dhe efikas, i cili është në përputhje me parimet thelbësore të tregut të lirë.</w:t>
            </w:r>
          </w:p>
          <w:p w14:paraId="3A5F6539" w14:textId="77777777" w:rsidR="005C57AD" w:rsidRPr="004A64EF" w:rsidRDefault="005C57AD">
            <w:pPr>
              <w:spacing w:before="20" w:after="20" w:line="240" w:lineRule="auto"/>
              <w:contextualSpacing/>
              <w:rPr>
                <w:b w:val="0"/>
                <w:bCs w:val="0"/>
                <w:color w:val="FFFFFF" w:themeColor="background1"/>
                <w:sz w:val="18"/>
              </w:rPr>
            </w:pPr>
          </w:p>
          <w:p w14:paraId="78BB1F49" w14:textId="38D97D1A" w:rsidR="005C57AD" w:rsidRPr="004A64EF" w:rsidRDefault="005C57AD">
            <w:pPr>
              <w:spacing w:before="20" w:after="20" w:line="240" w:lineRule="auto"/>
              <w:contextualSpacing/>
              <w:rPr>
                <w:b w:val="0"/>
                <w:color w:val="FFFFFF" w:themeColor="background1"/>
                <w:sz w:val="18"/>
              </w:rPr>
            </w:pPr>
            <w:r>
              <w:rPr>
                <w:b w:val="0"/>
                <w:color w:val="FFFFFF" w:themeColor="background1"/>
                <w:sz w:val="18"/>
              </w:rPr>
              <w:t xml:space="preserve">Përgatitja e udhërrëfyesi për konkurrencën e tregut me pakicë. </w:t>
            </w:r>
            <w:r>
              <w:rPr>
                <w:b w:val="0"/>
                <w:color w:val="FFFFFF"/>
                <w:sz w:val="18"/>
              </w:rPr>
              <w:t>Në këtë mënyrë, analizoni ndikimet e rritjes së konkurrencës në tregun me pakicë tek konsumatorët, me fokus të veçantë në çështjet gjinore.</w:t>
            </w:r>
            <w:r>
              <w:rPr>
                <w:color w:val="FFFFFF"/>
                <w:sz w:val="18"/>
              </w:rPr>
              <w:t> </w:t>
            </w:r>
          </w:p>
        </w:tc>
      </w:tr>
      <w:tr w:rsidR="005C57AD" w:rsidRPr="004A64EF" w14:paraId="6BE997F6" w14:textId="77777777">
        <w:tc>
          <w:tcPr>
            <w:cnfStyle w:val="001000000000" w:firstRow="0" w:lastRow="0" w:firstColumn="1" w:lastColumn="0" w:oddVBand="0" w:evenVBand="0" w:oddHBand="0" w:evenHBand="0" w:firstRowFirstColumn="0" w:firstRowLastColumn="0" w:lastRowFirstColumn="0" w:lastRowLastColumn="0"/>
            <w:tcW w:w="1357" w:type="pct"/>
            <w:hideMark/>
          </w:tcPr>
          <w:p w14:paraId="0ED69996" w14:textId="77777777" w:rsidR="005C57AD" w:rsidRPr="004A64EF" w:rsidRDefault="005C57AD">
            <w:pPr>
              <w:spacing w:before="20" w:after="20" w:line="240" w:lineRule="auto"/>
              <w:contextualSpacing/>
              <w:jc w:val="left"/>
              <w:rPr>
                <w:color w:val="FFFFFF" w:themeColor="background1"/>
                <w:sz w:val="18"/>
                <w:szCs w:val="18"/>
              </w:rPr>
            </w:pPr>
            <w:r>
              <w:rPr>
                <w:color w:val="FFFFFF" w:themeColor="background1"/>
                <w:sz w:val="18"/>
              </w:rPr>
              <w:t>Sektori/lloji</w:t>
            </w:r>
          </w:p>
        </w:tc>
        <w:tc>
          <w:tcPr>
            <w:tcW w:w="3643" w:type="pct"/>
            <w:hideMark/>
          </w:tcPr>
          <w:p w14:paraId="59CEC1B1" w14:textId="77777777" w:rsidR="005C57AD" w:rsidRPr="004A64EF"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Rregullator</w:t>
            </w:r>
          </w:p>
        </w:tc>
      </w:tr>
      <w:tr w:rsidR="005C57AD" w:rsidRPr="004A64EF" w14:paraId="4CE4F5F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pct"/>
            <w:hideMark/>
          </w:tcPr>
          <w:p w14:paraId="7B77B173" w14:textId="77777777" w:rsidR="005C57AD" w:rsidRPr="004A64EF" w:rsidRDefault="005C57AD">
            <w:pPr>
              <w:spacing w:before="20" w:after="20" w:line="240" w:lineRule="auto"/>
              <w:contextualSpacing/>
              <w:jc w:val="left"/>
              <w:rPr>
                <w:color w:val="FFFFFF" w:themeColor="background1"/>
                <w:sz w:val="18"/>
              </w:rPr>
            </w:pPr>
            <w:r>
              <w:rPr>
                <w:color w:val="FFFFFF" w:themeColor="background1"/>
                <w:sz w:val="18"/>
              </w:rPr>
              <w:t>Statusi i implementimit</w:t>
            </w:r>
          </w:p>
        </w:tc>
        <w:tc>
          <w:tcPr>
            <w:tcW w:w="3643" w:type="pct"/>
            <w:hideMark/>
          </w:tcPr>
          <w:p w14:paraId="39DF76FF" w14:textId="77777777" w:rsidR="005C57AD" w:rsidRPr="004A64EF" w:rsidRDefault="005C57AD">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Planifikuar</w:t>
            </w:r>
          </w:p>
        </w:tc>
      </w:tr>
      <w:tr w:rsidR="005C57AD" w:rsidRPr="004A64EF" w14:paraId="41528843" w14:textId="77777777">
        <w:tc>
          <w:tcPr>
            <w:cnfStyle w:val="001000000000" w:firstRow="0" w:lastRow="0" w:firstColumn="1" w:lastColumn="0" w:oddVBand="0" w:evenVBand="0" w:oddHBand="0" w:evenHBand="0" w:firstRowFirstColumn="0" w:firstRowLastColumn="0" w:lastRowFirstColumn="0" w:lastRowLastColumn="0"/>
            <w:tcW w:w="1357" w:type="pct"/>
            <w:hideMark/>
          </w:tcPr>
          <w:p w14:paraId="06BD0310" w14:textId="77777777" w:rsidR="005C57AD" w:rsidRPr="004A64EF" w:rsidRDefault="005C57AD">
            <w:pPr>
              <w:spacing w:before="20" w:after="20" w:line="240" w:lineRule="auto"/>
              <w:contextualSpacing/>
              <w:jc w:val="left"/>
              <w:rPr>
                <w:color w:val="FFFFFF" w:themeColor="background1"/>
                <w:sz w:val="18"/>
              </w:rPr>
            </w:pPr>
            <w:r>
              <w:rPr>
                <w:color w:val="FFFFFF" w:themeColor="background1"/>
                <w:sz w:val="18"/>
              </w:rPr>
              <w:t>Efektet kuantitative</w:t>
            </w:r>
          </w:p>
        </w:tc>
        <w:tc>
          <w:tcPr>
            <w:tcW w:w="3643" w:type="pct"/>
            <w:hideMark/>
          </w:tcPr>
          <w:p w14:paraId="1C2B39BB" w14:textId="77777777" w:rsidR="005C57AD" w:rsidRPr="004A64EF"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w:t>
            </w:r>
          </w:p>
        </w:tc>
      </w:tr>
      <w:tr w:rsidR="005C57AD" w:rsidRPr="004A64EF" w14:paraId="616E819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pct"/>
            <w:hideMark/>
          </w:tcPr>
          <w:p w14:paraId="16423734" w14:textId="77777777" w:rsidR="005C57AD" w:rsidRPr="004A64EF" w:rsidRDefault="005C57AD">
            <w:pPr>
              <w:spacing w:before="20" w:after="20" w:line="240" w:lineRule="auto"/>
              <w:contextualSpacing/>
              <w:jc w:val="left"/>
              <w:rPr>
                <w:color w:val="FFFFFF" w:themeColor="background1"/>
                <w:sz w:val="18"/>
              </w:rPr>
            </w:pPr>
            <w:r>
              <w:rPr>
                <w:color w:val="FFFFFF" w:themeColor="background1"/>
                <w:sz w:val="18"/>
              </w:rPr>
              <w:t>Investimet</w:t>
            </w:r>
          </w:p>
        </w:tc>
        <w:tc>
          <w:tcPr>
            <w:tcW w:w="3643" w:type="pct"/>
            <w:hideMark/>
          </w:tcPr>
          <w:p w14:paraId="5805BE77" w14:textId="3B66473B" w:rsidR="00E749B9" w:rsidRPr="004A64EF" w:rsidRDefault="00E749B9" w:rsidP="00E749B9">
            <w:pPr>
              <w:pStyle w:val="pf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olor w:val="050004"/>
                <w:sz w:val="18"/>
              </w:rPr>
              <w:t>0.1 mil. euro në vit në 2025 dhe 2026 për të përfunduar procesin e transpozimit (Burimi: Vlerësimi i ekspertëve)</w:t>
            </w:r>
          </w:p>
          <w:p w14:paraId="054C7699" w14:textId="6F68CF11" w:rsidR="005C57AD" w:rsidRPr="004A64EF" w:rsidRDefault="005C57AD">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p>
        </w:tc>
      </w:tr>
      <w:tr w:rsidR="005C57AD" w:rsidRPr="004A64EF" w14:paraId="6E1915C9" w14:textId="77777777">
        <w:tc>
          <w:tcPr>
            <w:cnfStyle w:val="001000000000" w:firstRow="0" w:lastRow="0" w:firstColumn="1" w:lastColumn="0" w:oddVBand="0" w:evenVBand="0" w:oddHBand="0" w:evenHBand="0" w:firstRowFirstColumn="0" w:firstRowLastColumn="0" w:lastRowFirstColumn="0" w:lastRowLastColumn="0"/>
            <w:tcW w:w="1357" w:type="pct"/>
            <w:hideMark/>
          </w:tcPr>
          <w:p w14:paraId="676EEFB9" w14:textId="77777777" w:rsidR="005C57AD" w:rsidRPr="004A64EF" w:rsidRDefault="005C57AD">
            <w:pPr>
              <w:spacing w:before="20" w:after="20" w:line="240" w:lineRule="auto"/>
              <w:contextualSpacing/>
              <w:jc w:val="left"/>
              <w:rPr>
                <w:color w:val="FFFFFF" w:themeColor="background1"/>
                <w:sz w:val="18"/>
              </w:rPr>
            </w:pPr>
            <w:r>
              <w:rPr>
                <w:color w:val="FFFFFF" w:themeColor="background1"/>
                <w:sz w:val="18"/>
              </w:rPr>
              <w:t>Institucioni përgjegjës</w:t>
            </w:r>
          </w:p>
        </w:tc>
        <w:tc>
          <w:tcPr>
            <w:tcW w:w="3643" w:type="pct"/>
            <w:hideMark/>
          </w:tcPr>
          <w:p w14:paraId="25EF72F0" w14:textId="77777777" w:rsidR="005C57AD" w:rsidRPr="004A64EF"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ZRRE, ME, KOSTT</w:t>
            </w:r>
          </w:p>
        </w:tc>
      </w:tr>
      <w:tr w:rsidR="005C57AD" w:rsidRPr="004A64EF" w14:paraId="466905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pct"/>
            <w:hideMark/>
          </w:tcPr>
          <w:p w14:paraId="5365AD7D" w14:textId="77777777" w:rsidR="005C57AD" w:rsidRPr="004A64EF" w:rsidRDefault="005C57AD">
            <w:pPr>
              <w:spacing w:before="20" w:after="20" w:line="240" w:lineRule="auto"/>
              <w:contextualSpacing/>
              <w:jc w:val="left"/>
              <w:rPr>
                <w:color w:val="FFFFFF" w:themeColor="background1"/>
                <w:sz w:val="18"/>
              </w:rPr>
            </w:pPr>
            <w:r>
              <w:rPr>
                <w:color w:val="FFFFFF" w:themeColor="background1"/>
                <w:sz w:val="18"/>
              </w:rPr>
              <w:t>Treguesit e progresit</w:t>
            </w:r>
          </w:p>
        </w:tc>
        <w:tc>
          <w:tcPr>
            <w:tcW w:w="3643" w:type="pct"/>
            <w:hideMark/>
          </w:tcPr>
          <w:p w14:paraId="7EBD7CC8" w14:textId="731EBA0E" w:rsidR="005C57AD" w:rsidRPr="004A64EF" w:rsidRDefault="005C57AD">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rStyle w:val="normaltextrun"/>
                <w:color w:val="auto"/>
                <w:sz w:val="18"/>
              </w:rPr>
              <w:t>Transpozimi i Direktivës së BE-së 2019/944 në legjislacionin kombëtar është në proces dhe Projektligji për Energjinë Elektrike është dorëzuar; në përputhje me rrethanat do të hartohet legjislacioni sekondar që buron nga legjislacioni primar dhe do të trajtohet konkurrenca në tregun me pakicë.</w:t>
            </w:r>
          </w:p>
        </w:tc>
      </w:tr>
      <w:tr w:rsidR="005C57AD" w:rsidRPr="00976D33" w14:paraId="3E3A4689" w14:textId="77777777">
        <w:tc>
          <w:tcPr>
            <w:cnfStyle w:val="001000000000" w:firstRow="0" w:lastRow="0" w:firstColumn="1" w:lastColumn="0" w:oddVBand="0" w:evenVBand="0" w:oddHBand="0" w:evenHBand="0" w:firstRowFirstColumn="0" w:firstRowLastColumn="0" w:lastRowFirstColumn="0" w:lastRowLastColumn="0"/>
            <w:tcW w:w="1357" w:type="pct"/>
          </w:tcPr>
          <w:p w14:paraId="46119BEA" w14:textId="0B363D56" w:rsidR="005C57AD" w:rsidRPr="004A64EF" w:rsidRDefault="005C57AD">
            <w:pPr>
              <w:spacing w:before="20" w:after="20" w:line="240" w:lineRule="auto"/>
              <w:contextualSpacing/>
              <w:jc w:val="left"/>
              <w:rPr>
                <w:color w:val="FFFFFF" w:themeColor="background1"/>
                <w:sz w:val="18"/>
              </w:rPr>
            </w:pPr>
            <w:r>
              <w:rPr>
                <w:color w:val="FFFFFF" w:themeColor="background1"/>
                <w:sz w:val="18"/>
              </w:rPr>
              <w:t>Lidhja me dimension</w:t>
            </w:r>
            <w:r w:rsidR="0037748E">
              <w:rPr>
                <w:color w:val="FFFFFF" w:themeColor="background1"/>
                <w:sz w:val="18"/>
              </w:rPr>
              <w:t>et e tjera</w:t>
            </w:r>
          </w:p>
        </w:tc>
        <w:tc>
          <w:tcPr>
            <w:tcW w:w="3643" w:type="pct"/>
          </w:tcPr>
          <w:p w14:paraId="2C972A30" w14:textId="77777777" w:rsidR="005C57AD" w:rsidRPr="00976D33"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Siguria energjetike</w:t>
            </w:r>
          </w:p>
        </w:tc>
      </w:tr>
    </w:tbl>
    <w:p w14:paraId="5CB0BA1A" w14:textId="552BA9B9" w:rsidR="005C57AD" w:rsidRPr="00976D33" w:rsidRDefault="005C57AD" w:rsidP="00FE486A">
      <w:pPr>
        <w:spacing w:before="120" w:after="0"/>
        <w:rPr>
          <w:rFonts w:asciiTheme="minorHAnsi" w:hAnsiTheme="minorHAnsi" w:cstheme="minorHAnsi"/>
          <w:color w:val="024F75" w:themeColor="accent1"/>
          <w:lang w:eastAsia="en-GB"/>
        </w:rPr>
      </w:pPr>
    </w:p>
    <w:tbl>
      <w:tblPr>
        <w:tblStyle w:val="GridTable5DarkAccent10"/>
        <w:tblW w:w="5000" w:type="pct"/>
        <w:tblLook w:val="04A0" w:firstRow="1" w:lastRow="0" w:firstColumn="1" w:lastColumn="0" w:noHBand="0" w:noVBand="1"/>
      </w:tblPr>
      <w:tblGrid>
        <w:gridCol w:w="2596"/>
        <w:gridCol w:w="6968"/>
      </w:tblGrid>
      <w:tr w:rsidR="005C57AD" w:rsidRPr="00976D33" w14:paraId="766103B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02E06A77" w14:textId="552BA9B9" w:rsidR="005C57AD" w:rsidRPr="00976D33" w:rsidRDefault="005C57AD">
            <w:pPr>
              <w:spacing w:before="20" w:after="20" w:line="240" w:lineRule="auto"/>
              <w:contextualSpacing/>
              <w:rPr>
                <w:color w:val="FFFFFF" w:themeColor="background1"/>
                <w:sz w:val="18"/>
              </w:rPr>
            </w:pPr>
            <w:bookmarkStart w:id="322" w:name="_Toc138210192"/>
            <w:bookmarkStart w:id="323" w:name="_Toc138998493"/>
            <w:r>
              <w:rPr>
                <w:color w:val="FFFFFF" w:themeColor="background1"/>
                <w:sz w:val="18"/>
              </w:rPr>
              <w:t>PM 57: Adresimi i koncentrimit të tregut</w:t>
            </w:r>
            <w:bookmarkEnd w:id="322"/>
            <w:bookmarkEnd w:id="323"/>
          </w:p>
        </w:tc>
      </w:tr>
      <w:tr w:rsidR="005C57AD" w:rsidRPr="00976D33" w14:paraId="4FFFB59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02D93F76" w14:textId="77777777" w:rsidR="005C57AD" w:rsidRPr="00976D33" w:rsidRDefault="005C57AD">
            <w:pPr>
              <w:spacing w:before="20" w:after="20" w:line="240" w:lineRule="auto"/>
              <w:contextualSpacing/>
              <w:rPr>
                <w:color w:val="FFFFFF" w:themeColor="background1"/>
                <w:sz w:val="18"/>
              </w:rPr>
            </w:pPr>
            <w:r>
              <w:rPr>
                <w:color w:val="FFFFFF" w:themeColor="background1"/>
                <w:sz w:val="18"/>
              </w:rPr>
              <w:t xml:space="preserve">Objektivi: </w:t>
            </w:r>
            <w:r>
              <w:rPr>
                <w:b w:val="0"/>
                <w:color w:val="FFFFFF" w:themeColor="background1"/>
                <w:sz w:val="18"/>
              </w:rPr>
              <w:t>Adresoni nivelin aktualisht shumë të lartë të koncentrimit të tregut si në nivelet e shitjes me shumicë ashtu edhe me pakicë që mbizotëron në Kosovë</w:t>
            </w:r>
            <w:r>
              <w:rPr>
                <w:color w:val="FFFFFF" w:themeColor="background1"/>
                <w:sz w:val="18"/>
              </w:rPr>
              <w:t xml:space="preserve">. </w:t>
            </w:r>
          </w:p>
          <w:p w14:paraId="63643528" w14:textId="77777777" w:rsidR="005C57AD" w:rsidRPr="00976D33" w:rsidRDefault="005C57AD">
            <w:pPr>
              <w:spacing w:before="20" w:after="20" w:line="240" w:lineRule="auto"/>
              <w:contextualSpacing/>
              <w:rPr>
                <w:b w:val="0"/>
                <w:bCs w:val="0"/>
                <w:color w:val="FFFFFF" w:themeColor="background1"/>
                <w:sz w:val="18"/>
              </w:rPr>
            </w:pPr>
          </w:p>
          <w:p w14:paraId="16582E95" w14:textId="77777777" w:rsidR="005C57AD" w:rsidRPr="00976D33" w:rsidRDefault="005C57AD">
            <w:pPr>
              <w:spacing w:before="20" w:after="20" w:line="240" w:lineRule="auto"/>
              <w:contextualSpacing/>
              <w:rPr>
                <w:color w:val="FFFFFF" w:themeColor="background1"/>
                <w:sz w:val="18"/>
              </w:rPr>
            </w:pPr>
            <w:r>
              <w:rPr>
                <w:color w:val="FFFFFF" w:themeColor="background1"/>
                <w:sz w:val="18"/>
              </w:rPr>
              <w:t xml:space="preserve">Përshkrimi: </w:t>
            </w:r>
            <w:r>
              <w:rPr>
                <w:b w:val="0"/>
                <w:color w:val="FFFFFF" w:themeColor="background1"/>
                <w:sz w:val="18"/>
              </w:rPr>
              <w:t>Analizimi i strukturës aktuale të tregut dhe barrierat ekzistuese ligjore dhe rregullative për hyrjen e pjesëmarrësve të rinj në treg dhe miratimi i masave më adekuate deri në vitin 2024.</w:t>
            </w:r>
            <w:r>
              <w:rPr>
                <w:color w:val="FFFFFF" w:themeColor="background1"/>
                <w:sz w:val="18"/>
              </w:rPr>
              <w:t xml:space="preserve"> </w:t>
            </w:r>
          </w:p>
        </w:tc>
      </w:tr>
      <w:tr w:rsidR="005C57AD" w:rsidRPr="00976D33" w14:paraId="5C2881EE" w14:textId="77777777">
        <w:tc>
          <w:tcPr>
            <w:cnfStyle w:val="001000000000" w:firstRow="0" w:lastRow="0" w:firstColumn="1" w:lastColumn="0" w:oddVBand="0" w:evenVBand="0" w:oddHBand="0" w:evenHBand="0" w:firstRowFirstColumn="0" w:firstRowLastColumn="0" w:lastRowFirstColumn="0" w:lastRowLastColumn="0"/>
            <w:tcW w:w="1357" w:type="pct"/>
            <w:hideMark/>
          </w:tcPr>
          <w:p w14:paraId="1FE622D2" w14:textId="77777777" w:rsidR="005C57AD" w:rsidRPr="00976D33" w:rsidRDefault="005C57AD">
            <w:pPr>
              <w:spacing w:before="20" w:after="20" w:line="240" w:lineRule="auto"/>
              <w:contextualSpacing/>
              <w:jc w:val="left"/>
              <w:rPr>
                <w:color w:val="FFFFFF" w:themeColor="background1"/>
                <w:sz w:val="18"/>
                <w:szCs w:val="18"/>
              </w:rPr>
            </w:pPr>
            <w:r>
              <w:rPr>
                <w:color w:val="FFFFFF" w:themeColor="background1"/>
                <w:sz w:val="18"/>
              </w:rPr>
              <w:t>Sektori/lloji</w:t>
            </w:r>
          </w:p>
        </w:tc>
        <w:tc>
          <w:tcPr>
            <w:tcW w:w="3643" w:type="pct"/>
            <w:hideMark/>
          </w:tcPr>
          <w:p w14:paraId="5AD29845" w14:textId="77777777" w:rsidR="005C57AD" w:rsidRPr="00976D33"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Hulumtues,</w:t>
            </w:r>
            <w:r>
              <w:t xml:space="preserve"> </w:t>
            </w:r>
            <w:r>
              <w:rPr>
                <w:sz w:val="18"/>
              </w:rPr>
              <w:t>Rregullator</w:t>
            </w:r>
          </w:p>
        </w:tc>
      </w:tr>
      <w:tr w:rsidR="005C57AD" w:rsidRPr="00976D33" w14:paraId="59B52BDB" w14:textId="77777777" w:rsidTr="006E6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190D72C3" w14:textId="77777777" w:rsidR="005C57AD" w:rsidRPr="00976D33" w:rsidRDefault="005C57AD">
            <w:pPr>
              <w:spacing w:before="20" w:after="20" w:line="240" w:lineRule="auto"/>
              <w:contextualSpacing/>
              <w:jc w:val="left"/>
              <w:rPr>
                <w:color w:val="FFFFFF" w:themeColor="background1"/>
                <w:sz w:val="18"/>
              </w:rPr>
            </w:pPr>
            <w:r>
              <w:rPr>
                <w:color w:val="FFFFFF" w:themeColor="background1"/>
                <w:sz w:val="18"/>
              </w:rPr>
              <w:t>Statusi i implementimit</w:t>
            </w:r>
          </w:p>
        </w:tc>
        <w:tc>
          <w:tcPr>
            <w:tcW w:w="0" w:type="pct"/>
            <w:hideMark/>
          </w:tcPr>
          <w:p w14:paraId="33F85A83" w14:textId="68302D2A" w:rsidR="005C57AD" w:rsidRPr="00976D33" w:rsidRDefault="005C57AD">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color w:val="auto"/>
                <w:sz w:val="18"/>
                <w:szCs w:val="18"/>
              </w:rPr>
            </w:pPr>
            <w:r>
              <w:rPr>
                <w:sz w:val="18"/>
              </w:rPr>
              <w:t>Në zbatim; çdo dy vjet, ZRRE, në bashkëpunim me Autoritetin e Konkurrencës dhe Zyrën për Ndihmë Shtetërore, kryen hulumtime lidhur me konkurrencën dhe funksionimin e tregut të energjisë elektrike. Përgatitet një raport i vlerësimit të konkurrencës, ku trajtohen barrierat e mundshme që ndikojnë në konkurrencën në tregun e energjisë elektrike. ZRRE mund të përcaktojë masat e nevojshme dhe proporcionale të detyrimeve të shërbimit publik, me qëllim të promovimit të konkurrencës efektive.</w:t>
            </w:r>
            <w:r>
              <w:rPr>
                <w:color w:val="auto"/>
                <w:sz w:val="18"/>
              </w:rPr>
              <w:t xml:space="preserve"> </w:t>
            </w:r>
          </w:p>
        </w:tc>
      </w:tr>
      <w:tr w:rsidR="005C57AD" w:rsidRPr="00976D33" w14:paraId="769C7A7D" w14:textId="77777777">
        <w:tc>
          <w:tcPr>
            <w:cnfStyle w:val="001000000000" w:firstRow="0" w:lastRow="0" w:firstColumn="1" w:lastColumn="0" w:oddVBand="0" w:evenVBand="0" w:oddHBand="0" w:evenHBand="0" w:firstRowFirstColumn="0" w:firstRowLastColumn="0" w:lastRowFirstColumn="0" w:lastRowLastColumn="0"/>
            <w:tcW w:w="1357" w:type="pct"/>
            <w:hideMark/>
          </w:tcPr>
          <w:p w14:paraId="1660495A" w14:textId="77777777" w:rsidR="005C57AD" w:rsidRPr="00976D33" w:rsidRDefault="005C57AD">
            <w:pPr>
              <w:spacing w:before="20" w:after="20" w:line="240" w:lineRule="auto"/>
              <w:contextualSpacing/>
              <w:jc w:val="left"/>
              <w:rPr>
                <w:color w:val="FFFFFF" w:themeColor="background1"/>
                <w:sz w:val="18"/>
              </w:rPr>
            </w:pPr>
            <w:r>
              <w:rPr>
                <w:color w:val="FFFFFF" w:themeColor="background1"/>
                <w:sz w:val="18"/>
              </w:rPr>
              <w:t>Efektet kuantitative</w:t>
            </w:r>
          </w:p>
        </w:tc>
        <w:tc>
          <w:tcPr>
            <w:tcW w:w="3643" w:type="pct"/>
            <w:hideMark/>
          </w:tcPr>
          <w:p w14:paraId="06EABE8A" w14:textId="77777777" w:rsidR="005C57AD" w:rsidRPr="00976D33"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w:t>
            </w:r>
          </w:p>
        </w:tc>
      </w:tr>
      <w:tr w:rsidR="005C57AD" w:rsidRPr="00976D33" w14:paraId="4CE5D4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pct"/>
            <w:hideMark/>
          </w:tcPr>
          <w:p w14:paraId="6C13FCC0" w14:textId="77777777" w:rsidR="005C57AD" w:rsidRPr="00976D33" w:rsidRDefault="005C57AD">
            <w:pPr>
              <w:spacing w:before="20" w:after="20" w:line="240" w:lineRule="auto"/>
              <w:contextualSpacing/>
              <w:jc w:val="left"/>
              <w:rPr>
                <w:color w:val="FFFFFF" w:themeColor="background1"/>
                <w:sz w:val="18"/>
              </w:rPr>
            </w:pPr>
            <w:r>
              <w:rPr>
                <w:color w:val="FFFFFF" w:themeColor="background1"/>
                <w:sz w:val="18"/>
              </w:rPr>
              <w:t>Investimet</w:t>
            </w:r>
          </w:p>
        </w:tc>
        <w:tc>
          <w:tcPr>
            <w:tcW w:w="3643" w:type="pct"/>
            <w:hideMark/>
          </w:tcPr>
          <w:p w14:paraId="55D44EF4" w14:textId="1B4198EC" w:rsidR="005C57AD" w:rsidRPr="00976D33" w:rsidRDefault="005C57AD">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NA</w:t>
            </w:r>
          </w:p>
        </w:tc>
      </w:tr>
      <w:tr w:rsidR="005C57AD" w:rsidRPr="00976D33" w14:paraId="324F0C58" w14:textId="77777777">
        <w:tc>
          <w:tcPr>
            <w:cnfStyle w:val="001000000000" w:firstRow="0" w:lastRow="0" w:firstColumn="1" w:lastColumn="0" w:oddVBand="0" w:evenVBand="0" w:oddHBand="0" w:evenHBand="0" w:firstRowFirstColumn="0" w:firstRowLastColumn="0" w:lastRowFirstColumn="0" w:lastRowLastColumn="0"/>
            <w:tcW w:w="1357" w:type="pct"/>
            <w:hideMark/>
          </w:tcPr>
          <w:p w14:paraId="28185DB3" w14:textId="77777777" w:rsidR="005C57AD" w:rsidRPr="00976D33" w:rsidRDefault="005C57AD">
            <w:pPr>
              <w:spacing w:before="20" w:after="20" w:line="240" w:lineRule="auto"/>
              <w:contextualSpacing/>
              <w:jc w:val="left"/>
              <w:rPr>
                <w:color w:val="FFFFFF" w:themeColor="background1"/>
                <w:sz w:val="18"/>
              </w:rPr>
            </w:pPr>
            <w:r>
              <w:rPr>
                <w:color w:val="FFFFFF" w:themeColor="background1"/>
                <w:sz w:val="18"/>
              </w:rPr>
              <w:t>Institucioni përgjegjës</w:t>
            </w:r>
          </w:p>
        </w:tc>
        <w:tc>
          <w:tcPr>
            <w:tcW w:w="3643" w:type="pct"/>
            <w:hideMark/>
          </w:tcPr>
          <w:p w14:paraId="49CF5725" w14:textId="77777777" w:rsidR="005C57AD" w:rsidRPr="00976D33"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ZRRE, Autoriteti i Konkurrencës, Zyra për Ndihmë Shtetërore, ME</w:t>
            </w:r>
          </w:p>
        </w:tc>
      </w:tr>
      <w:tr w:rsidR="005C57AD" w:rsidRPr="00976D33" w14:paraId="3846EDA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pct"/>
            <w:hideMark/>
          </w:tcPr>
          <w:p w14:paraId="1D996702" w14:textId="77777777" w:rsidR="005C57AD" w:rsidRPr="00976D33" w:rsidRDefault="005C57AD">
            <w:pPr>
              <w:spacing w:before="20" w:after="20" w:line="240" w:lineRule="auto"/>
              <w:contextualSpacing/>
              <w:jc w:val="left"/>
              <w:rPr>
                <w:color w:val="FFFFFF" w:themeColor="background1"/>
                <w:sz w:val="18"/>
              </w:rPr>
            </w:pPr>
            <w:r>
              <w:rPr>
                <w:color w:val="FFFFFF" w:themeColor="background1"/>
                <w:sz w:val="18"/>
              </w:rPr>
              <w:t>Treguesit e progresit</w:t>
            </w:r>
          </w:p>
        </w:tc>
        <w:tc>
          <w:tcPr>
            <w:tcW w:w="3643" w:type="pct"/>
            <w:hideMark/>
          </w:tcPr>
          <w:p w14:paraId="211185CE" w14:textId="77777777" w:rsidR="005C57AD" w:rsidRPr="00976D33" w:rsidRDefault="005C57AD">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Analiza e kryer dhe masat e zbatuara për të zbutur koncentrimin e tregut</w:t>
            </w:r>
          </w:p>
        </w:tc>
      </w:tr>
      <w:tr w:rsidR="005C57AD" w:rsidRPr="00976D33" w14:paraId="33396825" w14:textId="77777777">
        <w:tc>
          <w:tcPr>
            <w:cnfStyle w:val="001000000000" w:firstRow="0" w:lastRow="0" w:firstColumn="1" w:lastColumn="0" w:oddVBand="0" w:evenVBand="0" w:oddHBand="0" w:evenHBand="0" w:firstRowFirstColumn="0" w:firstRowLastColumn="0" w:lastRowFirstColumn="0" w:lastRowLastColumn="0"/>
            <w:tcW w:w="1357" w:type="pct"/>
          </w:tcPr>
          <w:p w14:paraId="1417F3E4" w14:textId="19CA195D" w:rsidR="005C57AD" w:rsidRPr="00976D33" w:rsidRDefault="005C57AD">
            <w:pPr>
              <w:spacing w:before="20" w:after="20" w:line="240" w:lineRule="auto"/>
              <w:contextualSpacing/>
              <w:jc w:val="left"/>
              <w:rPr>
                <w:color w:val="FFFFFF" w:themeColor="background1"/>
                <w:sz w:val="18"/>
              </w:rPr>
            </w:pPr>
            <w:r>
              <w:rPr>
                <w:color w:val="FFFFFF" w:themeColor="background1"/>
                <w:sz w:val="18"/>
              </w:rPr>
              <w:t>Lidhja me dimension</w:t>
            </w:r>
            <w:r w:rsidR="0037748E">
              <w:rPr>
                <w:color w:val="FFFFFF" w:themeColor="background1"/>
                <w:sz w:val="18"/>
              </w:rPr>
              <w:t>et e tjera</w:t>
            </w:r>
          </w:p>
        </w:tc>
        <w:tc>
          <w:tcPr>
            <w:tcW w:w="3643" w:type="pct"/>
          </w:tcPr>
          <w:p w14:paraId="75F42B98" w14:textId="77777777" w:rsidR="005C57AD" w:rsidRPr="00976D33"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Siguria energjetike</w:t>
            </w:r>
          </w:p>
        </w:tc>
      </w:tr>
    </w:tbl>
    <w:p w14:paraId="3C5D2C15" w14:textId="77777777" w:rsidR="005C57AD" w:rsidRPr="00976D33" w:rsidRDefault="005C57AD" w:rsidP="00FE486A">
      <w:pPr>
        <w:spacing w:before="0" w:after="0"/>
        <w:rPr>
          <w:rFonts w:asciiTheme="minorHAnsi" w:hAnsiTheme="minorHAnsi" w:cstheme="minorHAnsi"/>
          <w:color w:val="024F75" w:themeColor="accent1"/>
          <w:lang w:eastAsia="en-GB"/>
        </w:rPr>
      </w:pPr>
    </w:p>
    <w:p w14:paraId="5D70F6E5" w14:textId="77777777" w:rsidR="005C57AD" w:rsidRPr="00976D33" w:rsidRDefault="005C57AD" w:rsidP="00AF7BBF">
      <w:pPr>
        <w:pStyle w:val="Heading4"/>
        <w:numPr>
          <w:ilvl w:val="0"/>
          <w:numId w:val="16"/>
        </w:numPr>
      </w:pPr>
      <w:r>
        <w:t xml:space="preserve">Bashkëpunimi rajonal në këtë fushë </w:t>
      </w:r>
    </w:p>
    <w:p w14:paraId="51BCA427" w14:textId="77777777" w:rsidR="005C57AD" w:rsidRPr="00976D33" w:rsidRDefault="005C57AD" w:rsidP="005C57AD">
      <w:r>
        <w:t xml:space="preserve">Si anëtare e Komunitetit të Energjisë, Kosova është e përkushtuar të zbatojë të gjitha obligimet sipas Traktatit, të cilat janë thelbësore për integrimin në tregjet e brendshme energjetike të BE-së dhe për të arritur objektivat strategjike për krijimin e një tregu të lirë dhe konkurrues të energjisë. </w:t>
      </w:r>
    </w:p>
    <w:p w14:paraId="4CF25AC3" w14:textId="250982B0" w:rsidR="005C57AD" w:rsidRPr="00976D33" w:rsidRDefault="005C57AD" w:rsidP="005C57AD">
      <w:r>
        <w:t xml:space="preserve">Hapi aktual më domethënës në fushën e bashkëpunimit në tregun e energjisë elektrike ishte funksionimi i plotë i bursës së përbashkët të energjisë me Shqipërinë (ALPEX) në tregun e ditës në avancë. Pas funksionimit të ALPEX-it në Shqipëri, lansimi i plotë dhe funksionalizimi i tregut të ditës në avancë u bë i mundur edhe në Kosovë që nga fillimi i vitit 2024. Hapi tjetër i parashikuar është integrimi i tregut kosovar të energjisë elektrike me shumicë me SDAC (bashkimi i tregut të ditës në avancë) përmes kufirit Shqipëri-Kosovë ose kufirit të energjisë elektrike të Kosovës me Maqedoninë e Veriut. Në vlerësimin e opsioneve të ndryshme dhe pasojave të tyre në këtë drejtim, Kosova po merr parasysh kompromiset mes barrës së mundshme të prezantimit të çmimeve vendore ose rajonale të karbonit dhe përfitimeve të bashkimit të ardhshëm të tregut. </w:t>
      </w:r>
    </w:p>
    <w:p w14:paraId="0890C894" w14:textId="40A1195E" w:rsidR="005C57AD" w:rsidRPr="00976D33" w:rsidRDefault="005C57AD" w:rsidP="005C57AD">
      <w:r>
        <w:t xml:space="preserve">Sa i përket aktiviteteve të tjera të tregut rajonal, në vitin 2020, Kosova dhe Maqedonia e Veriut përmes operatorëve të tyre përkatës të transmisionit dhe sistemit nënshkruan një marrëveshje operative për organizimin e ankandeve për alokimin e kapaciteteve të interkoneksionit, duke krijuar kushte për tregti më efikase të energjisë elektrike ndërmjet pjesëmarrësve të tregut nga këto dy vende. SEE CAO do të zhvillojë ankande në emër të të dy operatorëve. Më tej, nga nëntori deri në dhjetor të vitit 2020, KOSTT-i ka nënshkruar </w:t>
      </w:r>
      <w:r>
        <w:lastRenderedPageBreak/>
        <w:t>memorandume të mirëkuptimit me të gjitha OST-të fqinje, përveç atij të Serbisë, duke përcaktuar NTC-të dhe alokimet e kapaciteteve. KOSTT-i gjithashtu ka nënshkruar marrëveshje operative që përcaktojnë rregullat për koordinimin ndërmjet KOSTT-it dhe OST-ve fqinje dhe është i gatshëm të nënshkruajë një MM, si dhe një marrëveshje operative me OST-në e Serbisë sa më shpejt që të jetë e mundur, për të zgjidhur mungesën e kapacitetit të transferuar të alokuar në përputhje me Opinionin e Arsyetuar të Sekretariatit të Komunitetit të Energjisë në rastin e procedurës së zgjidhjes së kontestit ECS-2/21.</w:t>
      </w:r>
    </w:p>
    <w:p w14:paraId="7AD2F1CD" w14:textId="7F56F65F" w:rsidR="005C57AD" w:rsidRPr="00976D33" w:rsidRDefault="005C57AD" w:rsidP="00FE486A">
      <w:pPr>
        <w:spacing w:after="0"/>
      </w:pPr>
      <w:r>
        <w:t xml:space="preserve">Cak afatgjatë është pjesëmarrja në bashkimet evropiane, bashkimi i tregut të ditës në avancë (SDAC) dhe bashkimi i tregut brenda të njëjtës ditë (SIDC), më së voni deri në vitin 2031, gjë që do të ndihmojë në sigurimin e përdorimit ekonomikisht optimal të kapacitetit të rrjetit ndërkufitar, dhe nëpërmjet kësaj të kontribuojë në funksionimin më efektiv të tregut. Kjo do të mundësojë gjithashtu çmime më të ulëta të energjisë për të siguruar përballueshmërinë, dhe gjithashtu do të sigurojë një fushë loje të barabartë dhe sinjale të sakta të tregut për investitorët, duke rritur kështu pjesëmarrjen e burimeve të ripërtëritshme të energjisë në sistem.   </w:t>
      </w:r>
    </w:p>
    <w:p w14:paraId="09934D8C" w14:textId="77777777" w:rsidR="005C57AD" w:rsidRPr="00976D33" w:rsidRDefault="005C57AD" w:rsidP="005C57AD">
      <w:pPr>
        <w:spacing w:before="120" w:after="0" w:line="240" w:lineRule="auto"/>
      </w:pPr>
      <w:r>
        <w:rPr>
          <w:color w:val="00B050"/>
        </w:rPr>
        <w:t xml:space="preserve">   </w:t>
      </w:r>
    </w:p>
    <w:p w14:paraId="7312A1F0" w14:textId="77777777" w:rsidR="005C57AD" w:rsidRPr="00976D33" w:rsidRDefault="005C57AD" w:rsidP="005C57AD">
      <w:pPr>
        <w:pStyle w:val="Heading4"/>
      </w:pPr>
      <w:r>
        <w:t xml:space="preserve">Kur është e aplikueshme, masat financuese në këtë fushë në nivel kombëtar </w:t>
      </w:r>
    </w:p>
    <w:p w14:paraId="7860A56B" w14:textId="39F697EA" w:rsidR="005C57AD" w:rsidRPr="00976D33" w:rsidRDefault="005C57AD" w:rsidP="006E6E51">
      <w:r>
        <w:t>Buxheti dhe burimi i financimit për secilën nga politikat dhe masat e propozuara, aty ku ka, përfshihen në tabela.</w:t>
      </w:r>
    </w:p>
    <w:p w14:paraId="2EB6E16C" w14:textId="77777777" w:rsidR="005C57AD" w:rsidRPr="00976D33" w:rsidRDefault="005C57AD" w:rsidP="005C57AD">
      <w:pPr>
        <w:pStyle w:val="Heading3"/>
      </w:pPr>
      <w:bookmarkStart w:id="324" w:name="_Toc182302304"/>
      <w:r>
        <w:t>Integrimi i tregut</w:t>
      </w:r>
      <w:bookmarkEnd w:id="324"/>
      <w:r>
        <w:t xml:space="preserve"> </w:t>
      </w:r>
    </w:p>
    <w:p w14:paraId="38F2C746" w14:textId="77777777" w:rsidR="005C57AD" w:rsidRPr="00976D33" w:rsidRDefault="005C57AD" w:rsidP="00AF7BBF">
      <w:pPr>
        <w:pStyle w:val="Heading4"/>
        <w:numPr>
          <w:ilvl w:val="0"/>
          <w:numId w:val="17"/>
        </w:numPr>
      </w:pPr>
      <w:r>
        <w:t xml:space="preserve">Politikat dhe masat që lidhen me elementët e përcaktuar në pikën 2.4.3 </w:t>
      </w:r>
    </w:p>
    <w:tbl>
      <w:tblPr>
        <w:tblStyle w:val="GridTable5DarkAccent100"/>
        <w:tblW w:w="5000" w:type="pct"/>
        <w:tblLook w:val="04A0" w:firstRow="1" w:lastRow="0" w:firstColumn="1" w:lastColumn="0" w:noHBand="0" w:noVBand="1"/>
      </w:tblPr>
      <w:tblGrid>
        <w:gridCol w:w="2596"/>
        <w:gridCol w:w="6968"/>
      </w:tblGrid>
      <w:tr w:rsidR="005C57AD" w:rsidRPr="004A64EF" w14:paraId="5441B70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54D39681" w14:textId="2F54A56C" w:rsidR="005C57AD" w:rsidRPr="004A64EF" w:rsidRDefault="005C57AD">
            <w:pPr>
              <w:spacing w:before="20" w:after="20" w:line="240" w:lineRule="auto"/>
              <w:contextualSpacing/>
              <w:rPr>
                <w:color w:val="FFFFFF" w:themeColor="background1"/>
                <w:sz w:val="18"/>
              </w:rPr>
            </w:pPr>
            <w:bookmarkStart w:id="325" w:name="_Toc138210193"/>
            <w:bookmarkStart w:id="326" w:name="_Toc138998494"/>
            <w:r>
              <w:rPr>
                <w:color w:val="FFFFFF" w:themeColor="background1"/>
                <w:sz w:val="18"/>
              </w:rPr>
              <w:t>PM 58: Bashkimi i tregut me Shqipërinë</w:t>
            </w:r>
            <w:bookmarkEnd w:id="325"/>
            <w:bookmarkEnd w:id="326"/>
          </w:p>
        </w:tc>
      </w:tr>
      <w:tr w:rsidR="005C57AD" w:rsidRPr="004A64EF" w14:paraId="39A5B27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4A271F1D" w14:textId="7C797794" w:rsidR="005C57AD" w:rsidRPr="00FE486A" w:rsidRDefault="005C57AD">
            <w:pPr>
              <w:spacing w:before="20" w:after="20" w:line="240" w:lineRule="auto"/>
              <w:contextualSpacing/>
              <w:rPr>
                <w:color w:val="FFFFFF" w:themeColor="background1"/>
                <w:sz w:val="18"/>
              </w:rPr>
            </w:pPr>
            <w:r>
              <w:rPr>
                <w:color w:val="FFFFFF" w:themeColor="background1"/>
                <w:sz w:val="18"/>
              </w:rPr>
              <w:t xml:space="preserve">Objektivi: </w:t>
            </w:r>
            <w:r>
              <w:rPr>
                <w:b w:val="0"/>
                <w:color w:val="FFFFFF" w:themeColor="background1"/>
                <w:sz w:val="18"/>
              </w:rPr>
              <w:t xml:space="preserve">Sigurimi i efektivitetit të kostos për zbatimin e caqeve të BER-ve dhe rritja e fleksibilitetit të sistemit përmes integrimit në tregun rajonal. </w:t>
            </w:r>
          </w:p>
          <w:p w14:paraId="59E1772C" w14:textId="3C8DE649" w:rsidR="005C57AD" w:rsidRPr="004A64EF" w:rsidRDefault="005C57AD" w:rsidP="00FF69EF">
            <w:pPr>
              <w:spacing w:before="20" w:after="20" w:line="240" w:lineRule="auto"/>
              <w:contextualSpacing/>
              <w:rPr>
                <w:color w:val="FFFFFF" w:themeColor="background1"/>
                <w:sz w:val="18"/>
                <w:szCs w:val="18"/>
              </w:rPr>
            </w:pPr>
            <w:r>
              <w:rPr>
                <w:color w:val="FFFFFF" w:themeColor="background1"/>
                <w:sz w:val="18"/>
              </w:rPr>
              <w:t xml:space="preserve">Përshkrimi: </w:t>
            </w:r>
            <w:r>
              <w:rPr>
                <w:b w:val="0"/>
                <w:color w:val="FFFFFF" w:themeColor="background1"/>
                <w:sz w:val="18"/>
              </w:rPr>
              <w:t xml:space="preserve">Tregu i ditës në avancë i bashkuar me Shqipërinë deri në vitin 2023 (dhe potencialisht brenda të njëjtës ditë, duke balancuar tregjet në vitet në vijim) si hapi i parë drejt bashkimit me zonën e tregut pan-evropian në vitin 2031. Duke promovuar konkurrencën ndërmjet furnizuesve të energjisë elektrike, kjo masë pritet të sjellë kosto më të ulëta për përdoruesit përfundimtarë dhe, rrjedhimisht, të ketë ndikime pozitive sociale, megjithëse një analizë më e detajuar do të nevojitej për të përcaktuar efektet sociale të kësaj mase. </w:t>
            </w:r>
          </w:p>
        </w:tc>
      </w:tr>
      <w:tr w:rsidR="005C57AD" w:rsidRPr="004A64EF" w14:paraId="32B2F2EE" w14:textId="77777777">
        <w:tc>
          <w:tcPr>
            <w:cnfStyle w:val="001000000000" w:firstRow="0" w:lastRow="0" w:firstColumn="1" w:lastColumn="0" w:oddVBand="0" w:evenVBand="0" w:oddHBand="0" w:evenHBand="0" w:firstRowFirstColumn="0" w:firstRowLastColumn="0" w:lastRowFirstColumn="0" w:lastRowLastColumn="0"/>
            <w:tcW w:w="1357" w:type="pct"/>
            <w:hideMark/>
          </w:tcPr>
          <w:p w14:paraId="24BB82A0" w14:textId="77777777" w:rsidR="005C57AD" w:rsidRPr="004A64EF" w:rsidRDefault="005C57AD">
            <w:pPr>
              <w:spacing w:before="20" w:after="20" w:line="240" w:lineRule="auto"/>
              <w:contextualSpacing/>
              <w:jc w:val="left"/>
              <w:rPr>
                <w:color w:val="FFFFFF" w:themeColor="background1"/>
                <w:sz w:val="18"/>
                <w:szCs w:val="18"/>
              </w:rPr>
            </w:pPr>
            <w:r>
              <w:rPr>
                <w:color w:val="FFFFFF" w:themeColor="background1"/>
                <w:sz w:val="18"/>
              </w:rPr>
              <w:t>Sektori/lloji</w:t>
            </w:r>
          </w:p>
        </w:tc>
        <w:tc>
          <w:tcPr>
            <w:tcW w:w="3643" w:type="pct"/>
            <w:hideMark/>
          </w:tcPr>
          <w:p w14:paraId="488F0B57" w14:textId="77777777" w:rsidR="005C57AD" w:rsidRPr="004A64EF"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Energjetik/teknik</w:t>
            </w:r>
          </w:p>
        </w:tc>
      </w:tr>
      <w:tr w:rsidR="005C57AD" w:rsidRPr="004A64EF" w14:paraId="661FA46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pct"/>
            <w:hideMark/>
          </w:tcPr>
          <w:p w14:paraId="161E64A3" w14:textId="77777777" w:rsidR="005C57AD" w:rsidRPr="004A64EF" w:rsidRDefault="005C57AD">
            <w:pPr>
              <w:spacing w:before="20" w:after="20" w:line="240" w:lineRule="auto"/>
              <w:contextualSpacing/>
              <w:jc w:val="left"/>
              <w:rPr>
                <w:color w:val="FFFFFF" w:themeColor="background1"/>
                <w:sz w:val="18"/>
              </w:rPr>
            </w:pPr>
            <w:r>
              <w:rPr>
                <w:color w:val="FFFFFF" w:themeColor="background1"/>
                <w:sz w:val="18"/>
              </w:rPr>
              <w:t>Statusi i implementimit</w:t>
            </w:r>
          </w:p>
        </w:tc>
        <w:tc>
          <w:tcPr>
            <w:tcW w:w="3643" w:type="pct"/>
            <w:hideMark/>
          </w:tcPr>
          <w:p w14:paraId="27078254" w14:textId="562AEC05" w:rsidR="005C57AD" w:rsidRPr="004A64EF" w:rsidRDefault="00932683">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 xml:space="preserve">I zbatuar pjesërisht. Lansimi i tregut të ditës në avancë të ALPEX-it në Kosovë më 1 shkurt 2024. Funksionalizimi i plotë i tregut brenda të njëjtës ditë në implementim.  </w:t>
            </w:r>
          </w:p>
        </w:tc>
      </w:tr>
      <w:tr w:rsidR="005C57AD" w:rsidRPr="004A64EF" w14:paraId="3A56E75C" w14:textId="77777777">
        <w:tc>
          <w:tcPr>
            <w:cnfStyle w:val="001000000000" w:firstRow="0" w:lastRow="0" w:firstColumn="1" w:lastColumn="0" w:oddVBand="0" w:evenVBand="0" w:oddHBand="0" w:evenHBand="0" w:firstRowFirstColumn="0" w:firstRowLastColumn="0" w:lastRowFirstColumn="0" w:lastRowLastColumn="0"/>
            <w:tcW w:w="1357" w:type="pct"/>
            <w:hideMark/>
          </w:tcPr>
          <w:p w14:paraId="66F420F2" w14:textId="77777777" w:rsidR="005C57AD" w:rsidRPr="004A64EF" w:rsidRDefault="005C57AD">
            <w:pPr>
              <w:spacing w:before="20" w:after="20" w:line="240" w:lineRule="auto"/>
              <w:contextualSpacing/>
              <w:jc w:val="left"/>
              <w:rPr>
                <w:color w:val="FFFFFF" w:themeColor="background1"/>
                <w:sz w:val="18"/>
              </w:rPr>
            </w:pPr>
            <w:r>
              <w:rPr>
                <w:color w:val="FFFFFF" w:themeColor="background1"/>
                <w:sz w:val="18"/>
              </w:rPr>
              <w:t>Efektet kuantitative</w:t>
            </w:r>
          </w:p>
        </w:tc>
        <w:tc>
          <w:tcPr>
            <w:tcW w:w="3643" w:type="pct"/>
            <w:hideMark/>
          </w:tcPr>
          <w:p w14:paraId="3EA0CFF6" w14:textId="77777777" w:rsidR="005C57AD" w:rsidRPr="004A64EF"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w:t>
            </w:r>
          </w:p>
        </w:tc>
      </w:tr>
      <w:tr w:rsidR="005C57AD" w:rsidRPr="004A64EF" w14:paraId="19A9C5A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pct"/>
            <w:hideMark/>
          </w:tcPr>
          <w:p w14:paraId="32F689D7" w14:textId="77777777" w:rsidR="005C57AD" w:rsidRPr="004A64EF" w:rsidRDefault="005C57AD">
            <w:pPr>
              <w:spacing w:before="20" w:after="20" w:line="240" w:lineRule="auto"/>
              <w:contextualSpacing/>
              <w:jc w:val="left"/>
              <w:rPr>
                <w:color w:val="FFFFFF" w:themeColor="background1"/>
                <w:sz w:val="18"/>
              </w:rPr>
            </w:pPr>
            <w:r>
              <w:rPr>
                <w:color w:val="FFFFFF" w:themeColor="background1"/>
                <w:sz w:val="18"/>
              </w:rPr>
              <w:t>Investimet</w:t>
            </w:r>
          </w:p>
        </w:tc>
        <w:tc>
          <w:tcPr>
            <w:tcW w:w="3643" w:type="pct"/>
            <w:hideMark/>
          </w:tcPr>
          <w:p w14:paraId="3712D9A5" w14:textId="77777777" w:rsidR="005C57AD" w:rsidRPr="004A64EF" w:rsidRDefault="005C57AD">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 xml:space="preserve">Buxheti për Strategjinë Kombëtare të Energjisë parashikon një total prej 2.56 mil. EUR </w:t>
            </w:r>
          </w:p>
          <w:p w14:paraId="69344EEE" w14:textId="2674A562" w:rsidR="005C57AD" w:rsidRPr="004A64EF" w:rsidRDefault="005C57AD">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për t’u shpenzuar si në bashkimin e tregut të ditës në avancë ashtu edhe tregut brenda të njëjtës ditë me Shqipërinë nëpërmjet bursës së energjisë ALPEX në vitin 2023 dhe 2024 (Burimi: Strategjia Kombëtare e Energjisë)</w:t>
            </w:r>
          </w:p>
          <w:p w14:paraId="16C4DEF3" w14:textId="77777777" w:rsidR="005C57AD" w:rsidRPr="004A64EF" w:rsidRDefault="005C57AD">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p>
        </w:tc>
      </w:tr>
      <w:tr w:rsidR="005C57AD" w:rsidRPr="004A64EF" w14:paraId="2DF3AB71" w14:textId="77777777">
        <w:tc>
          <w:tcPr>
            <w:cnfStyle w:val="001000000000" w:firstRow="0" w:lastRow="0" w:firstColumn="1" w:lastColumn="0" w:oddVBand="0" w:evenVBand="0" w:oddHBand="0" w:evenHBand="0" w:firstRowFirstColumn="0" w:firstRowLastColumn="0" w:lastRowFirstColumn="0" w:lastRowLastColumn="0"/>
            <w:tcW w:w="1357" w:type="pct"/>
            <w:hideMark/>
          </w:tcPr>
          <w:p w14:paraId="210F718E" w14:textId="77777777" w:rsidR="005C57AD" w:rsidRPr="004A64EF" w:rsidRDefault="005C57AD">
            <w:pPr>
              <w:spacing w:before="20" w:after="20" w:line="240" w:lineRule="auto"/>
              <w:contextualSpacing/>
              <w:jc w:val="left"/>
              <w:rPr>
                <w:color w:val="FFFFFF" w:themeColor="background1"/>
                <w:sz w:val="18"/>
              </w:rPr>
            </w:pPr>
            <w:r>
              <w:rPr>
                <w:color w:val="FFFFFF" w:themeColor="background1"/>
                <w:sz w:val="18"/>
              </w:rPr>
              <w:t>Institucioni përgjegjës</w:t>
            </w:r>
          </w:p>
        </w:tc>
        <w:tc>
          <w:tcPr>
            <w:tcW w:w="3643" w:type="pct"/>
            <w:hideMark/>
          </w:tcPr>
          <w:p w14:paraId="688413AC" w14:textId="77777777" w:rsidR="005C57AD" w:rsidRPr="004A64EF"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ME, ALPEX, ZRRE, KOSTT</w:t>
            </w:r>
          </w:p>
        </w:tc>
      </w:tr>
      <w:tr w:rsidR="005C57AD" w:rsidRPr="004A64EF" w14:paraId="20BFBA0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pct"/>
            <w:hideMark/>
          </w:tcPr>
          <w:p w14:paraId="7804CE7C" w14:textId="77777777" w:rsidR="005C57AD" w:rsidRPr="004A64EF" w:rsidRDefault="005C57AD">
            <w:pPr>
              <w:spacing w:before="20" w:after="20" w:line="240" w:lineRule="auto"/>
              <w:contextualSpacing/>
              <w:jc w:val="left"/>
              <w:rPr>
                <w:color w:val="FFFFFF" w:themeColor="background1"/>
                <w:sz w:val="18"/>
              </w:rPr>
            </w:pPr>
            <w:r>
              <w:rPr>
                <w:color w:val="FFFFFF" w:themeColor="background1"/>
                <w:sz w:val="18"/>
              </w:rPr>
              <w:t>Treguesit e progresit</w:t>
            </w:r>
          </w:p>
        </w:tc>
        <w:tc>
          <w:tcPr>
            <w:tcW w:w="3643" w:type="pct"/>
            <w:hideMark/>
          </w:tcPr>
          <w:p w14:paraId="6B727357" w14:textId="77777777" w:rsidR="005C57AD" w:rsidRPr="004A64EF" w:rsidRDefault="005C57AD">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Segmenti i tregut i lansuar dhe i bashkuar me Shqipërinë</w:t>
            </w:r>
          </w:p>
        </w:tc>
      </w:tr>
      <w:tr w:rsidR="005C57AD" w:rsidRPr="00976D33" w14:paraId="2752340B" w14:textId="77777777">
        <w:tc>
          <w:tcPr>
            <w:cnfStyle w:val="001000000000" w:firstRow="0" w:lastRow="0" w:firstColumn="1" w:lastColumn="0" w:oddVBand="0" w:evenVBand="0" w:oddHBand="0" w:evenHBand="0" w:firstRowFirstColumn="0" w:firstRowLastColumn="0" w:lastRowFirstColumn="0" w:lastRowLastColumn="0"/>
            <w:tcW w:w="1357" w:type="pct"/>
          </w:tcPr>
          <w:p w14:paraId="76508E42" w14:textId="07C47E37" w:rsidR="005C57AD" w:rsidRPr="004A64EF" w:rsidRDefault="005C57AD">
            <w:pPr>
              <w:spacing w:before="20" w:after="20" w:line="240" w:lineRule="auto"/>
              <w:contextualSpacing/>
              <w:jc w:val="left"/>
              <w:rPr>
                <w:color w:val="FFFFFF" w:themeColor="background1"/>
                <w:sz w:val="18"/>
              </w:rPr>
            </w:pPr>
            <w:r>
              <w:rPr>
                <w:color w:val="FFFFFF" w:themeColor="background1"/>
                <w:sz w:val="18"/>
              </w:rPr>
              <w:t>Lidhja me dimension</w:t>
            </w:r>
            <w:r w:rsidR="0037748E">
              <w:rPr>
                <w:color w:val="FFFFFF" w:themeColor="background1"/>
                <w:sz w:val="18"/>
              </w:rPr>
              <w:t>et e tjera</w:t>
            </w:r>
          </w:p>
        </w:tc>
        <w:tc>
          <w:tcPr>
            <w:tcW w:w="3643" w:type="pct"/>
          </w:tcPr>
          <w:p w14:paraId="0B6E7384" w14:textId="571217E1" w:rsidR="005C57AD" w:rsidRPr="00976D33"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Siguria energjetike</w:t>
            </w:r>
          </w:p>
        </w:tc>
      </w:tr>
    </w:tbl>
    <w:p w14:paraId="17A36077" w14:textId="77777777" w:rsidR="005C57AD" w:rsidRPr="00976D33" w:rsidRDefault="005C57AD" w:rsidP="005C57AD">
      <w:pPr>
        <w:spacing w:before="120"/>
        <w:rPr>
          <w:rFonts w:asciiTheme="minorHAnsi" w:hAnsiTheme="minorHAnsi" w:cstheme="minorHAnsi"/>
          <w:color w:val="024F75" w:themeColor="accent1"/>
          <w:lang w:eastAsia="en-GB"/>
        </w:rPr>
      </w:pPr>
    </w:p>
    <w:tbl>
      <w:tblPr>
        <w:tblStyle w:val="GridTable5DarkAccent100"/>
        <w:tblW w:w="5000" w:type="pct"/>
        <w:tblLook w:val="04A0" w:firstRow="1" w:lastRow="0" w:firstColumn="1" w:lastColumn="0" w:noHBand="0" w:noVBand="1"/>
      </w:tblPr>
      <w:tblGrid>
        <w:gridCol w:w="2596"/>
        <w:gridCol w:w="6968"/>
      </w:tblGrid>
      <w:tr w:rsidR="005C57AD" w:rsidRPr="004A64EF" w14:paraId="4E1C50D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71B8803B" w14:textId="04E82BB6" w:rsidR="005C57AD" w:rsidRPr="004A64EF" w:rsidRDefault="005C57AD">
            <w:pPr>
              <w:spacing w:before="20" w:after="20" w:line="240" w:lineRule="auto"/>
              <w:contextualSpacing/>
              <w:rPr>
                <w:color w:val="FFFFFF" w:themeColor="background1"/>
                <w:sz w:val="18"/>
              </w:rPr>
            </w:pPr>
            <w:bookmarkStart w:id="327" w:name="_Toc138210194"/>
            <w:bookmarkStart w:id="328" w:name="_Toc138998495"/>
            <w:r>
              <w:rPr>
                <w:color w:val="FFFFFF" w:themeColor="background1"/>
                <w:sz w:val="18"/>
              </w:rPr>
              <w:t>PM 59: Bashkimi i tregut me vendet e tjera fqinje</w:t>
            </w:r>
            <w:bookmarkEnd w:id="327"/>
            <w:bookmarkEnd w:id="328"/>
          </w:p>
        </w:tc>
      </w:tr>
      <w:tr w:rsidR="005C57AD" w:rsidRPr="004A64EF" w14:paraId="7F6DE14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2F5545A8" w14:textId="71B93EC9" w:rsidR="005C57AD" w:rsidRPr="004A64EF" w:rsidRDefault="005C57AD">
            <w:pPr>
              <w:spacing w:before="20" w:after="20" w:line="240" w:lineRule="auto"/>
              <w:contextualSpacing/>
              <w:rPr>
                <w:color w:val="FFFFFF" w:themeColor="background1"/>
                <w:sz w:val="18"/>
                <w:szCs w:val="18"/>
              </w:rPr>
            </w:pPr>
            <w:r>
              <w:rPr>
                <w:color w:val="FFFFFF" w:themeColor="background1"/>
                <w:sz w:val="18"/>
              </w:rPr>
              <w:t xml:space="preserve">Objektivi: </w:t>
            </w:r>
            <w:r>
              <w:rPr>
                <w:b w:val="0"/>
                <w:color w:val="FFFFFF" w:themeColor="background1"/>
                <w:sz w:val="18"/>
              </w:rPr>
              <w:t xml:space="preserve">Sigurimi i efektivitetit të kostos për zbatimin e caqeve të BER-ve dhe rritja e fleksibilitetit të sistemit përmes integrimit në tregun rajonal. </w:t>
            </w:r>
          </w:p>
          <w:p w14:paraId="346AC755" w14:textId="08EEBF9E" w:rsidR="005C57AD" w:rsidRPr="004A64EF" w:rsidRDefault="005C57AD" w:rsidP="00FF69EF">
            <w:pPr>
              <w:spacing w:before="20" w:after="20" w:line="240" w:lineRule="auto"/>
              <w:contextualSpacing/>
              <w:rPr>
                <w:color w:val="FFFFFF" w:themeColor="background1"/>
                <w:sz w:val="18"/>
                <w:szCs w:val="18"/>
              </w:rPr>
            </w:pPr>
            <w:r>
              <w:rPr>
                <w:color w:val="FFFFFF" w:themeColor="background1"/>
                <w:sz w:val="18"/>
              </w:rPr>
              <w:t xml:space="preserve">Përshkrimi:  </w:t>
            </w:r>
            <w:r>
              <w:rPr>
                <w:rFonts w:asciiTheme="majorHAnsi" w:hAnsiTheme="majorHAnsi"/>
                <w:b w:val="0"/>
                <w:color w:val="FFFFFF" w:themeColor="background1"/>
                <w:sz w:val="18"/>
              </w:rPr>
              <w:t xml:space="preserve">Konsideroni integrimin e tregut me shumicë të energjisë elektrike të Kosovës me SDAC-në (bashkimi i tregut të ditës në avancë përmes kufirit Shqipëri-Kosovë ose kufirit të energjisë elektrike kosovare me Maqedoninë e Veriut, me kusht që të përfitohet përjashtimi i përkohshëm i sektorit të energjisë elektrike nga CBAM </w:t>
            </w:r>
          </w:p>
        </w:tc>
      </w:tr>
      <w:tr w:rsidR="005C57AD" w:rsidRPr="004A64EF" w14:paraId="428882FA" w14:textId="77777777">
        <w:tc>
          <w:tcPr>
            <w:cnfStyle w:val="001000000000" w:firstRow="0" w:lastRow="0" w:firstColumn="1" w:lastColumn="0" w:oddVBand="0" w:evenVBand="0" w:oddHBand="0" w:evenHBand="0" w:firstRowFirstColumn="0" w:firstRowLastColumn="0" w:lastRowFirstColumn="0" w:lastRowLastColumn="0"/>
            <w:tcW w:w="1357" w:type="pct"/>
            <w:hideMark/>
          </w:tcPr>
          <w:p w14:paraId="3567E24B" w14:textId="77777777" w:rsidR="005C57AD" w:rsidRPr="004A64EF" w:rsidRDefault="005C57AD">
            <w:pPr>
              <w:spacing w:before="20" w:after="20" w:line="240" w:lineRule="auto"/>
              <w:contextualSpacing/>
              <w:rPr>
                <w:color w:val="FFFFFF" w:themeColor="background1"/>
                <w:sz w:val="18"/>
                <w:szCs w:val="18"/>
              </w:rPr>
            </w:pPr>
            <w:r>
              <w:rPr>
                <w:color w:val="FFFFFF" w:themeColor="background1"/>
                <w:sz w:val="18"/>
              </w:rPr>
              <w:t>Sektori/lloji</w:t>
            </w:r>
          </w:p>
        </w:tc>
        <w:tc>
          <w:tcPr>
            <w:tcW w:w="3643" w:type="pct"/>
            <w:hideMark/>
          </w:tcPr>
          <w:p w14:paraId="6D6122FF" w14:textId="77777777" w:rsidR="005C57AD" w:rsidRPr="004A64EF"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Energjetik/teknik</w:t>
            </w:r>
          </w:p>
        </w:tc>
      </w:tr>
      <w:tr w:rsidR="005C57AD" w:rsidRPr="004A64EF" w14:paraId="439BE61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pct"/>
            <w:hideMark/>
          </w:tcPr>
          <w:p w14:paraId="0A1591DB" w14:textId="77777777" w:rsidR="005C57AD" w:rsidRPr="004A64EF" w:rsidRDefault="005C57AD">
            <w:pPr>
              <w:spacing w:before="20" w:after="20" w:line="240" w:lineRule="auto"/>
              <w:contextualSpacing/>
              <w:rPr>
                <w:color w:val="FFFFFF" w:themeColor="background1"/>
                <w:sz w:val="18"/>
              </w:rPr>
            </w:pPr>
            <w:r>
              <w:rPr>
                <w:color w:val="FFFFFF" w:themeColor="background1"/>
                <w:sz w:val="18"/>
              </w:rPr>
              <w:t>Statusi i implementimit</w:t>
            </w:r>
          </w:p>
        </w:tc>
        <w:tc>
          <w:tcPr>
            <w:tcW w:w="3643" w:type="pct"/>
            <w:hideMark/>
          </w:tcPr>
          <w:p w14:paraId="78893AA6" w14:textId="6D09B3D6" w:rsidR="005C57AD" w:rsidRPr="004A64EF" w:rsidRDefault="005C57AD">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Në zhvillim e sipër, u nënshkrua MM ndërmjet vendeve</w:t>
            </w:r>
          </w:p>
        </w:tc>
      </w:tr>
      <w:tr w:rsidR="005C57AD" w:rsidRPr="004A64EF" w14:paraId="419EF05F" w14:textId="77777777">
        <w:tc>
          <w:tcPr>
            <w:cnfStyle w:val="001000000000" w:firstRow="0" w:lastRow="0" w:firstColumn="1" w:lastColumn="0" w:oddVBand="0" w:evenVBand="0" w:oddHBand="0" w:evenHBand="0" w:firstRowFirstColumn="0" w:firstRowLastColumn="0" w:lastRowFirstColumn="0" w:lastRowLastColumn="0"/>
            <w:tcW w:w="1357" w:type="pct"/>
            <w:hideMark/>
          </w:tcPr>
          <w:p w14:paraId="4ED60C71" w14:textId="77777777" w:rsidR="005C57AD" w:rsidRPr="004A64EF" w:rsidRDefault="005C57AD">
            <w:pPr>
              <w:spacing w:before="20" w:after="20" w:line="240" w:lineRule="auto"/>
              <w:contextualSpacing/>
              <w:rPr>
                <w:color w:val="FFFFFF" w:themeColor="background1"/>
                <w:sz w:val="18"/>
              </w:rPr>
            </w:pPr>
            <w:r>
              <w:rPr>
                <w:color w:val="FFFFFF" w:themeColor="background1"/>
                <w:sz w:val="18"/>
              </w:rPr>
              <w:t>Efektet kuantitative</w:t>
            </w:r>
          </w:p>
        </w:tc>
        <w:tc>
          <w:tcPr>
            <w:tcW w:w="3643" w:type="pct"/>
            <w:hideMark/>
          </w:tcPr>
          <w:p w14:paraId="04A824F8" w14:textId="77777777" w:rsidR="005C57AD" w:rsidRPr="004A64EF"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w:t>
            </w:r>
          </w:p>
        </w:tc>
      </w:tr>
      <w:tr w:rsidR="005C57AD" w:rsidRPr="004A64EF" w14:paraId="0993003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pct"/>
            <w:hideMark/>
          </w:tcPr>
          <w:p w14:paraId="097841C9" w14:textId="77777777" w:rsidR="005C57AD" w:rsidRPr="004A64EF" w:rsidRDefault="005C57AD">
            <w:pPr>
              <w:spacing w:before="20" w:after="20" w:line="240" w:lineRule="auto"/>
              <w:contextualSpacing/>
              <w:rPr>
                <w:color w:val="FFFFFF" w:themeColor="background1"/>
                <w:sz w:val="18"/>
              </w:rPr>
            </w:pPr>
            <w:r>
              <w:rPr>
                <w:color w:val="FFFFFF" w:themeColor="background1"/>
                <w:sz w:val="18"/>
              </w:rPr>
              <w:t>Investimet</w:t>
            </w:r>
          </w:p>
        </w:tc>
        <w:tc>
          <w:tcPr>
            <w:tcW w:w="3643" w:type="pct"/>
            <w:hideMark/>
          </w:tcPr>
          <w:p w14:paraId="65806441" w14:textId="67CDA4A5" w:rsidR="005C57AD" w:rsidRPr="004A64EF" w:rsidRDefault="00B9335F">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Pr>
                <w:rFonts w:asciiTheme="majorHAnsi" w:hAnsiTheme="majorHAnsi"/>
                <w:color w:val="000000"/>
                <w:sz w:val="18"/>
              </w:rPr>
              <w:t>0.23 mil. euro janë parashikuar në vitin 2024 për një studim të fizibilitetit mbi bashkimin e tregut rajonal/evropian (SDAC, SIDC), të financuara nga donatorët.</w:t>
            </w:r>
            <w:r>
              <w:rPr>
                <w:sz w:val="18"/>
              </w:rPr>
              <w:t xml:space="preserve"> Pas funksionalizimit të plotë të ALPEX-it në Kosovë, projekti i integrimit rajonal i financuar nga donatorët vazhdon mbështetjen e tij me të gjitha aktivitetet për bashkimin e mëtejshëm të tregut ndërmjet ALPEX-it dhe DAM-it të Maqedonisë së Veriut (Burimi: Strategjia Kombëtare e Energjisë).</w:t>
            </w:r>
          </w:p>
        </w:tc>
      </w:tr>
      <w:tr w:rsidR="005C57AD" w:rsidRPr="004A64EF" w14:paraId="602D3D08" w14:textId="77777777">
        <w:tc>
          <w:tcPr>
            <w:cnfStyle w:val="001000000000" w:firstRow="0" w:lastRow="0" w:firstColumn="1" w:lastColumn="0" w:oddVBand="0" w:evenVBand="0" w:oddHBand="0" w:evenHBand="0" w:firstRowFirstColumn="0" w:firstRowLastColumn="0" w:lastRowFirstColumn="0" w:lastRowLastColumn="0"/>
            <w:tcW w:w="1357" w:type="pct"/>
            <w:hideMark/>
          </w:tcPr>
          <w:p w14:paraId="677BCEFD" w14:textId="77777777" w:rsidR="005C57AD" w:rsidRPr="004A64EF" w:rsidRDefault="005C57AD">
            <w:pPr>
              <w:spacing w:before="20" w:after="20" w:line="240" w:lineRule="auto"/>
              <w:contextualSpacing/>
              <w:rPr>
                <w:color w:val="FFFFFF" w:themeColor="background1"/>
                <w:sz w:val="18"/>
              </w:rPr>
            </w:pPr>
            <w:r>
              <w:rPr>
                <w:color w:val="FFFFFF" w:themeColor="background1"/>
                <w:sz w:val="18"/>
              </w:rPr>
              <w:t>Institucioni përgjegjës</w:t>
            </w:r>
          </w:p>
        </w:tc>
        <w:tc>
          <w:tcPr>
            <w:tcW w:w="3643" w:type="pct"/>
            <w:hideMark/>
          </w:tcPr>
          <w:p w14:paraId="13C0A2AB" w14:textId="5B713DBE" w:rsidR="005C57AD" w:rsidRPr="004A64EF"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rPr>
              <w:t>KOSTT, OST-të fqinje, ME, ZRRE, ALPEX</w:t>
            </w:r>
          </w:p>
        </w:tc>
      </w:tr>
      <w:tr w:rsidR="005C57AD" w:rsidRPr="004A64EF" w14:paraId="6B32315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pct"/>
            <w:hideMark/>
          </w:tcPr>
          <w:p w14:paraId="428B3D9D" w14:textId="77777777" w:rsidR="005C57AD" w:rsidRPr="004A64EF" w:rsidRDefault="005C57AD">
            <w:pPr>
              <w:spacing w:before="20" w:after="20" w:line="240" w:lineRule="auto"/>
              <w:contextualSpacing/>
              <w:rPr>
                <w:color w:val="FFFFFF" w:themeColor="background1"/>
                <w:sz w:val="18"/>
              </w:rPr>
            </w:pPr>
            <w:r>
              <w:rPr>
                <w:color w:val="FFFFFF" w:themeColor="background1"/>
                <w:sz w:val="18"/>
              </w:rPr>
              <w:lastRenderedPageBreak/>
              <w:t>Treguesit e progresit</w:t>
            </w:r>
          </w:p>
        </w:tc>
        <w:tc>
          <w:tcPr>
            <w:tcW w:w="3643" w:type="pct"/>
            <w:hideMark/>
          </w:tcPr>
          <w:p w14:paraId="72C7847A" w14:textId="3B8D4100" w:rsidR="005C57AD" w:rsidRPr="004A64EF" w:rsidRDefault="005C57AD">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Tregu i bashkuar me vend</w:t>
            </w:r>
            <w:r w:rsidR="0037748E">
              <w:rPr>
                <w:sz w:val="18"/>
              </w:rPr>
              <w:t>et e tjera</w:t>
            </w:r>
            <w:r>
              <w:rPr>
                <w:sz w:val="18"/>
              </w:rPr>
              <w:t xml:space="preserve"> në rajon</w:t>
            </w:r>
          </w:p>
        </w:tc>
      </w:tr>
      <w:tr w:rsidR="005C57AD" w:rsidRPr="00976D33" w14:paraId="49081FBB" w14:textId="77777777">
        <w:tc>
          <w:tcPr>
            <w:cnfStyle w:val="001000000000" w:firstRow="0" w:lastRow="0" w:firstColumn="1" w:lastColumn="0" w:oddVBand="0" w:evenVBand="0" w:oddHBand="0" w:evenHBand="0" w:firstRowFirstColumn="0" w:firstRowLastColumn="0" w:lastRowFirstColumn="0" w:lastRowLastColumn="0"/>
            <w:tcW w:w="1357" w:type="pct"/>
          </w:tcPr>
          <w:p w14:paraId="7F9C65C4" w14:textId="62461884" w:rsidR="005C57AD" w:rsidRPr="004A64EF" w:rsidRDefault="005C57AD">
            <w:pPr>
              <w:spacing w:before="20" w:after="20" w:line="240" w:lineRule="auto"/>
              <w:contextualSpacing/>
              <w:rPr>
                <w:color w:val="FFFFFF" w:themeColor="background1"/>
                <w:sz w:val="18"/>
              </w:rPr>
            </w:pPr>
            <w:r>
              <w:rPr>
                <w:color w:val="FFFFFF" w:themeColor="background1"/>
                <w:sz w:val="18"/>
              </w:rPr>
              <w:t>Lidhja me dimension</w:t>
            </w:r>
            <w:r w:rsidR="0037748E">
              <w:rPr>
                <w:color w:val="FFFFFF" w:themeColor="background1"/>
                <w:sz w:val="18"/>
              </w:rPr>
              <w:t>et e tjera</w:t>
            </w:r>
          </w:p>
        </w:tc>
        <w:tc>
          <w:tcPr>
            <w:tcW w:w="3643" w:type="pct"/>
          </w:tcPr>
          <w:p w14:paraId="2DF91E32" w14:textId="77777777" w:rsidR="005C57AD" w:rsidRPr="00976D33"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Siguria energjetike</w:t>
            </w:r>
          </w:p>
        </w:tc>
      </w:tr>
      <w:tr w:rsidR="005C57AD" w:rsidRPr="00976D33" w14:paraId="262BA7B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03B3DCD6" w14:textId="4F68D88A" w:rsidR="005C57AD" w:rsidRPr="00976D33" w:rsidRDefault="005C57AD">
            <w:pPr>
              <w:spacing w:before="20" w:after="20" w:line="240" w:lineRule="auto"/>
              <w:contextualSpacing/>
              <w:rPr>
                <w:color w:val="auto"/>
                <w:sz w:val="18"/>
              </w:rPr>
            </w:pPr>
            <w:bookmarkStart w:id="329" w:name="_Toc138210195"/>
            <w:bookmarkStart w:id="330" w:name="_Toc138998496"/>
            <w:r>
              <w:rPr>
                <w:color w:val="FFFFFF" w:themeColor="background1"/>
                <w:sz w:val="18"/>
              </w:rPr>
              <w:t>PM 60: Anëtarësimi në platformat balancuese të BE-së</w:t>
            </w:r>
            <w:bookmarkEnd w:id="329"/>
            <w:bookmarkEnd w:id="330"/>
          </w:p>
        </w:tc>
      </w:tr>
      <w:tr w:rsidR="005C57AD" w:rsidRPr="00976D33" w14:paraId="17886D4C" w14:textId="77777777">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73CD7370" w14:textId="77777777" w:rsidR="005C57AD" w:rsidRPr="00976D33" w:rsidRDefault="005C57AD">
            <w:pPr>
              <w:spacing w:before="20" w:after="20" w:line="240" w:lineRule="auto"/>
              <w:contextualSpacing/>
              <w:rPr>
                <w:b w:val="0"/>
                <w:bCs w:val="0"/>
                <w:color w:val="FFFFFF" w:themeColor="background1"/>
                <w:sz w:val="18"/>
              </w:rPr>
            </w:pPr>
            <w:r>
              <w:rPr>
                <w:color w:val="FFFFFF" w:themeColor="background1"/>
                <w:sz w:val="18"/>
              </w:rPr>
              <w:t xml:space="preserve">Objektivi: </w:t>
            </w:r>
            <w:r>
              <w:rPr>
                <w:b w:val="0"/>
                <w:color w:val="FFFFFF" w:themeColor="background1"/>
                <w:sz w:val="18"/>
              </w:rPr>
              <w:t>Reduktimi i kostove të balancimit nëpërmjet integrimit me tregje më të gjera evropiane balancuese.</w:t>
            </w:r>
          </w:p>
          <w:p w14:paraId="2BD281BB" w14:textId="77777777" w:rsidR="005C57AD" w:rsidRPr="00976D33" w:rsidRDefault="005C57AD">
            <w:pPr>
              <w:spacing w:before="20" w:after="20" w:line="240" w:lineRule="auto"/>
              <w:contextualSpacing/>
              <w:rPr>
                <w:b w:val="0"/>
                <w:bCs w:val="0"/>
                <w:color w:val="FFFFFF" w:themeColor="background1"/>
                <w:sz w:val="18"/>
              </w:rPr>
            </w:pPr>
          </w:p>
          <w:p w14:paraId="45C7A818" w14:textId="7C4C462D" w:rsidR="005C57AD" w:rsidRPr="00976D33" w:rsidRDefault="005C57AD">
            <w:pPr>
              <w:spacing w:before="20" w:after="20" w:line="240" w:lineRule="auto"/>
              <w:contextualSpacing/>
              <w:rPr>
                <w:color w:val="auto"/>
                <w:sz w:val="18"/>
                <w:szCs w:val="18"/>
              </w:rPr>
            </w:pPr>
            <w:r>
              <w:rPr>
                <w:b w:val="0"/>
                <w:color w:val="FFFFFF" w:themeColor="background1"/>
                <w:sz w:val="18"/>
              </w:rPr>
              <w:t>Përshkrimi: Bashkimi me platformat e përbashkëta të balancimit të BE-së (MARI, PICASSO, IGCC) sipas pikëreferimeve të vendosura në Pakon për Integrim të Energjisë</w:t>
            </w:r>
            <w:r>
              <w:rPr>
                <w:color w:val="FFFFFF" w:themeColor="background1"/>
                <w:sz w:val="18"/>
              </w:rPr>
              <w:t xml:space="preserve">. </w:t>
            </w:r>
          </w:p>
        </w:tc>
      </w:tr>
      <w:tr w:rsidR="005C57AD" w:rsidRPr="00976D33" w14:paraId="5BB0E48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pct"/>
            <w:hideMark/>
          </w:tcPr>
          <w:p w14:paraId="67D5C882" w14:textId="77777777" w:rsidR="005C57AD" w:rsidRPr="00976D33" w:rsidRDefault="005C57AD">
            <w:pPr>
              <w:spacing w:before="20" w:after="20" w:line="240" w:lineRule="auto"/>
              <w:contextualSpacing/>
              <w:jc w:val="left"/>
              <w:rPr>
                <w:color w:val="FFFFFF" w:themeColor="background1"/>
                <w:sz w:val="18"/>
                <w:szCs w:val="18"/>
              </w:rPr>
            </w:pPr>
            <w:r>
              <w:rPr>
                <w:color w:val="FFFFFF" w:themeColor="background1"/>
                <w:sz w:val="18"/>
              </w:rPr>
              <w:t>Sektori/lloji</w:t>
            </w:r>
          </w:p>
        </w:tc>
        <w:tc>
          <w:tcPr>
            <w:tcW w:w="3643" w:type="pct"/>
            <w:hideMark/>
          </w:tcPr>
          <w:p w14:paraId="0F7A2382" w14:textId="77777777" w:rsidR="005C57AD" w:rsidRPr="00976D33" w:rsidRDefault="005C57AD">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Energjetik/teknik</w:t>
            </w:r>
          </w:p>
        </w:tc>
      </w:tr>
      <w:tr w:rsidR="005C57AD" w:rsidRPr="00976D33" w14:paraId="62AD54DF" w14:textId="77777777">
        <w:tc>
          <w:tcPr>
            <w:cnfStyle w:val="001000000000" w:firstRow="0" w:lastRow="0" w:firstColumn="1" w:lastColumn="0" w:oddVBand="0" w:evenVBand="0" w:oddHBand="0" w:evenHBand="0" w:firstRowFirstColumn="0" w:firstRowLastColumn="0" w:lastRowFirstColumn="0" w:lastRowLastColumn="0"/>
            <w:tcW w:w="1357" w:type="pct"/>
            <w:hideMark/>
          </w:tcPr>
          <w:p w14:paraId="2C3AFE22" w14:textId="77777777" w:rsidR="005C57AD" w:rsidRPr="00976D33" w:rsidRDefault="005C57AD">
            <w:pPr>
              <w:spacing w:before="20" w:after="20" w:line="240" w:lineRule="auto"/>
              <w:contextualSpacing/>
              <w:jc w:val="left"/>
              <w:rPr>
                <w:color w:val="FFFFFF" w:themeColor="background1"/>
                <w:sz w:val="18"/>
              </w:rPr>
            </w:pPr>
            <w:r>
              <w:rPr>
                <w:color w:val="FFFFFF" w:themeColor="background1"/>
                <w:sz w:val="18"/>
              </w:rPr>
              <w:t>Statusi i implementimit</w:t>
            </w:r>
          </w:p>
        </w:tc>
        <w:tc>
          <w:tcPr>
            <w:tcW w:w="3643" w:type="pct"/>
            <w:hideMark/>
          </w:tcPr>
          <w:p w14:paraId="6E342CF3" w14:textId="77777777" w:rsidR="005C57AD" w:rsidRPr="00976D33"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I planifikuar; sistemi SCADA i KOSTT-it do të përmirësohet deri në vitin 2025/2026 me integrimin e kapaciteteve për t’iu bashkuar platformave PICASSO dhe MARI sa më shpejt që të jetë e mundur, në pritje të integrimit të plotë të KOSTT-it në ENTSO-E.</w:t>
            </w:r>
          </w:p>
        </w:tc>
      </w:tr>
      <w:tr w:rsidR="005C57AD" w:rsidRPr="00976D33" w14:paraId="6FF3B45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pct"/>
            <w:hideMark/>
          </w:tcPr>
          <w:p w14:paraId="2E9DCCC0" w14:textId="77777777" w:rsidR="005C57AD" w:rsidRPr="00976D33" w:rsidRDefault="005C57AD">
            <w:pPr>
              <w:spacing w:before="20" w:after="20" w:line="240" w:lineRule="auto"/>
              <w:contextualSpacing/>
              <w:jc w:val="left"/>
              <w:rPr>
                <w:color w:val="FFFFFF" w:themeColor="background1"/>
                <w:sz w:val="18"/>
              </w:rPr>
            </w:pPr>
            <w:r>
              <w:rPr>
                <w:color w:val="FFFFFF" w:themeColor="background1"/>
                <w:sz w:val="18"/>
              </w:rPr>
              <w:t>Efektet kuantitative</w:t>
            </w:r>
          </w:p>
        </w:tc>
        <w:tc>
          <w:tcPr>
            <w:tcW w:w="3643" w:type="pct"/>
            <w:hideMark/>
          </w:tcPr>
          <w:p w14:paraId="76C49E24" w14:textId="77777777" w:rsidR="005C57AD" w:rsidRPr="00976D33" w:rsidRDefault="005C57AD">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w:t>
            </w:r>
          </w:p>
        </w:tc>
      </w:tr>
      <w:tr w:rsidR="005C57AD" w:rsidRPr="00976D33" w14:paraId="6629DFCB" w14:textId="77777777">
        <w:tc>
          <w:tcPr>
            <w:cnfStyle w:val="001000000000" w:firstRow="0" w:lastRow="0" w:firstColumn="1" w:lastColumn="0" w:oddVBand="0" w:evenVBand="0" w:oddHBand="0" w:evenHBand="0" w:firstRowFirstColumn="0" w:firstRowLastColumn="0" w:lastRowFirstColumn="0" w:lastRowLastColumn="0"/>
            <w:tcW w:w="1357" w:type="pct"/>
            <w:hideMark/>
          </w:tcPr>
          <w:p w14:paraId="735AC279" w14:textId="77777777" w:rsidR="005C57AD" w:rsidRPr="00976D33" w:rsidRDefault="005C57AD">
            <w:pPr>
              <w:spacing w:before="20" w:after="20" w:line="240" w:lineRule="auto"/>
              <w:contextualSpacing/>
              <w:jc w:val="left"/>
              <w:rPr>
                <w:color w:val="FFFFFF" w:themeColor="background1"/>
                <w:sz w:val="18"/>
              </w:rPr>
            </w:pPr>
            <w:r>
              <w:rPr>
                <w:color w:val="FFFFFF" w:themeColor="background1"/>
                <w:sz w:val="18"/>
              </w:rPr>
              <w:t>Investimet</w:t>
            </w:r>
          </w:p>
        </w:tc>
        <w:tc>
          <w:tcPr>
            <w:tcW w:w="3643" w:type="pct"/>
            <w:hideMark/>
          </w:tcPr>
          <w:p w14:paraId="7BE39DCE" w14:textId="77777777" w:rsidR="005C57AD" w:rsidRPr="00976D33"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w:t>
            </w:r>
          </w:p>
        </w:tc>
      </w:tr>
      <w:tr w:rsidR="005C57AD" w:rsidRPr="00976D33" w14:paraId="4E00876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pct"/>
            <w:hideMark/>
          </w:tcPr>
          <w:p w14:paraId="6F7B679A" w14:textId="77777777" w:rsidR="005C57AD" w:rsidRPr="00976D33" w:rsidRDefault="005C57AD">
            <w:pPr>
              <w:spacing w:before="20" w:after="20" w:line="240" w:lineRule="auto"/>
              <w:contextualSpacing/>
              <w:jc w:val="left"/>
              <w:rPr>
                <w:color w:val="FFFFFF" w:themeColor="background1"/>
                <w:sz w:val="18"/>
              </w:rPr>
            </w:pPr>
            <w:r>
              <w:rPr>
                <w:color w:val="FFFFFF" w:themeColor="background1"/>
                <w:sz w:val="18"/>
              </w:rPr>
              <w:t>Institucioni përgjegjës</w:t>
            </w:r>
          </w:p>
        </w:tc>
        <w:tc>
          <w:tcPr>
            <w:tcW w:w="3643" w:type="pct"/>
            <w:hideMark/>
          </w:tcPr>
          <w:p w14:paraId="6C427E9F" w14:textId="152D31F3" w:rsidR="005C57AD" w:rsidRPr="00976D33" w:rsidRDefault="005C57AD">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KOSTT, ZRRE</w:t>
            </w:r>
          </w:p>
        </w:tc>
      </w:tr>
      <w:tr w:rsidR="005C57AD" w:rsidRPr="00976D33" w14:paraId="0B66ED08" w14:textId="77777777">
        <w:tc>
          <w:tcPr>
            <w:cnfStyle w:val="001000000000" w:firstRow="0" w:lastRow="0" w:firstColumn="1" w:lastColumn="0" w:oddVBand="0" w:evenVBand="0" w:oddHBand="0" w:evenHBand="0" w:firstRowFirstColumn="0" w:firstRowLastColumn="0" w:lastRowFirstColumn="0" w:lastRowLastColumn="0"/>
            <w:tcW w:w="1357" w:type="pct"/>
            <w:hideMark/>
          </w:tcPr>
          <w:p w14:paraId="05568A8E" w14:textId="77777777" w:rsidR="005C57AD" w:rsidRPr="00976D33" w:rsidRDefault="005C57AD">
            <w:pPr>
              <w:spacing w:before="20" w:after="20" w:line="240" w:lineRule="auto"/>
              <w:contextualSpacing/>
              <w:jc w:val="left"/>
              <w:rPr>
                <w:color w:val="FFFFFF" w:themeColor="background1"/>
                <w:sz w:val="18"/>
              </w:rPr>
            </w:pPr>
            <w:r>
              <w:rPr>
                <w:color w:val="FFFFFF" w:themeColor="background1"/>
                <w:sz w:val="18"/>
              </w:rPr>
              <w:t>Treguesit e progresit</w:t>
            </w:r>
          </w:p>
        </w:tc>
        <w:tc>
          <w:tcPr>
            <w:tcW w:w="3643" w:type="pct"/>
            <w:hideMark/>
          </w:tcPr>
          <w:p w14:paraId="640E15CB" w14:textId="77777777" w:rsidR="005C57AD" w:rsidRPr="00976D33"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Numri i platformave të tregut të bashkuara</w:t>
            </w:r>
          </w:p>
        </w:tc>
      </w:tr>
      <w:tr w:rsidR="005C57AD" w:rsidRPr="00976D33" w14:paraId="3DE542E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pct"/>
          </w:tcPr>
          <w:p w14:paraId="06A00F0C" w14:textId="20787DBA" w:rsidR="005C57AD" w:rsidRPr="00976D33" w:rsidRDefault="005C57AD">
            <w:pPr>
              <w:spacing w:before="20" w:after="20" w:line="240" w:lineRule="auto"/>
              <w:contextualSpacing/>
              <w:jc w:val="left"/>
              <w:rPr>
                <w:color w:val="FFFFFF" w:themeColor="background1"/>
                <w:sz w:val="18"/>
              </w:rPr>
            </w:pPr>
            <w:r>
              <w:rPr>
                <w:color w:val="FFFFFF" w:themeColor="background1"/>
                <w:sz w:val="18"/>
              </w:rPr>
              <w:t>Lidhja me dimension</w:t>
            </w:r>
            <w:r w:rsidR="0037748E">
              <w:rPr>
                <w:color w:val="FFFFFF" w:themeColor="background1"/>
                <w:sz w:val="18"/>
              </w:rPr>
              <w:t>et e tjera</w:t>
            </w:r>
          </w:p>
          <w:p w14:paraId="456DE93F" w14:textId="77777777" w:rsidR="005C57AD" w:rsidRPr="00976D33" w:rsidRDefault="005C57AD">
            <w:pPr>
              <w:spacing w:before="20" w:after="20" w:line="240" w:lineRule="auto"/>
              <w:contextualSpacing/>
              <w:jc w:val="left"/>
              <w:rPr>
                <w:color w:val="FFFFFF" w:themeColor="background1"/>
                <w:sz w:val="18"/>
              </w:rPr>
            </w:pPr>
          </w:p>
        </w:tc>
        <w:tc>
          <w:tcPr>
            <w:tcW w:w="3643" w:type="pct"/>
          </w:tcPr>
          <w:p w14:paraId="2499DDF8" w14:textId="77777777" w:rsidR="005C57AD" w:rsidRPr="00976D33" w:rsidRDefault="005C57AD">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Siguria energjetike</w:t>
            </w:r>
          </w:p>
        </w:tc>
      </w:tr>
    </w:tbl>
    <w:p w14:paraId="6FAB8B5F" w14:textId="77777777" w:rsidR="005C57AD" w:rsidRPr="00976D33" w:rsidRDefault="005C57AD" w:rsidP="005C57AD">
      <w:pPr>
        <w:pStyle w:val="Heading4"/>
      </w:pPr>
      <w:r>
        <w:t>Masat për të rritur fleksibilitetin e sistemit energjetik në lidhje me prodhimin e energjisë së ripërtëritshme siç janë rrjetet inteligjente, grumbullimi, përgjigja ndaj kërkesës, ruajtja, gjenerimi i shpërndarë, mekanizmat për shpërndarjen, rishpërndarjen dhe reduktimin, sinjalet e çmimeve në kohë reale, duke përfshirë implementimin e tregjeve të bashkimit brenda ditës dhe tregjeve të balancimit ndërkufitar.</w:t>
      </w:r>
    </w:p>
    <w:tbl>
      <w:tblPr>
        <w:tblStyle w:val="GridTable5DarkAccent100"/>
        <w:tblW w:w="5000" w:type="pct"/>
        <w:tblLook w:val="04A0" w:firstRow="1" w:lastRow="0" w:firstColumn="1" w:lastColumn="0" w:noHBand="0" w:noVBand="1"/>
      </w:tblPr>
      <w:tblGrid>
        <w:gridCol w:w="2596"/>
        <w:gridCol w:w="6968"/>
      </w:tblGrid>
      <w:tr w:rsidR="005C57AD" w:rsidRPr="004A64EF" w14:paraId="050826E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230EACCE" w14:textId="5BEB65D5" w:rsidR="005C57AD" w:rsidRPr="004A64EF" w:rsidRDefault="005C57AD">
            <w:pPr>
              <w:spacing w:before="20" w:after="20" w:line="240" w:lineRule="auto"/>
              <w:contextualSpacing/>
              <w:rPr>
                <w:color w:val="FFFFFF" w:themeColor="background1"/>
                <w:sz w:val="18"/>
              </w:rPr>
            </w:pPr>
            <w:bookmarkStart w:id="331" w:name="_Toc138210196"/>
            <w:bookmarkStart w:id="332" w:name="_Toc138998497"/>
            <w:r>
              <w:rPr>
                <w:color w:val="FFFFFF" w:themeColor="background1"/>
                <w:sz w:val="18"/>
              </w:rPr>
              <w:t>PM 61: Studimi i fizibilitetit dhe pilotimi i mundshëm i energjisë për ngrohje</w:t>
            </w:r>
            <w:bookmarkEnd w:id="331"/>
            <w:bookmarkEnd w:id="332"/>
          </w:p>
        </w:tc>
      </w:tr>
      <w:tr w:rsidR="005C57AD" w:rsidRPr="004A64EF" w14:paraId="69BE1F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24C8BA51" w14:textId="77777777" w:rsidR="005C57AD" w:rsidRPr="004A64EF" w:rsidRDefault="005C57AD">
            <w:pPr>
              <w:spacing w:before="20" w:after="20" w:line="240" w:lineRule="auto"/>
              <w:contextualSpacing/>
              <w:rPr>
                <w:b w:val="0"/>
                <w:bCs w:val="0"/>
                <w:color w:val="FFFFFF" w:themeColor="background1"/>
                <w:sz w:val="18"/>
              </w:rPr>
            </w:pPr>
            <w:r>
              <w:rPr>
                <w:color w:val="FFFFFF" w:themeColor="background1"/>
                <w:sz w:val="18"/>
              </w:rPr>
              <w:t xml:space="preserve">Objektivi: </w:t>
            </w:r>
            <w:r>
              <w:rPr>
                <w:b w:val="0"/>
                <w:color w:val="FFFFFF" w:themeColor="background1"/>
                <w:sz w:val="18"/>
              </w:rPr>
              <w:t>Duke pasur parasysh ambiciet e larta të Kosovës për të zgjeruar kapacitetet e BER-ve në përgjithësi dhe kapacitetet solare të PV-ve në veçanti, duhet të eksplorohet mundësia ekonomike për ruajtjen e gjenerimit të tepërt përmes fuqisë në nxehtësi (PtH).</w:t>
            </w:r>
          </w:p>
          <w:p w14:paraId="43A085D3" w14:textId="77777777" w:rsidR="005C57AD" w:rsidRPr="004A64EF" w:rsidRDefault="005C57AD">
            <w:pPr>
              <w:spacing w:before="20" w:after="20" w:line="240" w:lineRule="auto"/>
              <w:contextualSpacing/>
              <w:rPr>
                <w:b w:val="0"/>
                <w:bCs w:val="0"/>
                <w:color w:val="FFFFFF" w:themeColor="background1"/>
                <w:sz w:val="18"/>
              </w:rPr>
            </w:pPr>
          </w:p>
          <w:p w14:paraId="003AC5AD" w14:textId="41A0A8E2" w:rsidR="005C57AD" w:rsidRPr="004A64EF" w:rsidRDefault="005C57AD">
            <w:pPr>
              <w:spacing w:before="20" w:after="20" w:line="240" w:lineRule="auto"/>
              <w:contextualSpacing/>
              <w:rPr>
                <w:color w:val="FFFFFF" w:themeColor="background1"/>
                <w:sz w:val="18"/>
              </w:rPr>
            </w:pPr>
            <w:r>
              <w:rPr>
                <w:b w:val="0"/>
                <w:color w:val="FFFFFF" w:themeColor="background1"/>
                <w:sz w:val="18"/>
              </w:rPr>
              <w:t xml:space="preserve">Përshkrimi: Kryerja e studimit të fizibilitetit dhe/ose pilot projektit për PtH për të absorbuar gjenerimin e tepërt të BRE-ve. </w:t>
            </w:r>
            <w:r>
              <w:rPr>
                <w:b w:val="0"/>
                <w:color w:val="FFFFFF"/>
                <w:sz w:val="18"/>
              </w:rPr>
              <w:t>Studimi i fizibilitetit i propozuar do të përfshijë gjithashtu ndikimet e përgjithshme, duke siguruar që zbatimi i teknologjive të energjisë për ngrohje është i barabartë dhe merr parasysh nevojat dhe ndikimet e ndryshme në të gjitha segmentet e popullsisë.</w:t>
            </w:r>
          </w:p>
        </w:tc>
      </w:tr>
      <w:tr w:rsidR="005C57AD" w:rsidRPr="004A64EF" w14:paraId="66417FEA" w14:textId="77777777">
        <w:tc>
          <w:tcPr>
            <w:cnfStyle w:val="001000000000" w:firstRow="0" w:lastRow="0" w:firstColumn="1" w:lastColumn="0" w:oddVBand="0" w:evenVBand="0" w:oddHBand="0" w:evenHBand="0" w:firstRowFirstColumn="0" w:firstRowLastColumn="0" w:lastRowFirstColumn="0" w:lastRowLastColumn="0"/>
            <w:tcW w:w="1357" w:type="pct"/>
            <w:hideMark/>
          </w:tcPr>
          <w:p w14:paraId="3DB9AE62" w14:textId="77777777" w:rsidR="005C57AD" w:rsidRPr="004A64EF" w:rsidRDefault="005C57AD">
            <w:pPr>
              <w:spacing w:before="20" w:after="20" w:line="240" w:lineRule="auto"/>
              <w:contextualSpacing/>
              <w:jc w:val="left"/>
              <w:rPr>
                <w:color w:val="FFFFFF" w:themeColor="background1"/>
                <w:sz w:val="18"/>
                <w:szCs w:val="18"/>
              </w:rPr>
            </w:pPr>
            <w:r>
              <w:rPr>
                <w:color w:val="FFFFFF" w:themeColor="background1"/>
                <w:sz w:val="18"/>
              </w:rPr>
              <w:t>Sektori/lloji</w:t>
            </w:r>
          </w:p>
        </w:tc>
        <w:tc>
          <w:tcPr>
            <w:tcW w:w="3643" w:type="pct"/>
            <w:hideMark/>
          </w:tcPr>
          <w:p w14:paraId="1763AF1C" w14:textId="77777777" w:rsidR="005C57AD" w:rsidRPr="004A64EF"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Energjetik/teknik</w:t>
            </w:r>
          </w:p>
        </w:tc>
      </w:tr>
      <w:tr w:rsidR="005C57AD" w:rsidRPr="004A64EF" w14:paraId="7472AA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pct"/>
            <w:hideMark/>
          </w:tcPr>
          <w:p w14:paraId="79D51D6E" w14:textId="77777777" w:rsidR="005C57AD" w:rsidRPr="004A64EF" w:rsidRDefault="005C57AD">
            <w:pPr>
              <w:spacing w:before="20" w:after="20" w:line="240" w:lineRule="auto"/>
              <w:contextualSpacing/>
              <w:jc w:val="left"/>
              <w:rPr>
                <w:color w:val="FFFFFF" w:themeColor="background1"/>
                <w:sz w:val="18"/>
              </w:rPr>
            </w:pPr>
            <w:r>
              <w:rPr>
                <w:color w:val="FFFFFF" w:themeColor="background1"/>
                <w:sz w:val="18"/>
              </w:rPr>
              <w:t>Statusi i implementimit</w:t>
            </w:r>
          </w:p>
        </w:tc>
        <w:tc>
          <w:tcPr>
            <w:tcW w:w="3643" w:type="pct"/>
            <w:hideMark/>
          </w:tcPr>
          <w:p w14:paraId="7FD6F49A" w14:textId="77777777" w:rsidR="005C57AD" w:rsidRPr="004A64EF" w:rsidRDefault="005C57AD">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Planifikuar</w:t>
            </w:r>
          </w:p>
        </w:tc>
      </w:tr>
      <w:tr w:rsidR="005C57AD" w:rsidRPr="004A64EF" w14:paraId="683B69AE" w14:textId="77777777">
        <w:tc>
          <w:tcPr>
            <w:cnfStyle w:val="001000000000" w:firstRow="0" w:lastRow="0" w:firstColumn="1" w:lastColumn="0" w:oddVBand="0" w:evenVBand="0" w:oddHBand="0" w:evenHBand="0" w:firstRowFirstColumn="0" w:firstRowLastColumn="0" w:lastRowFirstColumn="0" w:lastRowLastColumn="0"/>
            <w:tcW w:w="1357" w:type="pct"/>
            <w:hideMark/>
          </w:tcPr>
          <w:p w14:paraId="6E09F2D4" w14:textId="77777777" w:rsidR="005C57AD" w:rsidRPr="004A64EF" w:rsidRDefault="005C57AD">
            <w:pPr>
              <w:spacing w:before="20" w:after="20" w:line="240" w:lineRule="auto"/>
              <w:contextualSpacing/>
              <w:jc w:val="left"/>
              <w:rPr>
                <w:color w:val="FFFFFF" w:themeColor="background1"/>
                <w:sz w:val="18"/>
              </w:rPr>
            </w:pPr>
            <w:r>
              <w:rPr>
                <w:color w:val="FFFFFF" w:themeColor="background1"/>
                <w:sz w:val="18"/>
              </w:rPr>
              <w:t>Efektet kuantitative</w:t>
            </w:r>
          </w:p>
        </w:tc>
        <w:tc>
          <w:tcPr>
            <w:tcW w:w="3643" w:type="pct"/>
            <w:hideMark/>
          </w:tcPr>
          <w:p w14:paraId="0EB59C57" w14:textId="77777777" w:rsidR="005C57AD" w:rsidRPr="004A64EF"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p>
        </w:tc>
      </w:tr>
      <w:tr w:rsidR="005C57AD" w:rsidRPr="004A64EF" w14:paraId="7C2032A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pct"/>
            <w:hideMark/>
          </w:tcPr>
          <w:p w14:paraId="4A521B44" w14:textId="77777777" w:rsidR="005C57AD" w:rsidRPr="004A64EF" w:rsidRDefault="005C57AD">
            <w:pPr>
              <w:spacing w:before="20" w:after="20" w:line="240" w:lineRule="auto"/>
              <w:contextualSpacing/>
              <w:jc w:val="left"/>
              <w:rPr>
                <w:color w:val="FFFFFF" w:themeColor="background1"/>
                <w:sz w:val="18"/>
              </w:rPr>
            </w:pPr>
            <w:r>
              <w:rPr>
                <w:color w:val="FFFFFF" w:themeColor="background1"/>
                <w:sz w:val="18"/>
              </w:rPr>
              <w:t>Investimet</w:t>
            </w:r>
          </w:p>
        </w:tc>
        <w:tc>
          <w:tcPr>
            <w:tcW w:w="3643" w:type="pct"/>
            <w:hideMark/>
          </w:tcPr>
          <w:p w14:paraId="4AECDE7D" w14:textId="5451BA0B" w:rsidR="005C57AD" w:rsidRPr="004A64EF" w:rsidRDefault="0043352A" w:rsidP="0043352A">
            <w:pPr>
              <w:spacing w:before="20" w:after="20" w:line="240" w:lineRule="auto"/>
              <w:contextualSpacing/>
              <w:jc w:val="left"/>
              <w:cnfStyle w:val="000000100000" w:firstRow="0" w:lastRow="0" w:firstColumn="0" w:lastColumn="0" w:oddVBand="0" w:evenVBand="0" w:oddHBand="1" w:evenHBand="0" w:firstRowFirstColumn="0" w:firstRowLastColumn="0" w:lastRowFirstColumn="0" w:lastRowLastColumn="0"/>
              <w:rPr>
                <w:sz w:val="18"/>
              </w:rPr>
            </w:pPr>
            <w:r>
              <w:rPr>
                <w:sz w:val="18"/>
              </w:rPr>
              <w:t>0.3 mil. euro për kryerjen e studimit të fizibilitetit (Burimi: vlerësimi i ekspertëve)</w:t>
            </w:r>
          </w:p>
        </w:tc>
      </w:tr>
      <w:tr w:rsidR="005C57AD" w:rsidRPr="004A64EF" w14:paraId="4B933C7A" w14:textId="77777777">
        <w:tc>
          <w:tcPr>
            <w:cnfStyle w:val="001000000000" w:firstRow="0" w:lastRow="0" w:firstColumn="1" w:lastColumn="0" w:oddVBand="0" w:evenVBand="0" w:oddHBand="0" w:evenHBand="0" w:firstRowFirstColumn="0" w:firstRowLastColumn="0" w:lastRowFirstColumn="0" w:lastRowLastColumn="0"/>
            <w:tcW w:w="1357" w:type="pct"/>
            <w:hideMark/>
          </w:tcPr>
          <w:p w14:paraId="7A4346CB" w14:textId="77777777" w:rsidR="005C57AD" w:rsidRPr="004A64EF" w:rsidRDefault="005C57AD">
            <w:pPr>
              <w:spacing w:before="20" w:after="20" w:line="240" w:lineRule="auto"/>
              <w:contextualSpacing/>
              <w:jc w:val="left"/>
              <w:rPr>
                <w:color w:val="FFFFFF" w:themeColor="background1"/>
                <w:sz w:val="18"/>
              </w:rPr>
            </w:pPr>
            <w:r>
              <w:rPr>
                <w:color w:val="FFFFFF" w:themeColor="background1"/>
                <w:sz w:val="18"/>
              </w:rPr>
              <w:t>Institucioni përgjegjës</w:t>
            </w:r>
          </w:p>
        </w:tc>
        <w:tc>
          <w:tcPr>
            <w:tcW w:w="3643" w:type="pct"/>
            <w:hideMark/>
          </w:tcPr>
          <w:p w14:paraId="01FFC0C7" w14:textId="77777777" w:rsidR="005C57AD" w:rsidRPr="004A64EF"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ME</w:t>
            </w:r>
          </w:p>
        </w:tc>
      </w:tr>
      <w:tr w:rsidR="005C57AD" w:rsidRPr="004A64EF" w14:paraId="066A1F9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pct"/>
            <w:hideMark/>
          </w:tcPr>
          <w:p w14:paraId="6A83F846" w14:textId="77777777" w:rsidR="005C57AD" w:rsidRPr="004A64EF" w:rsidRDefault="005C57AD">
            <w:pPr>
              <w:spacing w:before="20" w:after="20" w:line="240" w:lineRule="auto"/>
              <w:contextualSpacing/>
              <w:jc w:val="left"/>
              <w:rPr>
                <w:color w:val="FFFFFF" w:themeColor="background1"/>
                <w:sz w:val="18"/>
              </w:rPr>
            </w:pPr>
            <w:r>
              <w:rPr>
                <w:color w:val="FFFFFF" w:themeColor="background1"/>
                <w:sz w:val="18"/>
              </w:rPr>
              <w:t>Treguesit e progresit</w:t>
            </w:r>
          </w:p>
        </w:tc>
        <w:tc>
          <w:tcPr>
            <w:tcW w:w="3643" w:type="pct"/>
            <w:hideMark/>
          </w:tcPr>
          <w:p w14:paraId="63D8921C" w14:textId="77777777" w:rsidR="005C57AD" w:rsidRPr="004A64EF" w:rsidRDefault="005C57AD">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Studimi i fizibilitetit i kryer / pilot projekti i implementuar</w:t>
            </w:r>
          </w:p>
        </w:tc>
      </w:tr>
      <w:tr w:rsidR="005C57AD" w:rsidRPr="00976D33" w14:paraId="46131B9D" w14:textId="77777777">
        <w:tc>
          <w:tcPr>
            <w:cnfStyle w:val="001000000000" w:firstRow="0" w:lastRow="0" w:firstColumn="1" w:lastColumn="0" w:oddVBand="0" w:evenVBand="0" w:oddHBand="0" w:evenHBand="0" w:firstRowFirstColumn="0" w:firstRowLastColumn="0" w:lastRowFirstColumn="0" w:lastRowLastColumn="0"/>
            <w:tcW w:w="1357" w:type="pct"/>
          </w:tcPr>
          <w:p w14:paraId="304B3236" w14:textId="391BB502" w:rsidR="005C57AD" w:rsidRPr="004A64EF" w:rsidRDefault="005C57AD">
            <w:pPr>
              <w:spacing w:before="20" w:after="20" w:line="240" w:lineRule="auto"/>
              <w:contextualSpacing/>
              <w:jc w:val="left"/>
              <w:rPr>
                <w:color w:val="FFFFFF" w:themeColor="background1"/>
                <w:sz w:val="18"/>
              </w:rPr>
            </w:pPr>
            <w:r>
              <w:rPr>
                <w:color w:val="FFFFFF" w:themeColor="background1"/>
                <w:sz w:val="18"/>
              </w:rPr>
              <w:t>Lidhja me dimension</w:t>
            </w:r>
            <w:r w:rsidR="0037748E">
              <w:rPr>
                <w:color w:val="FFFFFF" w:themeColor="background1"/>
                <w:sz w:val="18"/>
              </w:rPr>
              <w:t>et e tjera</w:t>
            </w:r>
          </w:p>
        </w:tc>
        <w:tc>
          <w:tcPr>
            <w:tcW w:w="3643" w:type="pct"/>
          </w:tcPr>
          <w:p w14:paraId="4FD1FE3C" w14:textId="77777777" w:rsidR="005C57AD" w:rsidRPr="00976D33"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Dekarbonizimi, siguria energjetike dhe efiçienca e energjisë</w:t>
            </w:r>
          </w:p>
        </w:tc>
      </w:tr>
    </w:tbl>
    <w:p w14:paraId="66172B60" w14:textId="77777777" w:rsidR="005C57AD" w:rsidRPr="00976D33" w:rsidRDefault="005C57AD" w:rsidP="005C57AD">
      <w:r>
        <w:t xml:space="preserve">Shih gjithashtu PM 48 për instalimin e sistemit të ruajtjes së energjisë përmes baterive. </w:t>
      </w:r>
    </w:p>
    <w:p w14:paraId="21E7FDCF" w14:textId="77777777" w:rsidR="005C57AD" w:rsidRPr="00976D33" w:rsidRDefault="005C57AD" w:rsidP="00AF7BBF">
      <w:pPr>
        <w:pStyle w:val="Heading4"/>
        <w:numPr>
          <w:ilvl w:val="0"/>
          <w:numId w:val="17"/>
        </w:numPr>
      </w:pPr>
      <w:r>
        <w:t>Kur është e aplikueshme, masat për të siguruar pjesëmarrjen jodiskriminuese të energjisë së ripërtëritshme, përgjigjen ndaj kërkesës dhe ruajtjen, duke përfshirë grumbullimin, në të gjitha tregjet energjetike</w:t>
      </w:r>
    </w:p>
    <w:p w14:paraId="5C00B24F" w14:textId="3908AEF6" w:rsidR="005C57AD" w:rsidRPr="00976D33" w:rsidRDefault="005C57AD" w:rsidP="005C57AD">
      <w:r>
        <w:t>Siç është theksuar tashmë në kapitullin 2.4.3., Kosova ka kornizën ligjore dhe rregullative për të siguruar pjesëmarrje jodiskriminuese të energjisë së ripërtëritshme. Megjithatë, është e nevojshme të vazhdohet me marrjen e masave të nevojshme në drejtim të planifikimit dhe zhvillimit të duhur të infrastrukturës së transmisionit dhe distribuimit për të mundësuar dhe garantuar lidhjen dhe funksionimin e kapaciteteve të reja të BRE-ve, si dhe për trajtimin me prioritet dhe në baza jodiskriminuese të kërkesave për kyçje të kapaciteteve të reja të BRE-ve. Përderisa Ligji për Promovimin e Përdorimit të Burimeve të Ripërtëritshme të Energjisë ua jep tashmë këtë mundësi prodhuesve të privilegjuar, kjo nuk është parashikuar ende për të gjithë prodhuesit e BRE-ve.  Masat e tilla mund të zbatohen duke përdorur burimet dhe kapacitetet e brendshme në dispozicion së bashku me mbështetjen ndërkombëtare nga donatorët dhe institucionet përkatëse.</w:t>
      </w:r>
    </w:p>
    <w:p w14:paraId="21C55ED0" w14:textId="77777777" w:rsidR="005C57AD" w:rsidRDefault="005C57AD" w:rsidP="005C57AD">
      <w:r>
        <w:t xml:space="preserve">Për më tepër, marrëveshja për furnizim me shumicë (MFSH) ndërmjet KEK-ut dhe KESCO-s është pengesë për hyrjen në treg të pjesëmarrësve tjerë, duke përfshirë por pa u kufizuar në energjinë e ripërtëritshme, përgjigjen ndaj kërkesës dhe ruajtjen. Largimi i plotë i saj, ndërsa në të njëjtën kohë shqyrtimi i vënies në </w:t>
      </w:r>
      <w:r>
        <w:lastRenderedPageBreak/>
        <w:t>funksion të një mekanizmi të Kontratës për Ndryshimin, është parakusht i domosdoshëm për pjesëmarrjen jodiskriminuese në treg, si dhe integrimin efektiv të tregut me vendet fqinje dhe BE-në.</w:t>
      </w:r>
    </w:p>
    <w:tbl>
      <w:tblPr>
        <w:tblStyle w:val="GridTable5DarkAccent100"/>
        <w:tblW w:w="5000" w:type="pct"/>
        <w:tblLook w:val="04A0" w:firstRow="1" w:lastRow="0" w:firstColumn="1" w:lastColumn="0" w:noHBand="0" w:noVBand="1"/>
      </w:tblPr>
      <w:tblGrid>
        <w:gridCol w:w="2596"/>
        <w:gridCol w:w="6968"/>
      </w:tblGrid>
      <w:tr w:rsidR="005C57AD" w:rsidRPr="004A64EF" w14:paraId="5A4418F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2BD30A6F" w14:textId="6FEE9488" w:rsidR="005C57AD" w:rsidRPr="004A64EF" w:rsidRDefault="005C57AD">
            <w:pPr>
              <w:spacing w:before="20" w:after="20" w:line="240" w:lineRule="auto"/>
              <w:contextualSpacing/>
              <w:rPr>
                <w:color w:val="FFFFFF" w:themeColor="background1"/>
                <w:sz w:val="18"/>
                <w:szCs w:val="18"/>
              </w:rPr>
            </w:pPr>
            <w:bookmarkStart w:id="333" w:name="_Ref138208339"/>
            <w:bookmarkStart w:id="334" w:name="_Toc138210197"/>
            <w:bookmarkStart w:id="335" w:name="_Toc138998498"/>
            <w:r>
              <w:rPr>
                <w:color w:val="FFFFFF" w:themeColor="background1"/>
                <w:sz w:val="18"/>
              </w:rPr>
              <w:t>PM</w:t>
            </w:r>
            <w:bookmarkEnd w:id="333"/>
            <w:r>
              <w:rPr>
                <w:color w:val="FFFFFF" w:themeColor="background1"/>
                <w:sz w:val="18"/>
              </w:rPr>
              <w:t xml:space="preserve"> 62: Largimi i plotë i MFSH-së dhe shqyrtimi i vënies në funksion të kontratës për ndryshimin</w:t>
            </w:r>
            <w:bookmarkEnd w:id="334"/>
            <w:bookmarkEnd w:id="335"/>
            <w:r>
              <w:rPr>
                <w:color w:val="FFFFFF" w:themeColor="background1"/>
                <w:sz w:val="18"/>
              </w:rPr>
              <w:t xml:space="preserve"> </w:t>
            </w:r>
          </w:p>
        </w:tc>
      </w:tr>
      <w:tr w:rsidR="005C57AD" w:rsidRPr="004A64EF" w14:paraId="3AF9D40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017FABDB" w14:textId="77777777" w:rsidR="005C57AD" w:rsidRPr="004A64EF" w:rsidRDefault="005C57AD">
            <w:pPr>
              <w:spacing w:before="20" w:after="20" w:line="240" w:lineRule="auto"/>
              <w:contextualSpacing/>
              <w:rPr>
                <w:b w:val="0"/>
                <w:bCs w:val="0"/>
                <w:color w:val="FFFFFF" w:themeColor="background1"/>
                <w:sz w:val="18"/>
              </w:rPr>
            </w:pPr>
            <w:r>
              <w:rPr>
                <w:color w:val="FFFFFF" w:themeColor="background1"/>
                <w:sz w:val="18"/>
              </w:rPr>
              <w:t>Objektivi:</w:t>
            </w:r>
            <w:r>
              <w:rPr>
                <w:b w:val="0"/>
                <w:color w:val="FFFFFF" w:themeColor="background1"/>
                <w:sz w:val="18"/>
              </w:rPr>
              <w:t xml:space="preserve"> Si palë nënshkruese e Traktatit të Komunitetit të Energjisë, Kosova është e përkushtuar të krijojë mjedisin më të përshtatshëm për zhvillimin e një tregu të lirë, të hapur dhe konkurrues të energjisë. Rritja e konkurrencës në tregjet e shitjes me pakicë të energjisë për të përmirësuar funksionimin e tregut duke krijuar një model tregu konkurrues dhe efikas është çelësi për këtë qëllim. </w:t>
            </w:r>
          </w:p>
          <w:p w14:paraId="19F0B366" w14:textId="77777777" w:rsidR="005C57AD" w:rsidRPr="004A64EF" w:rsidRDefault="005C57AD">
            <w:pPr>
              <w:spacing w:before="20" w:after="20" w:line="240" w:lineRule="auto"/>
              <w:contextualSpacing/>
              <w:rPr>
                <w:b w:val="0"/>
                <w:bCs w:val="0"/>
                <w:color w:val="FFFFFF" w:themeColor="background1"/>
                <w:sz w:val="18"/>
              </w:rPr>
            </w:pPr>
          </w:p>
          <w:p w14:paraId="421F046E" w14:textId="77777777" w:rsidR="005C57AD" w:rsidRPr="004A64EF" w:rsidRDefault="005C57AD">
            <w:pPr>
              <w:spacing w:before="20" w:after="20" w:line="240" w:lineRule="auto"/>
              <w:contextualSpacing/>
              <w:rPr>
                <w:color w:val="FFFFFF" w:themeColor="background1"/>
                <w:sz w:val="18"/>
              </w:rPr>
            </w:pPr>
            <w:r>
              <w:rPr>
                <w:color w:val="FFFFFF" w:themeColor="background1"/>
                <w:sz w:val="18"/>
              </w:rPr>
              <w:t xml:space="preserve">Përshkrimi: </w:t>
            </w:r>
            <w:r>
              <w:rPr>
                <w:b w:val="0"/>
                <w:color w:val="FFFFFF" w:themeColor="background1"/>
                <w:sz w:val="18"/>
              </w:rPr>
              <w:t>Heqja e plotë nga përdorimi i marrëveshjes për furnizim me shumicë (KEK-KESCO) dhe vënia në përdorim e PSV-ve financiare, potencialisht me tenderë për kontratat për ndryshimin (CfD).</w:t>
            </w:r>
            <w:r>
              <w:rPr>
                <w:color w:val="FFFFFF" w:themeColor="background1"/>
                <w:sz w:val="18"/>
              </w:rPr>
              <w:t xml:space="preserve"> </w:t>
            </w:r>
          </w:p>
        </w:tc>
      </w:tr>
      <w:tr w:rsidR="005C57AD" w:rsidRPr="004A64EF" w14:paraId="5DBAE356" w14:textId="77777777">
        <w:tc>
          <w:tcPr>
            <w:cnfStyle w:val="001000000000" w:firstRow="0" w:lastRow="0" w:firstColumn="1" w:lastColumn="0" w:oddVBand="0" w:evenVBand="0" w:oddHBand="0" w:evenHBand="0" w:firstRowFirstColumn="0" w:firstRowLastColumn="0" w:lastRowFirstColumn="0" w:lastRowLastColumn="0"/>
            <w:tcW w:w="1357" w:type="pct"/>
            <w:hideMark/>
          </w:tcPr>
          <w:p w14:paraId="1D47ED75" w14:textId="77777777" w:rsidR="005C57AD" w:rsidRPr="004A64EF" w:rsidRDefault="005C57AD">
            <w:pPr>
              <w:spacing w:before="20" w:after="20" w:line="240" w:lineRule="auto"/>
              <w:contextualSpacing/>
              <w:jc w:val="left"/>
              <w:rPr>
                <w:color w:val="FFFFFF" w:themeColor="background1"/>
                <w:sz w:val="18"/>
                <w:szCs w:val="18"/>
              </w:rPr>
            </w:pPr>
            <w:r>
              <w:rPr>
                <w:color w:val="FFFFFF" w:themeColor="background1"/>
                <w:sz w:val="18"/>
              </w:rPr>
              <w:t>Sektori/lloji</w:t>
            </w:r>
          </w:p>
        </w:tc>
        <w:tc>
          <w:tcPr>
            <w:tcW w:w="3643" w:type="pct"/>
            <w:hideMark/>
          </w:tcPr>
          <w:p w14:paraId="6B6D5DF8" w14:textId="77777777" w:rsidR="005C57AD" w:rsidRPr="004A64EF"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Rregullator</w:t>
            </w:r>
          </w:p>
        </w:tc>
      </w:tr>
      <w:tr w:rsidR="005C57AD" w:rsidRPr="004A64EF" w14:paraId="6E9974A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pct"/>
            <w:hideMark/>
          </w:tcPr>
          <w:p w14:paraId="65B037FA" w14:textId="77777777" w:rsidR="005C57AD" w:rsidRPr="004A64EF" w:rsidRDefault="005C57AD">
            <w:pPr>
              <w:spacing w:before="20" w:after="20" w:line="240" w:lineRule="auto"/>
              <w:contextualSpacing/>
              <w:jc w:val="left"/>
              <w:rPr>
                <w:color w:val="FFFFFF" w:themeColor="background1"/>
                <w:sz w:val="18"/>
              </w:rPr>
            </w:pPr>
            <w:r>
              <w:rPr>
                <w:color w:val="FFFFFF" w:themeColor="background1"/>
                <w:sz w:val="18"/>
              </w:rPr>
              <w:t>Statusi i implementimit</w:t>
            </w:r>
          </w:p>
        </w:tc>
        <w:tc>
          <w:tcPr>
            <w:tcW w:w="3643" w:type="pct"/>
            <w:hideMark/>
          </w:tcPr>
          <w:p w14:paraId="34605494" w14:textId="32BAFC11" w:rsidR="005C57AD" w:rsidRPr="004A64EF" w:rsidRDefault="005C57AD">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 xml:space="preserve">I planifikuar. Është planifikuar një studim mbi barrierat për një treg konkurrues të energjisë elektrike dhe për metodën më të përshtatshme për largimin gradual të marrëveshjes për furnizim me shumicë. Studimi është planifikuar të fillojë në vitin 2026 pas përfundimit të përditësimit të legjislacionit për energjinë elektrike dhe të përfundojë më së voni deri në vitin 2027. </w:t>
            </w:r>
          </w:p>
        </w:tc>
      </w:tr>
      <w:tr w:rsidR="005C57AD" w:rsidRPr="004A64EF" w14:paraId="57C72F94" w14:textId="77777777">
        <w:tc>
          <w:tcPr>
            <w:cnfStyle w:val="001000000000" w:firstRow="0" w:lastRow="0" w:firstColumn="1" w:lastColumn="0" w:oddVBand="0" w:evenVBand="0" w:oddHBand="0" w:evenHBand="0" w:firstRowFirstColumn="0" w:firstRowLastColumn="0" w:lastRowFirstColumn="0" w:lastRowLastColumn="0"/>
            <w:tcW w:w="1357" w:type="pct"/>
            <w:hideMark/>
          </w:tcPr>
          <w:p w14:paraId="101DF28F" w14:textId="77777777" w:rsidR="005C57AD" w:rsidRPr="004A64EF" w:rsidRDefault="005C57AD">
            <w:pPr>
              <w:spacing w:before="20" w:after="20" w:line="240" w:lineRule="auto"/>
              <w:contextualSpacing/>
              <w:jc w:val="left"/>
              <w:rPr>
                <w:color w:val="FFFFFF" w:themeColor="background1"/>
                <w:sz w:val="18"/>
              </w:rPr>
            </w:pPr>
            <w:r>
              <w:rPr>
                <w:color w:val="FFFFFF" w:themeColor="background1"/>
                <w:sz w:val="18"/>
              </w:rPr>
              <w:t>Efektet kuantitative</w:t>
            </w:r>
          </w:p>
        </w:tc>
        <w:tc>
          <w:tcPr>
            <w:tcW w:w="3643" w:type="pct"/>
            <w:hideMark/>
          </w:tcPr>
          <w:p w14:paraId="67EF0607" w14:textId="77777777" w:rsidR="005C57AD" w:rsidRPr="004A64EF"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w:t>
            </w:r>
          </w:p>
        </w:tc>
      </w:tr>
      <w:tr w:rsidR="005C57AD" w:rsidRPr="004A64EF" w14:paraId="26F8EB1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pct"/>
            <w:hideMark/>
          </w:tcPr>
          <w:p w14:paraId="0F793655" w14:textId="77777777" w:rsidR="005C57AD" w:rsidRPr="004A64EF" w:rsidRDefault="005C57AD">
            <w:pPr>
              <w:spacing w:before="20" w:after="20" w:line="240" w:lineRule="auto"/>
              <w:contextualSpacing/>
              <w:jc w:val="left"/>
              <w:rPr>
                <w:color w:val="FFFFFF" w:themeColor="background1"/>
                <w:sz w:val="18"/>
              </w:rPr>
            </w:pPr>
            <w:r>
              <w:rPr>
                <w:color w:val="FFFFFF" w:themeColor="background1"/>
                <w:sz w:val="18"/>
              </w:rPr>
              <w:t>Investimet</w:t>
            </w:r>
          </w:p>
        </w:tc>
        <w:tc>
          <w:tcPr>
            <w:tcW w:w="3643" w:type="pct"/>
            <w:hideMark/>
          </w:tcPr>
          <w:p w14:paraId="38260E21" w14:textId="5960676E" w:rsidR="005C57AD" w:rsidRPr="004A64EF" w:rsidRDefault="005C57AD">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rPr>
              <w:t xml:space="preserve">Për të punuar drejt largimit nga përdorimi të MFSH-së dhe drejt heqjes së barrierave të tjera për funksionimin efektiv të tregut, buxheti i Strategjisë Kombëtare të Energjisë parashikon një total prej rreth 0.17 mil. euro (167,390) të siguruara nga buxheti i Kosovës dhe donatorët dhe do të shpenzohen ndërmjet viteve 2023 dhe 2026. Fondet janë paraparë për hartimin dhe miratimin e ligjeve përkatëse dhe për kryerjen e studimeve mbi pengesat në tregun konkurrues të energjisë elektrike, duke marrë parasysh me kujdes të gjitha opsionet dhe duke pasur parasysh kompleksitetin e marrëveshjeve të MFSH-së. Ka iniciativa të vazhdueshme të mbështetura nga donatorët për të hequr gradualisht nga përdorimi marrëveshjen dhe për të shqyrtuar zbatimin e një kontrate për mekanizmin e ndryshimit. (Burimi: Strategjia Kombëtare e Energjisë)  </w:t>
            </w:r>
          </w:p>
        </w:tc>
      </w:tr>
      <w:tr w:rsidR="005C57AD" w:rsidRPr="004A64EF" w14:paraId="342A1DE3" w14:textId="77777777">
        <w:tc>
          <w:tcPr>
            <w:cnfStyle w:val="001000000000" w:firstRow="0" w:lastRow="0" w:firstColumn="1" w:lastColumn="0" w:oddVBand="0" w:evenVBand="0" w:oddHBand="0" w:evenHBand="0" w:firstRowFirstColumn="0" w:firstRowLastColumn="0" w:lastRowFirstColumn="0" w:lastRowLastColumn="0"/>
            <w:tcW w:w="1357" w:type="pct"/>
            <w:hideMark/>
          </w:tcPr>
          <w:p w14:paraId="3660C3A7" w14:textId="77777777" w:rsidR="005C57AD" w:rsidRPr="004A64EF" w:rsidRDefault="005C57AD">
            <w:pPr>
              <w:spacing w:before="20" w:after="20" w:line="240" w:lineRule="auto"/>
              <w:contextualSpacing/>
              <w:jc w:val="left"/>
              <w:rPr>
                <w:color w:val="FFFFFF" w:themeColor="background1"/>
                <w:sz w:val="18"/>
              </w:rPr>
            </w:pPr>
            <w:r>
              <w:rPr>
                <w:color w:val="FFFFFF" w:themeColor="background1"/>
                <w:sz w:val="18"/>
              </w:rPr>
              <w:t>Institucioni përgjegjës</w:t>
            </w:r>
          </w:p>
        </w:tc>
        <w:tc>
          <w:tcPr>
            <w:tcW w:w="3643" w:type="pct"/>
            <w:hideMark/>
          </w:tcPr>
          <w:p w14:paraId="393EAAC5" w14:textId="77777777" w:rsidR="005C57AD" w:rsidRPr="004A64EF"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ME, KEK, KESCO, KEDS</w:t>
            </w:r>
          </w:p>
        </w:tc>
      </w:tr>
      <w:tr w:rsidR="005C57AD" w:rsidRPr="004A64EF" w14:paraId="12CE691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pct"/>
            <w:hideMark/>
          </w:tcPr>
          <w:p w14:paraId="4EC94A88" w14:textId="77777777" w:rsidR="005C57AD" w:rsidRPr="004A64EF" w:rsidRDefault="005C57AD">
            <w:pPr>
              <w:spacing w:before="20" w:after="20" w:line="240" w:lineRule="auto"/>
              <w:contextualSpacing/>
              <w:jc w:val="left"/>
              <w:rPr>
                <w:color w:val="FFFFFF" w:themeColor="background1"/>
                <w:sz w:val="18"/>
              </w:rPr>
            </w:pPr>
            <w:r>
              <w:rPr>
                <w:color w:val="FFFFFF" w:themeColor="background1"/>
                <w:sz w:val="18"/>
              </w:rPr>
              <w:t>Treguesit e progresit</w:t>
            </w:r>
          </w:p>
        </w:tc>
        <w:tc>
          <w:tcPr>
            <w:tcW w:w="3643" w:type="pct"/>
            <w:hideMark/>
          </w:tcPr>
          <w:p w14:paraId="1B3D1EAC" w14:textId="3C0F9468" w:rsidR="005C57AD" w:rsidRPr="004A64EF" w:rsidRDefault="005C57AD">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Largimi nga përdorimi i MFSH-së</w:t>
            </w:r>
          </w:p>
        </w:tc>
      </w:tr>
      <w:tr w:rsidR="005C57AD" w:rsidRPr="00976D33" w14:paraId="214D8425" w14:textId="77777777">
        <w:tc>
          <w:tcPr>
            <w:cnfStyle w:val="001000000000" w:firstRow="0" w:lastRow="0" w:firstColumn="1" w:lastColumn="0" w:oddVBand="0" w:evenVBand="0" w:oddHBand="0" w:evenHBand="0" w:firstRowFirstColumn="0" w:firstRowLastColumn="0" w:lastRowFirstColumn="0" w:lastRowLastColumn="0"/>
            <w:tcW w:w="1357" w:type="pct"/>
          </w:tcPr>
          <w:p w14:paraId="13A2E244" w14:textId="389EFAF8" w:rsidR="005C57AD" w:rsidRPr="004A64EF" w:rsidRDefault="005C57AD">
            <w:pPr>
              <w:spacing w:before="20" w:after="20" w:line="240" w:lineRule="auto"/>
              <w:contextualSpacing/>
              <w:jc w:val="left"/>
              <w:rPr>
                <w:color w:val="FFFFFF" w:themeColor="background1"/>
                <w:sz w:val="18"/>
              </w:rPr>
            </w:pPr>
            <w:r>
              <w:rPr>
                <w:color w:val="FFFFFF" w:themeColor="background1"/>
                <w:sz w:val="18"/>
              </w:rPr>
              <w:t>Lidhja me dimension</w:t>
            </w:r>
            <w:r w:rsidR="0037748E">
              <w:rPr>
                <w:color w:val="FFFFFF" w:themeColor="background1"/>
                <w:sz w:val="18"/>
              </w:rPr>
              <w:t>et e tjera</w:t>
            </w:r>
          </w:p>
        </w:tc>
        <w:tc>
          <w:tcPr>
            <w:tcW w:w="3643" w:type="pct"/>
          </w:tcPr>
          <w:p w14:paraId="6ACEF9AE" w14:textId="77777777" w:rsidR="005C57AD" w:rsidRPr="00976D33"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w:t>
            </w:r>
          </w:p>
        </w:tc>
      </w:tr>
    </w:tbl>
    <w:p w14:paraId="35D343B4" w14:textId="77777777" w:rsidR="005C57AD" w:rsidRPr="00976D33" w:rsidRDefault="005C57AD" w:rsidP="005C57AD">
      <w:pPr>
        <w:spacing w:before="120"/>
        <w:rPr>
          <w:rFonts w:asciiTheme="minorHAnsi" w:hAnsiTheme="minorHAnsi" w:cstheme="minorHAnsi"/>
          <w:lang w:eastAsia="en-GB"/>
        </w:rPr>
      </w:pPr>
    </w:p>
    <w:tbl>
      <w:tblPr>
        <w:tblW w:w="9599"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601"/>
        <w:gridCol w:w="6998"/>
      </w:tblGrid>
      <w:tr w:rsidR="005C57AD" w:rsidRPr="004A64EF" w14:paraId="1730ADE6" w14:textId="77777777">
        <w:trPr>
          <w:trHeight w:val="227"/>
        </w:trPr>
        <w:tc>
          <w:tcPr>
            <w:tcW w:w="9599" w:type="dxa"/>
            <w:gridSpan w:val="2"/>
            <w:tcBorders>
              <w:top w:val="nil"/>
              <w:left w:val="nil"/>
              <w:right w:val="nil"/>
            </w:tcBorders>
            <w:shd w:val="clear" w:color="auto" w:fill="014F75"/>
          </w:tcPr>
          <w:p w14:paraId="04D91614" w14:textId="58EDC9B3" w:rsidR="005C57AD" w:rsidRPr="004A64EF" w:rsidRDefault="00E2732B">
            <w:pPr>
              <w:pStyle w:val="TableParagraph"/>
              <w:spacing w:before="16" w:line="191" w:lineRule="exact"/>
              <w:ind w:left="105"/>
              <w:rPr>
                <w:rFonts w:asciiTheme="majorHAnsi" w:hAnsiTheme="majorHAnsi" w:cstheme="majorHAnsi"/>
                <w:b/>
                <w:sz w:val="18"/>
                <w:szCs w:val="18"/>
              </w:rPr>
            </w:pPr>
            <w:r>
              <w:rPr>
                <w:rFonts w:asciiTheme="majorHAnsi" w:hAnsiTheme="majorHAnsi"/>
                <w:b/>
                <w:color w:val="FFFFFF"/>
                <w:sz w:val="18"/>
              </w:rPr>
              <w:t>PM 63: Transpozimi i Pakos për Energji të Pastër</w:t>
            </w:r>
          </w:p>
        </w:tc>
      </w:tr>
      <w:tr w:rsidR="005C57AD" w:rsidRPr="004A64EF" w14:paraId="711113CA" w14:textId="77777777" w:rsidTr="1C3A7005">
        <w:trPr>
          <w:trHeight w:val="1443"/>
        </w:trPr>
        <w:tc>
          <w:tcPr>
            <w:tcW w:w="9599" w:type="dxa"/>
            <w:gridSpan w:val="2"/>
            <w:tcBorders>
              <w:left w:val="nil"/>
              <w:bottom w:val="single" w:sz="4" w:space="0" w:color="FFFFFF" w:themeColor="background1"/>
              <w:right w:val="nil"/>
            </w:tcBorders>
            <w:shd w:val="clear" w:color="auto" w:fill="014F75"/>
          </w:tcPr>
          <w:p w14:paraId="418BFF9C" w14:textId="77777777" w:rsidR="005C57AD" w:rsidRPr="004A64EF" w:rsidRDefault="005C57AD">
            <w:pPr>
              <w:pStyle w:val="TableParagraph"/>
              <w:ind w:left="105" w:right="144"/>
              <w:jc w:val="both"/>
              <w:rPr>
                <w:rFonts w:asciiTheme="majorHAnsi" w:hAnsiTheme="majorHAnsi" w:cstheme="majorHAnsi"/>
                <w:sz w:val="18"/>
                <w:szCs w:val="18"/>
              </w:rPr>
            </w:pPr>
            <w:r>
              <w:rPr>
                <w:rFonts w:asciiTheme="majorHAnsi" w:hAnsiTheme="majorHAnsi"/>
                <w:b/>
                <w:color w:val="FFFFFF"/>
                <w:sz w:val="18"/>
              </w:rPr>
              <w:t xml:space="preserve">Objektivi: </w:t>
            </w:r>
            <w:r>
              <w:rPr>
                <w:rFonts w:asciiTheme="majorHAnsi" w:hAnsiTheme="majorHAnsi"/>
                <w:color w:val="FFFFFF"/>
                <w:sz w:val="18"/>
              </w:rPr>
              <w:t>Transpozimi i Pakos për Energji të Pastër, d.m.th. Ligji për Energjinë, Ligji për Energjinë Elektrike dhe Ligji për Rregullatorin e Energjisë me qëllim të transpozimit të kërkesave ligjore dhe rregullatore të Acquis Communautaire të BE-së.</w:t>
            </w:r>
          </w:p>
          <w:p w14:paraId="6B7B379B" w14:textId="1C9CF64B" w:rsidR="005C57AD" w:rsidRPr="004A64EF" w:rsidRDefault="005C57AD">
            <w:pPr>
              <w:pStyle w:val="TableParagraph"/>
              <w:ind w:left="105" w:right="142"/>
              <w:jc w:val="both"/>
              <w:rPr>
                <w:rFonts w:asciiTheme="majorHAnsi" w:hAnsiTheme="majorHAnsi" w:cstheme="majorBidi"/>
                <w:sz w:val="18"/>
                <w:szCs w:val="18"/>
              </w:rPr>
            </w:pPr>
            <w:r>
              <w:rPr>
                <w:rFonts w:asciiTheme="majorHAnsi" w:hAnsiTheme="majorHAnsi"/>
                <w:b/>
                <w:color w:val="FFFFFF" w:themeColor="background1"/>
                <w:sz w:val="18"/>
              </w:rPr>
              <w:t xml:space="preserve">Përshkrimi: </w:t>
            </w:r>
            <w:r>
              <w:rPr>
                <w:rFonts w:asciiTheme="majorHAnsi" w:hAnsiTheme="majorHAnsi"/>
                <w:color w:val="FFFFFF" w:themeColor="background1"/>
                <w:sz w:val="18"/>
              </w:rPr>
              <w:t xml:space="preserve">Në mënyrë që të përafrohet me Pakon për Energji të Pastër të BE-së dhe për të reflektuar ndryshimet dhe përshtatjet e nevojshme në dritën e zhvillimit të një ligji të ri për promovimin e burimeve të ripërtëritshme të energjisë, procesi i transpozimit të ligjeve që rregullojnë sektorin e energjisë në Kosovë është vendimtar, i cili do të krijojë një mjedis edhe më transparent, gjithëpërfshirës dhe jodiskriminues të bazuar në parimet më të mira të përshkruara në Pakon për Energji të Pastër. </w:t>
            </w:r>
          </w:p>
        </w:tc>
      </w:tr>
      <w:tr w:rsidR="005C57AD" w:rsidRPr="004A64EF" w14:paraId="5E6EEDAC" w14:textId="77777777" w:rsidTr="1C3A7005">
        <w:trPr>
          <w:trHeight w:val="210"/>
        </w:trPr>
        <w:tc>
          <w:tcPr>
            <w:tcW w:w="2601" w:type="dxa"/>
            <w:tcBorders>
              <w:top w:val="single" w:sz="4" w:space="0" w:color="FFFFFF" w:themeColor="background1"/>
              <w:left w:val="nil"/>
              <w:bottom w:val="single" w:sz="4" w:space="0" w:color="FFFFFF" w:themeColor="background1"/>
            </w:tcBorders>
            <w:shd w:val="clear" w:color="auto" w:fill="014F75"/>
          </w:tcPr>
          <w:p w14:paraId="37312E89" w14:textId="77777777" w:rsidR="005C57AD" w:rsidRPr="004A64EF" w:rsidRDefault="005C57AD">
            <w:pPr>
              <w:pStyle w:val="TableParagraph"/>
              <w:spacing w:before="1" w:line="189" w:lineRule="exact"/>
              <w:ind w:left="105"/>
              <w:rPr>
                <w:rFonts w:asciiTheme="majorHAnsi" w:hAnsiTheme="majorHAnsi" w:cstheme="majorHAnsi"/>
                <w:b/>
                <w:sz w:val="18"/>
                <w:szCs w:val="18"/>
              </w:rPr>
            </w:pPr>
            <w:r>
              <w:rPr>
                <w:rFonts w:asciiTheme="majorHAnsi" w:hAnsiTheme="majorHAnsi"/>
                <w:b/>
                <w:color w:val="FFFFFF"/>
                <w:sz w:val="18"/>
              </w:rPr>
              <w:t>Sektori/lloji</w:t>
            </w:r>
          </w:p>
        </w:tc>
        <w:tc>
          <w:tcPr>
            <w:tcW w:w="6998" w:type="dxa"/>
            <w:tcBorders>
              <w:top w:val="single" w:sz="4" w:space="0" w:color="FFFFFF" w:themeColor="background1"/>
              <w:bottom w:val="single" w:sz="4" w:space="0" w:color="FFFFFF" w:themeColor="background1"/>
              <w:right w:val="nil"/>
            </w:tcBorders>
            <w:shd w:val="clear" w:color="auto" w:fill="B0E3FC"/>
          </w:tcPr>
          <w:p w14:paraId="74D304E0" w14:textId="77777777" w:rsidR="005C57AD" w:rsidRPr="004A64EF" w:rsidRDefault="005C57AD">
            <w:pPr>
              <w:pStyle w:val="TableParagraph"/>
              <w:spacing w:before="1" w:line="189" w:lineRule="exact"/>
              <w:ind w:left="102"/>
              <w:rPr>
                <w:rFonts w:asciiTheme="majorHAnsi" w:hAnsiTheme="majorHAnsi" w:cstheme="majorHAnsi"/>
                <w:sz w:val="18"/>
                <w:szCs w:val="18"/>
              </w:rPr>
            </w:pPr>
            <w:r>
              <w:rPr>
                <w:rFonts w:asciiTheme="majorHAnsi" w:hAnsiTheme="majorHAnsi"/>
                <w:color w:val="0E0D29"/>
                <w:sz w:val="18"/>
              </w:rPr>
              <w:t>Energjetik/rregullator</w:t>
            </w:r>
          </w:p>
        </w:tc>
      </w:tr>
      <w:tr w:rsidR="005C57AD" w:rsidRPr="004A64EF" w14:paraId="579806CF" w14:textId="77777777" w:rsidTr="1C3A7005">
        <w:trPr>
          <w:trHeight w:val="205"/>
        </w:trPr>
        <w:tc>
          <w:tcPr>
            <w:tcW w:w="2601" w:type="dxa"/>
            <w:tcBorders>
              <w:top w:val="single" w:sz="4" w:space="0" w:color="FFFFFF" w:themeColor="background1"/>
              <w:left w:val="nil"/>
              <w:bottom w:val="single" w:sz="4" w:space="0" w:color="FFFFFF" w:themeColor="background1"/>
            </w:tcBorders>
            <w:shd w:val="clear" w:color="auto" w:fill="014F75"/>
          </w:tcPr>
          <w:p w14:paraId="60A0D9B1" w14:textId="77777777" w:rsidR="005C57AD" w:rsidRPr="004A64EF" w:rsidRDefault="005C57AD">
            <w:pPr>
              <w:pStyle w:val="TableParagraph"/>
              <w:spacing w:before="1" w:line="184" w:lineRule="exact"/>
              <w:ind w:left="105"/>
              <w:rPr>
                <w:rFonts w:asciiTheme="majorHAnsi" w:hAnsiTheme="majorHAnsi" w:cstheme="majorHAnsi"/>
                <w:b/>
                <w:sz w:val="18"/>
                <w:szCs w:val="18"/>
              </w:rPr>
            </w:pPr>
            <w:r>
              <w:rPr>
                <w:rFonts w:asciiTheme="majorHAnsi" w:hAnsiTheme="majorHAnsi"/>
                <w:b/>
                <w:color w:val="FFFFFF"/>
                <w:sz w:val="18"/>
              </w:rPr>
              <w:t>Statusi i implementimit</w:t>
            </w:r>
          </w:p>
        </w:tc>
        <w:tc>
          <w:tcPr>
            <w:tcW w:w="6998" w:type="dxa"/>
            <w:tcBorders>
              <w:top w:val="single" w:sz="4" w:space="0" w:color="FFFFFF" w:themeColor="background1"/>
              <w:bottom w:val="single" w:sz="4" w:space="0" w:color="FFFFFF" w:themeColor="background1"/>
              <w:right w:val="nil"/>
            </w:tcBorders>
            <w:shd w:val="clear" w:color="auto" w:fill="63C8FB"/>
          </w:tcPr>
          <w:p w14:paraId="15CC3EF5" w14:textId="77777777" w:rsidR="005C57AD" w:rsidRPr="004A64EF" w:rsidRDefault="005C57AD">
            <w:pPr>
              <w:pStyle w:val="TableParagraph"/>
              <w:spacing w:before="1" w:line="184" w:lineRule="exact"/>
              <w:ind w:left="102"/>
              <w:rPr>
                <w:rFonts w:asciiTheme="majorHAnsi" w:hAnsiTheme="majorHAnsi" w:cstheme="majorHAnsi"/>
                <w:sz w:val="18"/>
                <w:szCs w:val="18"/>
              </w:rPr>
            </w:pPr>
            <w:r>
              <w:rPr>
                <w:rFonts w:asciiTheme="majorHAnsi" w:hAnsiTheme="majorHAnsi"/>
                <w:color w:val="0E0D29"/>
                <w:sz w:val="18"/>
              </w:rPr>
              <w:t>Në implementim, konsultimet publike kanë përfunduar për Ligjin për Energjinë dhe Ligjin për Energjinë Elektrike, janë pranuar komente nga Sekretariati i Komunitetit të Energjisë; është përgatitur drafti për Ligjin për Rregullatorin e Energjisë, finalizimi dhe miratimi i të gjitha ligjeve të planifikuara deri në fund të vitit 2024, aktet nënligjore do të miratohen deri në fund të vitit 2025</w:t>
            </w:r>
          </w:p>
        </w:tc>
      </w:tr>
      <w:tr w:rsidR="005C57AD" w:rsidRPr="004A64EF" w14:paraId="103B6281" w14:textId="77777777" w:rsidTr="1C3A7005">
        <w:trPr>
          <w:trHeight w:val="415"/>
        </w:trPr>
        <w:tc>
          <w:tcPr>
            <w:tcW w:w="2601" w:type="dxa"/>
            <w:tcBorders>
              <w:top w:val="single" w:sz="4" w:space="0" w:color="FFFFFF" w:themeColor="background1"/>
              <w:left w:val="nil"/>
              <w:bottom w:val="single" w:sz="4" w:space="0" w:color="FFFFFF" w:themeColor="background1"/>
            </w:tcBorders>
            <w:shd w:val="clear" w:color="auto" w:fill="014F75"/>
          </w:tcPr>
          <w:p w14:paraId="7E4A09D0" w14:textId="77777777" w:rsidR="005C57AD" w:rsidRPr="004A64EF" w:rsidRDefault="005C57AD">
            <w:pPr>
              <w:pStyle w:val="TableParagraph"/>
              <w:spacing w:before="1"/>
              <w:ind w:left="105"/>
              <w:rPr>
                <w:rFonts w:asciiTheme="majorHAnsi" w:hAnsiTheme="majorHAnsi" w:cstheme="majorHAnsi"/>
                <w:b/>
                <w:sz w:val="18"/>
                <w:szCs w:val="18"/>
              </w:rPr>
            </w:pPr>
            <w:r>
              <w:rPr>
                <w:rFonts w:asciiTheme="majorHAnsi" w:hAnsiTheme="majorHAnsi"/>
                <w:b/>
                <w:color w:val="FFFFFF"/>
                <w:sz w:val="18"/>
              </w:rPr>
              <w:t>Efektet kuantitative</w:t>
            </w:r>
          </w:p>
        </w:tc>
        <w:tc>
          <w:tcPr>
            <w:tcW w:w="6998" w:type="dxa"/>
            <w:tcBorders>
              <w:top w:val="single" w:sz="4" w:space="0" w:color="FFFFFF" w:themeColor="background1"/>
              <w:bottom w:val="single" w:sz="4" w:space="0" w:color="FFFFFF" w:themeColor="background1"/>
              <w:right w:val="nil"/>
            </w:tcBorders>
            <w:shd w:val="clear" w:color="auto" w:fill="B0E3FC"/>
          </w:tcPr>
          <w:p w14:paraId="79676FDD" w14:textId="77777777" w:rsidR="005C57AD" w:rsidRPr="004A64EF" w:rsidRDefault="005C57AD">
            <w:pPr>
              <w:pStyle w:val="TableParagraph"/>
              <w:spacing w:line="206" w:lineRule="exact"/>
              <w:ind w:left="102" w:right="131"/>
              <w:rPr>
                <w:rFonts w:asciiTheme="majorHAnsi" w:hAnsiTheme="majorHAnsi" w:cstheme="majorHAnsi"/>
                <w:sz w:val="18"/>
                <w:szCs w:val="18"/>
              </w:rPr>
            </w:pPr>
            <w:r>
              <w:rPr>
                <w:rFonts w:asciiTheme="majorHAnsi" w:hAnsiTheme="majorHAnsi"/>
                <w:color w:val="0E0D29"/>
                <w:sz w:val="18"/>
              </w:rPr>
              <w:t xml:space="preserve">NA </w:t>
            </w:r>
          </w:p>
        </w:tc>
      </w:tr>
      <w:tr w:rsidR="005C57AD" w:rsidRPr="004A64EF" w14:paraId="58AEDC61" w14:textId="77777777" w:rsidTr="1C3A7005">
        <w:trPr>
          <w:trHeight w:val="245"/>
        </w:trPr>
        <w:tc>
          <w:tcPr>
            <w:tcW w:w="2601" w:type="dxa"/>
            <w:tcBorders>
              <w:top w:val="single" w:sz="4" w:space="0" w:color="FFFFFF" w:themeColor="background1"/>
              <w:left w:val="nil"/>
              <w:bottom w:val="single" w:sz="4" w:space="0" w:color="FFFFFF" w:themeColor="background1"/>
            </w:tcBorders>
            <w:shd w:val="clear" w:color="auto" w:fill="014F75"/>
          </w:tcPr>
          <w:p w14:paraId="513EB405" w14:textId="77777777" w:rsidR="005C57AD" w:rsidRPr="004A64EF" w:rsidRDefault="005C57AD">
            <w:pPr>
              <w:pStyle w:val="TableParagraph"/>
              <w:spacing w:before="1"/>
              <w:ind w:left="105"/>
              <w:rPr>
                <w:rFonts w:asciiTheme="majorHAnsi" w:hAnsiTheme="majorHAnsi" w:cstheme="majorHAnsi"/>
                <w:b/>
                <w:sz w:val="18"/>
                <w:szCs w:val="18"/>
              </w:rPr>
            </w:pPr>
            <w:r>
              <w:rPr>
                <w:rFonts w:asciiTheme="majorHAnsi" w:hAnsiTheme="majorHAnsi"/>
                <w:b/>
                <w:color w:val="FFFFFF"/>
                <w:sz w:val="18"/>
              </w:rPr>
              <w:t>Investimet</w:t>
            </w:r>
          </w:p>
        </w:tc>
        <w:tc>
          <w:tcPr>
            <w:tcW w:w="6998" w:type="dxa"/>
            <w:tcBorders>
              <w:top w:val="single" w:sz="4" w:space="0" w:color="FFFFFF" w:themeColor="background1"/>
              <w:bottom w:val="single" w:sz="4" w:space="0" w:color="FFFFFF" w:themeColor="background1"/>
              <w:right w:val="nil"/>
            </w:tcBorders>
            <w:shd w:val="clear" w:color="auto" w:fill="63C8FB"/>
          </w:tcPr>
          <w:p w14:paraId="6D8D16C1" w14:textId="45D7D254" w:rsidR="005C57AD" w:rsidRPr="004A64EF" w:rsidRDefault="006D2CFE" w:rsidP="00E2732B">
            <w:pPr>
              <w:pStyle w:val="TableParagraph"/>
              <w:tabs>
                <w:tab w:val="left" w:pos="822"/>
              </w:tabs>
              <w:spacing w:line="225" w:lineRule="exact"/>
              <w:rPr>
                <w:rFonts w:asciiTheme="majorHAnsi" w:hAnsiTheme="majorHAnsi" w:cstheme="majorHAnsi"/>
                <w:sz w:val="18"/>
                <w:szCs w:val="18"/>
              </w:rPr>
            </w:pPr>
            <w:r>
              <w:rPr>
                <w:rFonts w:asciiTheme="majorHAnsi" w:hAnsiTheme="majorHAnsi"/>
                <w:color w:val="0E0D29"/>
                <w:sz w:val="18"/>
              </w:rPr>
              <w:t>0.1 mil. euro në vit në 2024 dhe 2025 për aktivitetet e donatorëve për të mbështetur transpozimin (Burimi: Strategjia Kombëtare e Energjisë)</w:t>
            </w:r>
          </w:p>
        </w:tc>
      </w:tr>
      <w:tr w:rsidR="005C57AD" w:rsidRPr="004A64EF" w14:paraId="2E3E3B5C" w14:textId="77777777" w:rsidTr="1C3A7005">
        <w:trPr>
          <w:trHeight w:val="209"/>
        </w:trPr>
        <w:tc>
          <w:tcPr>
            <w:tcW w:w="2601" w:type="dxa"/>
            <w:tcBorders>
              <w:top w:val="single" w:sz="4" w:space="0" w:color="FFFFFF" w:themeColor="background1"/>
              <w:left w:val="nil"/>
              <w:bottom w:val="single" w:sz="4" w:space="0" w:color="FFFFFF" w:themeColor="background1"/>
            </w:tcBorders>
            <w:shd w:val="clear" w:color="auto" w:fill="014F75"/>
          </w:tcPr>
          <w:p w14:paraId="47494F3A" w14:textId="77777777" w:rsidR="005C57AD" w:rsidRPr="004A64EF" w:rsidRDefault="005C57AD">
            <w:pPr>
              <w:pStyle w:val="TableParagraph"/>
              <w:spacing w:before="1" w:line="189" w:lineRule="exact"/>
              <w:ind w:left="105"/>
              <w:rPr>
                <w:rFonts w:asciiTheme="majorHAnsi" w:hAnsiTheme="majorHAnsi" w:cstheme="majorHAnsi"/>
                <w:b/>
                <w:sz w:val="18"/>
                <w:szCs w:val="18"/>
              </w:rPr>
            </w:pPr>
            <w:r>
              <w:rPr>
                <w:rFonts w:asciiTheme="majorHAnsi" w:hAnsiTheme="majorHAnsi"/>
                <w:b/>
                <w:color w:val="FFFFFF"/>
                <w:sz w:val="18"/>
              </w:rPr>
              <w:t>Institucioni përgjegjës</w:t>
            </w:r>
          </w:p>
        </w:tc>
        <w:tc>
          <w:tcPr>
            <w:tcW w:w="6998" w:type="dxa"/>
            <w:tcBorders>
              <w:top w:val="single" w:sz="4" w:space="0" w:color="FFFFFF" w:themeColor="background1"/>
              <w:bottom w:val="single" w:sz="4" w:space="0" w:color="FFFFFF" w:themeColor="background1"/>
              <w:right w:val="nil"/>
            </w:tcBorders>
            <w:shd w:val="clear" w:color="auto" w:fill="B0E3FC"/>
          </w:tcPr>
          <w:p w14:paraId="627143AD" w14:textId="77777777" w:rsidR="005C57AD" w:rsidRPr="004A64EF" w:rsidRDefault="005C57AD">
            <w:pPr>
              <w:pStyle w:val="TableParagraph"/>
              <w:spacing w:before="1" w:line="189" w:lineRule="exact"/>
              <w:ind w:left="152"/>
              <w:rPr>
                <w:rFonts w:asciiTheme="majorHAnsi" w:hAnsiTheme="majorHAnsi" w:cstheme="majorHAnsi"/>
                <w:sz w:val="18"/>
                <w:szCs w:val="18"/>
              </w:rPr>
            </w:pPr>
            <w:r>
              <w:rPr>
                <w:rFonts w:asciiTheme="majorHAnsi" w:hAnsiTheme="majorHAnsi"/>
                <w:color w:val="0E0D29"/>
                <w:sz w:val="18"/>
              </w:rPr>
              <w:t>ME, ZRRE, KOSTT, KEDS</w:t>
            </w:r>
          </w:p>
        </w:tc>
      </w:tr>
      <w:tr w:rsidR="005C57AD" w:rsidRPr="004A64EF" w14:paraId="16B16056" w14:textId="77777777" w:rsidTr="1C3A7005">
        <w:trPr>
          <w:trHeight w:val="415"/>
        </w:trPr>
        <w:tc>
          <w:tcPr>
            <w:tcW w:w="2601" w:type="dxa"/>
            <w:tcBorders>
              <w:top w:val="single" w:sz="4" w:space="0" w:color="FFFFFF" w:themeColor="background1"/>
              <w:left w:val="nil"/>
              <w:bottom w:val="single" w:sz="4" w:space="0" w:color="FFFFFF" w:themeColor="background1"/>
            </w:tcBorders>
            <w:shd w:val="clear" w:color="auto" w:fill="014F75"/>
          </w:tcPr>
          <w:p w14:paraId="24780766" w14:textId="77777777" w:rsidR="005C57AD" w:rsidRPr="004A64EF" w:rsidRDefault="005C57AD">
            <w:pPr>
              <w:pStyle w:val="TableParagraph"/>
              <w:spacing w:before="1"/>
              <w:ind w:left="105"/>
              <w:rPr>
                <w:rFonts w:asciiTheme="majorHAnsi" w:hAnsiTheme="majorHAnsi" w:cstheme="majorHAnsi"/>
                <w:b/>
                <w:sz w:val="18"/>
                <w:szCs w:val="18"/>
              </w:rPr>
            </w:pPr>
            <w:r>
              <w:rPr>
                <w:rFonts w:asciiTheme="majorHAnsi" w:hAnsiTheme="majorHAnsi"/>
                <w:b/>
                <w:color w:val="FFFFFF"/>
                <w:sz w:val="18"/>
              </w:rPr>
              <w:t>Treguesit e progresit</w:t>
            </w:r>
          </w:p>
        </w:tc>
        <w:tc>
          <w:tcPr>
            <w:tcW w:w="6998" w:type="dxa"/>
            <w:tcBorders>
              <w:top w:val="single" w:sz="4" w:space="0" w:color="FFFFFF" w:themeColor="background1"/>
              <w:bottom w:val="single" w:sz="4" w:space="0" w:color="FFFFFF" w:themeColor="background1"/>
              <w:right w:val="nil"/>
            </w:tcBorders>
            <w:shd w:val="clear" w:color="auto" w:fill="63C8FB"/>
          </w:tcPr>
          <w:p w14:paraId="2BC098C4" w14:textId="77777777" w:rsidR="005C57AD" w:rsidRPr="004A64EF" w:rsidRDefault="005C57AD">
            <w:pPr>
              <w:pStyle w:val="TableParagraph"/>
              <w:spacing w:line="206" w:lineRule="exact"/>
              <w:ind w:left="102"/>
              <w:rPr>
                <w:rFonts w:asciiTheme="majorHAnsi" w:hAnsiTheme="majorHAnsi" w:cstheme="majorHAnsi"/>
                <w:sz w:val="18"/>
                <w:szCs w:val="18"/>
              </w:rPr>
            </w:pPr>
            <w:r>
              <w:rPr>
                <w:rFonts w:asciiTheme="majorHAnsi" w:hAnsiTheme="majorHAnsi"/>
                <w:color w:val="0E0D29"/>
                <w:sz w:val="18"/>
              </w:rPr>
              <w:t>Kompletimi i legjislacionit të transpozuar në dispozicion</w:t>
            </w:r>
          </w:p>
        </w:tc>
      </w:tr>
      <w:tr w:rsidR="005C57AD" w:rsidRPr="00976D33" w14:paraId="388C2B99" w14:textId="77777777" w:rsidTr="1C3A7005">
        <w:trPr>
          <w:trHeight w:val="410"/>
        </w:trPr>
        <w:tc>
          <w:tcPr>
            <w:tcW w:w="2601" w:type="dxa"/>
            <w:tcBorders>
              <w:top w:val="single" w:sz="4" w:space="0" w:color="FFFFFF" w:themeColor="background1"/>
              <w:left w:val="nil"/>
              <w:bottom w:val="nil"/>
            </w:tcBorders>
            <w:shd w:val="clear" w:color="auto" w:fill="014F75"/>
          </w:tcPr>
          <w:p w14:paraId="2DC98182" w14:textId="4232037F" w:rsidR="005C57AD" w:rsidRPr="004A64EF" w:rsidRDefault="005C57AD">
            <w:pPr>
              <w:pStyle w:val="TableParagraph"/>
              <w:spacing w:line="206" w:lineRule="exact"/>
              <w:ind w:left="105" w:right="848"/>
              <w:rPr>
                <w:rFonts w:asciiTheme="majorHAnsi" w:hAnsiTheme="majorHAnsi" w:cstheme="majorHAnsi"/>
                <w:b/>
                <w:sz w:val="18"/>
                <w:szCs w:val="18"/>
              </w:rPr>
            </w:pPr>
            <w:r>
              <w:rPr>
                <w:rFonts w:asciiTheme="majorHAnsi" w:hAnsiTheme="majorHAnsi"/>
                <w:b/>
                <w:color w:val="FFFFFF"/>
                <w:sz w:val="18"/>
              </w:rPr>
              <w:t>Lidhja me dimension</w:t>
            </w:r>
            <w:r w:rsidR="0037748E">
              <w:rPr>
                <w:rFonts w:asciiTheme="majorHAnsi" w:hAnsiTheme="majorHAnsi"/>
                <w:b/>
                <w:color w:val="FFFFFF"/>
                <w:sz w:val="18"/>
              </w:rPr>
              <w:t>et e tjera</w:t>
            </w:r>
          </w:p>
        </w:tc>
        <w:tc>
          <w:tcPr>
            <w:tcW w:w="6998" w:type="dxa"/>
            <w:tcBorders>
              <w:top w:val="single" w:sz="4" w:space="0" w:color="FFFFFF" w:themeColor="background1"/>
              <w:bottom w:val="nil"/>
              <w:right w:val="nil"/>
            </w:tcBorders>
            <w:shd w:val="clear" w:color="auto" w:fill="B0E3FC"/>
          </w:tcPr>
          <w:p w14:paraId="267A2FE5" w14:textId="77777777" w:rsidR="005C57AD" w:rsidRPr="00976D33" w:rsidRDefault="005C57AD">
            <w:pPr>
              <w:pStyle w:val="TableParagraph"/>
              <w:spacing w:before="1"/>
              <w:ind w:left="102"/>
              <w:rPr>
                <w:rFonts w:asciiTheme="majorHAnsi" w:hAnsiTheme="majorHAnsi" w:cstheme="majorHAnsi"/>
                <w:sz w:val="18"/>
                <w:szCs w:val="18"/>
              </w:rPr>
            </w:pPr>
            <w:r>
              <w:rPr>
                <w:rFonts w:asciiTheme="majorHAnsi" w:hAnsiTheme="majorHAnsi"/>
                <w:color w:val="0E0D29"/>
                <w:sz w:val="18"/>
              </w:rPr>
              <w:t>Siguria energjetike, dekarbonizimi, efiçienca e energjisë</w:t>
            </w:r>
          </w:p>
        </w:tc>
      </w:tr>
    </w:tbl>
    <w:p w14:paraId="74716A64" w14:textId="77777777" w:rsidR="005C57AD" w:rsidRDefault="005C57AD" w:rsidP="005C57AD">
      <w:pPr>
        <w:spacing w:before="120"/>
        <w:rPr>
          <w:rFonts w:asciiTheme="minorHAnsi" w:hAnsiTheme="minorHAnsi"/>
          <w:lang w:eastAsia="en-GB"/>
        </w:rPr>
      </w:pPr>
    </w:p>
    <w:p w14:paraId="24B4E904" w14:textId="77777777" w:rsidR="00FE486A" w:rsidRPr="00976D33" w:rsidRDefault="00FE486A" w:rsidP="005C57AD">
      <w:pPr>
        <w:spacing w:before="120"/>
        <w:rPr>
          <w:rFonts w:asciiTheme="minorHAnsi" w:hAnsiTheme="minorHAnsi"/>
          <w:lang w:eastAsia="en-GB"/>
        </w:rPr>
      </w:pPr>
    </w:p>
    <w:p w14:paraId="56A39FF3" w14:textId="77777777" w:rsidR="005C57AD" w:rsidRPr="00976D33" w:rsidRDefault="005C57AD" w:rsidP="00AF7BBF">
      <w:pPr>
        <w:pStyle w:val="Heading4"/>
        <w:numPr>
          <w:ilvl w:val="0"/>
          <w:numId w:val="17"/>
        </w:numPr>
      </w:pPr>
      <w:r>
        <w:lastRenderedPageBreak/>
        <w:t>Politikat dhe masat për të mbrojtur konsumatorët, veçanërisht konsumatorët e cenueshëm dhe, aty ku është e aplikueshme, konsumatorët e varfër me energji, dhe për të përmirësuar konkurrencën dhe konkurrueshmërinë e tregut të energjisë me pakicë</w:t>
      </w:r>
    </w:p>
    <w:p w14:paraId="7B6F413B" w14:textId="1CF3B4B6" w:rsidR="005C57AD" w:rsidRPr="00FE486A" w:rsidRDefault="005C57AD" w:rsidP="005C57AD">
      <w:r>
        <w:t xml:space="preserve">Politikat dhe masat e Kosovës për mbrojtjen e konsumatorëve janë adresuar mirë në ligjet dhe rregulloret aktuale të energjisë. Këto përcaktime përfshijnë të gjitha aspektet që kanë të bëjnë me të drejtën për kyçje, caktimin e furnizuesit të mundësisë së fundit, trajtimin e drejtë dhe jodiskriminues në furnizimin me energji nga furnizuesit, të drejtën për të ndryshuar furnizuesin me procedura të thjeshtuara, furnizimin e garantuar, shërbimin e furnizimit universal, e kështu me radhë. </w:t>
      </w:r>
    </w:p>
    <w:p w14:paraId="76266858" w14:textId="77777777" w:rsidR="005C57AD" w:rsidRPr="00976D33" w:rsidRDefault="005C57AD" w:rsidP="005C57AD">
      <w:pPr>
        <w:pStyle w:val="Heading4"/>
        <w:rPr>
          <w:rFonts w:eastAsia="Times New Roman" w:cstheme="minorHAnsi"/>
        </w:rPr>
      </w:pPr>
      <w:r>
        <w:t>Përshkrimi i masave për të mundësuar dhe zhvilluar përgjigjen ndaj kërkesës, duke përfshirë ato që trajtojnë tarifat për të mbështetur çmimet dinamike</w:t>
      </w:r>
    </w:p>
    <w:tbl>
      <w:tblPr>
        <w:tblStyle w:val="GridTable5DarkAccent100"/>
        <w:tblW w:w="0" w:type="auto"/>
        <w:tblLook w:val="04A0" w:firstRow="1" w:lastRow="0" w:firstColumn="1" w:lastColumn="0" w:noHBand="0" w:noVBand="1"/>
      </w:tblPr>
      <w:tblGrid>
        <w:gridCol w:w="2425"/>
        <w:gridCol w:w="7139"/>
      </w:tblGrid>
      <w:tr w:rsidR="005C57AD" w:rsidRPr="004A64EF" w14:paraId="0DA681B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hideMark/>
          </w:tcPr>
          <w:p w14:paraId="3A7DF82C" w14:textId="33068585" w:rsidR="005C57AD" w:rsidRPr="004A64EF" w:rsidRDefault="005C57AD">
            <w:pPr>
              <w:spacing w:before="20" w:after="20" w:line="240" w:lineRule="auto"/>
              <w:contextualSpacing/>
              <w:rPr>
                <w:b w:val="0"/>
                <w:bCs w:val="0"/>
                <w:color w:val="FFFFFF" w:themeColor="background1"/>
                <w:sz w:val="18"/>
              </w:rPr>
            </w:pPr>
            <w:bookmarkStart w:id="336" w:name="_Toc138210198"/>
            <w:bookmarkStart w:id="337" w:name="_Toc138998499"/>
            <w:r>
              <w:rPr>
                <w:color w:val="FFFFFF" w:themeColor="background1"/>
                <w:sz w:val="18"/>
              </w:rPr>
              <w:t>PM 64: Sigurimi i disponueshmërisë së kontratave dinamike të çmimit të energjisë elektrike në përputhje me Direktivën (BE) 2019/944 për të nxitur fleksibilitetin e kërkesës</w:t>
            </w:r>
            <w:bookmarkEnd w:id="336"/>
            <w:bookmarkEnd w:id="337"/>
          </w:p>
        </w:tc>
      </w:tr>
      <w:tr w:rsidR="005C57AD" w:rsidRPr="004A64EF" w14:paraId="66C3DD1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4" w:type="dxa"/>
            <w:gridSpan w:val="2"/>
            <w:hideMark/>
          </w:tcPr>
          <w:p w14:paraId="47CBC34B" w14:textId="003479E0" w:rsidR="005C57AD" w:rsidRPr="004A64EF" w:rsidRDefault="005C57AD">
            <w:pPr>
              <w:spacing w:before="20" w:after="20" w:line="240" w:lineRule="auto"/>
              <w:contextualSpacing/>
              <w:rPr>
                <w:b w:val="0"/>
                <w:bCs w:val="0"/>
                <w:color w:val="FFFFFF" w:themeColor="background1"/>
                <w:sz w:val="18"/>
              </w:rPr>
            </w:pPr>
            <w:r>
              <w:rPr>
                <w:color w:val="FFFFFF" w:themeColor="background1"/>
                <w:sz w:val="18"/>
              </w:rPr>
              <w:t>Objektivi:</w:t>
            </w:r>
            <w:r>
              <w:rPr>
                <w:b w:val="0"/>
                <w:color w:val="FFFFFF" w:themeColor="background1"/>
                <w:sz w:val="18"/>
              </w:rPr>
              <w:t xml:space="preserve"> Stimulimi i fleksibilitetit të kërkesës</w:t>
            </w:r>
            <w:r>
              <w:rPr>
                <w:color w:val="FFFFFF" w:themeColor="background1"/>
                <w:sz w:val="18"/>
              </w:rPr>
              <w:t xml:space="preserve">. </w:t>
            </w:r>
          </w:p>
          <w:p w14:paraId="6F0FDE59" w14:textId="77777777" w:rsidR="005C57AD" w:rsidRPr="004A64EF" w:rsidRDefault="005C57AD">
            <w:pPr>
              <w:spacing w:before="20" w:after="20" w:line="240" w:lineRule="auto"/>
              <w:contextualSpacing/>
              <w:rPr>
                <w:b w:val="0"/>
                <w:bCs w:val="0"/>
                <w:color w:val="FFFFFF" w:themeColor="background1"/>
                <w:sz w:val="18"/>
              </w:rPr>
            </w:pPr>
          </w:p>
          <w:p w14:paraId="4ED1EED2" w14:textId="4C1C9B5B" w:rsidR="005C57AD" w:rsidRPr="004A64EF" w:rsidRDefault="005C57AD">
            <w:pPr>
              <w:spacing w:before="20" w:after="20" w:line="240" w:lineRule="auto"/>
              <w:contextualSpacing/>
              <w:rPr>
                <w:b w:val="0"/>
                <w:bCs w:val="0"/>
                <w:color w:val="FFFFFF" w:themeColor="background1"/>
                <w:sz w:val="18"/>
              </w:rPr>
            </w:pPr>
            <w:r>
              <w:rPr>
                <w:color w:val="FFFFFF" w:themeColor="background1"/>
                <w:sz w:val="18"/>
              </w:rPr>
              <w:t xml:space="preserve">Përshkrimi: </w:t>
            </w:r>
            <w:r>
              <w:rPr>
                <w:b w:val="0"/>
                <w:color w:val="FFFFFF" w:themeColor="background1"/>
                <w:sz w:val="18"/>
              </w:rPr>
              <w:t xml:space="preserve">Kontratat dinamike të çmimeve të energjisë elektrike (tarifat kohore të përdorimit) mund të inkurajojnë konsumatorët të shtyjnë kërkesën për energji elektrike në kohën kur gjenerimi i energjisë së ripërtëritshme është i përhapur, rrjeti është më pak i ngarkuar dhe/ose çmimet janë të ulëta. Mund të mundësojë karikimin inteligjent të automjeteve elektrike, funksionimin fleksibil të pompave të nxehtësisë, ngrohëseve rezervë me energji elektrike dhe gaz, si dhe funksionimin fleksibil të konsumatorëve industrialë. Instalimi i njehsorëve inteligjentë do të ishte i nevojshëm për të mundësuar faturimin në bazë të kohës së përdorimit. </w:t>
            </w:r>
            <w:r>
              <w:rPr>
                <w:rFonts w:asciiTheme="majorHAnsi" w:hAnsiTheme="majorHAnsi"/>
                <w:b w:val="0"/>
                <w:color w:val="FFFFFF" w:themeColor="background1"/>
                <w:sz w:val="18"/>
              </w:rPr>
              <w:t>Kosova synon të sigurojë disponueshmërinë e kontratave dinamike të çmimeve të energjisë elektrike në përputhje me Direktivën (BE) 2019/944 përmes transpozimit të Paketës së Energjisë së Pastër (shih PM 63).</w:t>
            </w:r>
            <w:r>
              <w:rPr>
                <w:rFonts w:asciiTheme="majorHAnsi" w:hAnsiTheme="majorHAnsi"/>
                <w:color w:val="FFFFFF" w:themeColor="background1"/>
                <w:sz w:val="18"/>
              </w:rPr>
              <w:t xml:space="preserve"> </w:t>
            </w:r>
            <w:r>
              <w:rPr>
                <w:b w:val="0"/>
                <w:color w:val="FFFFFF"/>
                <w:sz w:val="18"/>
              </w:rPr>
              <w:t>Familjet me orare dhe përgjegjësi të ndryshme, të ndikuara nga rolet gjinore, përjetojnë përfitime dhe sfida të ndryshme nga strukturat dinamike të çmimeve. Këto shqetësime mund të adresohen, për shembull, nëpërmjet mekanizmave mbështetës ose nxitës për të siguruar që të gjitha familjet të mund të përfitojnë në mënyrë të barabartë nga çmimi dinamik.</w:t>
            </w:r>
          </w:p>
        </w:tc>
      </w:tr>
      <w:tr w:rsidR="005C57AD" w:rsidRPr="004A64EF" w14:paraId="6704A505" w14:textId="77777777">
        <w:tc>
          <w:tcPr>
            <w:cnfStyle w:val="001000000000" w:firstRow="0" w:lastRow="0" w:firstColumn="1" w:lastColumn="0" w:oddVBand="0" w:evenVBand="0" w:oddHBand="0" w:evenHBand="0" w:firstRowFirstColumn="0" w:firstRowLastColumn="0" w:lastRowFirstColumn="0" w:lastRowLastColumn="0"/>
            <w:tcW w:w="2425" w:type="dxa"/>
            <w:hideMark/>
          </w:tcPr>
          <w:p w14:paraId="03064774" w14:textId="77777777" w:rsidR="005C57AD" w:rsidRPr="004A64EF" w:rsidRDefault="005C57AD">
            <w:pPr>
              <w:spacing w:before="20" w:after="20" w:line="240" w:lineRule="auto"/>
              <w:contextualSpacing/>
              <w:rPr>
                <w:color w:val="FFFFFF" w:themeColor="background1"/>
                <w:sz w:val="18"/>
                <w:szCs w:val="18"/>
              </w:rPr>
            </w:pPr>
            <w:r>
              <w:rPr>
                <w:color w:val="FFFFFF" w:themeColor="background1"/>
                <w:sz w:val="18"/>
              </w:rPr>
              <w:t>Sektori/lloji</w:t>
            </w:r>
          </w:p>
        </w:tc>
        <w:tc>
          <w:tcPr>
            <w:tcW w:w="7139" w:type="dxa"/>
            <w:hideMark/>
          </w:tcPr>
          <w:p w14:paraId="22EFDD2C" w14:textId="77777777" w:rsidR="005C57AD" w:rsidRPr="004A64EF"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Energjetik/teknik</w:t>
            </w:r>
          </w:p>
        </w:tc>
      </w:tr>
      <w:tr w:rsidR="005C57AD" w:rsidRPr="004A64EF" w14:paraId="69D48B2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14:paraId="383B9EF6" w14:textId="77777777" w:rsidR="005C57AD" w:rsidRPr="004A64EF" w:rsidRDefault="005C57AD">
            <w:pPr>
              <w:spacing w:before="20" w:after="20" w:line="240" w:lineRule="auto"/>
              <w:contextualSpacing/>
              <w:rPr>
                <w:color w:val="FFFFFF" w:themeColor="background1"/>
                <w:sz w:val="18"/>
              </w:rPr>
            </w:pPr>
            <w:r>
              <w:rPr>
                <w:color w:val="FFFFFF" w:themeColor="background1"/>
                <w:sz w:val="18"/>
              </w:rPr>
              <w:t>Statusi i implementimit</w:t>
            </w:r>
          </w:p>
        </w:tc>
        <w:tc>
          <w:tcPr>
            <w:tcW w:w="7139" w:type="dxa"/>
            <w:hideMark/>
          </w:tcPr>
          <w:p w14:paraId="624E1DA7" w14:textId="4DA696F5" w:rsidR="005C57AD" w:rsidRPr="004A64EF" w:rsidRDefault="005C57AD">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 xml:space="preserve">Në implementim: Miratimi i Ligjit për Energjinë Elektrike do të sigurojë bazën ligjore për vënien në përdorim e kontratave dinamike të çmimeve të energjisë elektrike në përputhje me nenin 11 të Direktivës (BE) 2019/944 mbi rregullat e përbashkëta për tregun e brendshëm të energjisë elektrike. </w:t>
            </w:r>
          </w:p>
        </w:tc>
      </w:tr>
      <w:tr w:rsidR="005C57AD" w:rsidRPr="004A64EF" w14:paraId="30BF862F" w14:textId="77777777">
        <w:tc>
          <w:tcPr>
            <w:cnfStyle w:val="001000000000" w:firstRow="0" w:lastRow="0" w:firstColumn="1" w:lastColumn="0" w:oddVBand="0" w:evenVBand="0" w:oddHBand="0" w:evenHBand="0" w:firstRowFirstColumn="0" w:firstRowLastColumn="0" w:lastRowFirstColumn="0" w:lastRowLastColumn="0"/>
            <w:tcW w:w="2425" w:type="dxa"/>
            <w:hideMark/>
          </w:tcPr>
          <w:p w14:paraId="19EB17D5" w14:textId="77777777" w:rsidR="005C57AD" w:rsidRPr="004A64EF" w:rsidRDefault="005C57AD">
            <w:pPr>
              <w:spacing w:before="20" w:after="20" w:line="240" w:lineRule="auto"/>
              <w:contextualSpacing/>
              <w:rPr>
                <w:color w:val="FFFFFF" w:themeColor="background1"/>
                <w:sz w:val="18"/>
              </w:rPr>
            </w:pPr>
            <w:r>
              <w:rPr>
                <w:color w:val="FFFFFF" w:themeColor="background1"/>
                <w:sz w:val="18"/>
              </w:rPr>
              <w:t>Efektet kuantitative</w:t>
            </w:r>
          </w:p>
        </w:tc>
        <w:tc>
          <w:tcPr>
            <w:tcW w:w="7139" w:type="dxa"/>
            <w:hideMark/>
          </w:tcPr>
          <w:p w14:paraId="6AFE16D9" w14:textId="77777777" w:rsidR="005C57AD" w:rsidRPr="004A64EF"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Nuk ka</w:t>
            </w:r>
          </w:p>
        </w:tc>
      </w:tr>
      <w:tr w:rsidR="005C57AD" w:rsidRPr="004A64EF" w14:paraId="4D80652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14:paraId="3E8B7C96" w14:textId="77777777" w:rsidR="005C57AD" w:rsidRPr="004A64EF" w:rsidRDefault="005C57AD">
            <w:pPr>
              <w:spacing w:before="20" w:after="20" w:line="240" w:lineRule="auto"/>
              <w:contextualSpacing/>
              <w:rPr>
                <w:color w:val="FFFFFF" w:themeColor="background1"/>
                <w:sz w:val="18"/>
              </w:rPr>
            </w:pPr>
            <w:r>
              <w:rPr>
                <w:color w:val="FFFFFF" w:themeColor="background1"/>
                <w:sz w:val="18"/>
              </w:rPr>
              <w:t>Investimet</w:t>
            </w:r>
          </w:p>
        </w:tc>
        <w:tc>
          <w:tcPr>
            <w:tcW w:w="7139" w:type="dxa"/>
            <w:hideMark/>
          </w:tcPr>
          <w:p w14:paraId="08375339" w14:textId="77777777" w:rsidR="005C57AD" w:rsidRPr="004A64EF" w:rsidRDefault="005C57AD">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Nuk ka</w:t>
            </w:r>
          </w:p>
        </w:tc>
      </w:tr>
      <w:tr w:rsidR="005C57AD" w:rsidRPr="004A64EF" w14:paraId="4278ED85" w14:textId="77777777">
        <w:tc>
          <w:tcPr>
            <w:cnfStyle w:val="001000000000" w:firstRow="0" w:lastRow="0" w:firstColumn="1" w:lastColumn="0" w:oddVBand="0" w:evenVBand="0" w:oddHBand="0" w:evenHBand="0" w:firstRowFirstColumn="0" w:firstRowLastColumn="0" w:lastRowFirstColumn="0" w:lastRowLastColumn="0"/>
            <w:tcW w:w="2425" w:type="dxa"/>
            <w:hideMark/>
          </w:tcPr>
          <w:p w14:paraId="51B68DBF" w14:textId="77777777" w:rsidR="005C57AD" w:rsidRPr="004A64EF" w:rsidRDefault="005C57AD">
            <w:pPr>
              <w:spacing w:before="20" w:after="20" w:line="240" w:lineRule="auto"/>
              <w:contextualSpacing/>
              <w:rPr>
                <w:color w:val="FFFFFF" w:themeColor="background1"/>
                <w:sz w:val="18"/>
              </w:rPr>
            </w:pPr>
            <w:r>
              <w:rPr>
                <w:color w:val="FFFFFF" w:themeColor="background1"/>
                <w:sz w:val="18"/>
              </w:rPr>
              <w:t>Institucioni përgjegjës</w:t>
            </w:r>
          </w:p>
        </w:tc>
        <w:tc>
          <w:tcPr>
            <w:tcW w:w="7139" w:type="dxa"/>
            <w:hideMark/>
          </w:tcPr>
          <w:p w14:paraId="6368B1C6" w14:textId="77777777" w:rsidR="005C57AD" w:rsidRPr="004A64EF"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ME</w:t>
            </w:r>
          </w:p>
        </w:tc>
      </w:tr>
      <w:tr w:rsidR="005C57AD" w:rsidRPr="004A64EF" w14:paraId="14FE19D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14:paraId="343CD312" w14:textId="77777777" w:rsidR="005C57AD" w:rsidRPr="004A64EF" w:rsidRDefault="005C57AD">
            <w:pPr>
              <w:spacing w:before="20" w:after="20" w:line="240" w:lineRule="auto"/>
              <w:contextualSpacing/>
              <w:rPr>
                <w:color w:val="FFFFFF" w:themeColor="background1"/>
                <w:sz w:val="18"/>
              </w:rPr>
            </w:pPr>
            <w:r>
              <w:rPr>
                <w:color w:val="FFFFFF" w:themeColor="background1"/>
                <w:sz w:val="18"/>
              </w:rPr>
              <w:t>Treguesit e progresit</w:t>
            </w:r>
          </w:p>
        </w:tc>
        <w:tc>
          <w:tcPr>
            <w:tcW w:w="7139" w:type="dxa"/>
            <w:hideMark/>
          </w:tcPr>
          <w:p w14:paraId="1C7A2585" w14:textId="77777777" w:rsidR="005C57AD" w:rsidRPr="004A64EF" w:rsidRDefault="005C57AD">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Numri i tarifave dinamike në bazë të kohës së përdorimit të ofruara. Reduktimi i kërkesës maksimale (zhvendosja e kërkesës për energji elektrike nga ekonomitë familjare dhe/ose industria)</w:t>
            </w:r>
          </w:p>
        </w:tc>
      </w:tr>
      <w:tr w:rsidR="005C57AD" w:rsidRPr="00976D33" w14:paraId="7528A4B2" w14:textId="77777777">
        <w:tc>
          <w:tcPr>
            <w:cnfStyle w:val="001000000000" w:firstRow="0" w:lastRow="0" w:firstColumn="1" w:lastColumn="0" w:oddVBand="0" w:evenVBand="0" w:oddHBand="0" w:evenHBand="0" w:firstRowFirstColumn="0" w:firstRowLastColumn="0" w:lastRowFirstColumn="0" w:lastRowLastColumn="0"/>
            <w:tcW w:w="2425" w:type="dxa"/>
          </w:tcPr>
          <w:p w14:paraId="7331FB42" w14:textId="53972144" w:rsidR="005C57AD" w:rsidRPr="004A64EF" w:rsidRDefault="005C57AD" w:rsidP="00D60392">
            <w:pPr>
              <w:spacing w:before="20" w:after="20" w:line="240" w:lineRule="auto"/>
              <w:contextualSpacing/>
              <w:jc w:val="left"/>
              <w:rPr>
                <w:color w:val="FFFFFF" w:themeColor="background1"/>
                <w:sz w:val="18"/>
              </w:rPr>
            </w:pPr>
            <w:r>
              <w:rPr>
                <w:color w:val="FFFFFF" w:themeColor="background1"/>
                <w:sz w:val="18"/>
              </w:rPr>
              <w:t>Lidhja me dimension</w:t>
            </w:r>
            <w:r w:rsidR="0037748E">
              <w:rPr>
                <w:color w:val="FFFFFF" w:themeColor="background1"/>
                <w:sz w:val="18"/>
              </w:rPr>
              <w:t>et e tjera</w:t>
            </w:r>
          </w:p>
        </w:tc>
        <w:tc>
          <w:tcPr>
            <w:tcW w:w="7139" w:type="dxa"/>
          </w:tcPr>
          <w:p w14:paraId="5F810EFB" w14:textId="77777777" w:rsidR="005C57AD" w:rsidRPr="00976D33" w:rsidRDefault="005C57AD">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Dekarbonizimi, siguria energjetike</w:t>
            </w:r>
          </w:p>
        </w:tc>
      </w:tr>
    </w:tbl>
    <w:p w14:paraId="334347FC" w14:textId="77777777" w:rsidR="005C57AD" w:rsidRPr="00976D33" w:rsidRDefault="005C57AD" w:rsidP="005C57AD">
      <w:pPr>
        <w:pStyle w:val="Heading3"/>
      </w:pPr>
      <w:bookmarkStart w:id="338" w:name="_Toc182302305"/>
      <w:r>
        <w:t>Varfëria energjetike</w:t>
      </w:r>
      <w:bookmarkEnd w:id="338"/>
      <w:r>
        <w:t xml:space="preserve"> </w:t>
      </w:r>
    </w:p>
    <w:p w14:paraId="372D6A2F" w14:textId="77777777" w:rsidR="005C57AD" w:rsidRPr="00976D33" w:rsidRDefault="005C57AD" w:rsidP="00AF7BBF">
      <w:pPr>
        <w:pStyle w:val="Heading4"/>
        <w:numPr>
          <w:ilvl w:val="0"/>
          <w:numId w:val="18"/>
        </w:numPr>
      </w:pPr>
      <w:r>
        <w:t xml:space="preserve">Kur është e aplikueshme, politikat dhe masat për arritjen e objektivave të përcaktuara në pikën 2.4.4 </w:t>
      </w:r>
    </w:p>
    <w:p w14:paraId="644F6C88" w14:textId="77777777" w:rsidR="005C57AD" w:rsidRPr="00976D33" w:rsidRDefault="005C57AD" w:rsidP="005C57AD">
      <w:r>
        <w:t>Kur është e aplikueshme, politikat dhe masat për arritjen e objektivave të përcaktuara në pikën 2.4.4</w:t>
      </w:r>
    </w:p>
    <w:p w14:paraId="560386FB" w14:textId="7777EAFF" w:rsidR="005C57AD" w:rsidRPr="00976D33" w:rsidRDefault="005C57AD" w:rsidP="005C57AD">
      <w:r>
        <w:t xml:space="preserve">Për të arritur objektivin e varfërisë energjetike, janë identifikuar dy masa, të përshkruara në tabelën e mëposhtme. Përderisa ende nuk ka një përkufizim të qartë të varfërisë energjetike apo të dhëna që ndërlidhën me të që mund të shërbejnë për të përcaktuar shtrirjen e problemit në Kosovë, duhet theksuar se niveli i varfërisë si i tillë është tashmë shumë i lartë në Kosovë, dhe po kështu është edhe numri. të konsumatorëve të energjisë në nevojë. Për ta trajtuar këtë në një mënyrë të bazuar në prova, hapi tjetër është përgatitja e një përkufizimi ligjor, të shoqëruar me një regjistër gjithëpërfshirës. </w:t>
      </w:r>
    </w:p>
    <w:tbl>
      <w:tblPr>
        <w:tblStyle w:val="GridTable5DarkAccent100"/>
        <w:tblW w:w="5000" w:type="pct"/>
        <w:tblLook w:val="04A0" w:firstRow="1" w:lastRow="0" w:firstColumn="1" w:lastColumn="0" w:noHBand="0" w:noVBand="1"/>
      </w:tblPr>
      <w:tblGrid>
        <w:gridCol w:w="2596"/>
        <w:gridCol w:w="6968"/>
      </w:tblGrid>
      <w:tr w:rsidR="005C57AD" w:rsidRPr="004A64EF" w14:paraId="165A8D6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605E2266" w14:textId="6DE9D17D" w:rsidR="005C57AD" w:rsidRPr="004A64EF" w:rsidRDefault="005C57AD">
            <w:pPr>
              <w:spacing w:before="20" w:after="20" w:line="240" w:lineRule="auto"/>
              <w:rPr>
                <w:color w:val="FFFFFF" w:themeColor="background1"/>
                <w:sz w:val="18"/>
              </w:rPr>
            </w:pPr>
            <w:bookmarkStart w:id="339" w:name="_Ref138208134"/>
            <w:bookmarkStart w:id="340" w:name="_Toc138210199"/>
            <w:bookmarkStart w:id="341" w:name="_Toc138998500"/>
            <w:r>
              <w:rPr>
                <w:color w:val="FFFFFF" w:themeColor="background1"/>
                <w:sz w:val="18"/>
              </w:rPr>
              <w:t>PM</w:t>
            </w:r>
            <w:bookmarkEnd w:id="339"/>
            <w:r>
              <w:rPr>
                <w:color w:val="FFFFFF" w:themeColor="background1"/>
                <w:sz w:val="18"/>
              </w:rPr>
              <w:t xml:space="preserve"> 65: Zhvillimi i një përkufizimi ligjor për konsumatorët e cenueshëm të energjisë elektrike dhe krijimi i një regjistri gjithëpërfshirës bazuar në këtë përkufizim.</w:t>
            </w:r>
            <w:bookmarkEnd w:id="340"/>
            <w:bookmarkEnd w:id="341"/>
          </w:p>
        </w:tc>
      </w:tr>
      <w:tr w:rsidR="005C57AD" w:rsidRPr="004A64EF" w14:paraId="01CD7DD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79D880AE" w14:textId="46EC4B9E" w:rsidR="005C57AD" w:rsidRPr="004A64EF" w:rsidRDefault="005C57AD">
            <w:pPr>
              <w:spacing w:before="20" w:after="20" w:line="240" w:lineRule="auto"/>
              <w:rPr>
                <w:b w:val="0"/>
                <w:color w:val="FFFFFF" w:themeColor="background1"/>
                <w:sz w:val="18"/>
              </w:rPr>
            </w:pPr>
            <w:r>
              <w:rPr>
                <w:color w:val="FFFFFF" w:themeColor="background1"/>
                <w:sz w:val="18"/>
              </w:rPr>
              <w:t>Objektivi:</w:t>
            </w:r>
            <w:r>
              <w:rPr>
                <w:b w:val="0"/>
                <w:color w:val="FFFFFF" w:themeColor="background1"/>
                <w:sz w:val="18"/>
              </w:rPr>
              <w:t xml:space="preserve"> </w:t>
            </w:r>
            <w:r>
              <w:rPr>
                <w:b w:val="0"/>
                <w:color w:val="FFFFFF"/>
                <w:sz w:val="18"/>
              </w:rPr>
              <w:t xml:space="preserve">Zhvillimi i një përkufizimi ligjor të konsumatorëve të cenueshëm të energjisë elektrike që merr parasysh rrethanat socio-ekonomike dhe identitetin socio-demografik të qytetarëve, si dhe faktorët strukturorë dhe hapësinorë, do të lejojë identifikimin efikas dhe krijimin e një regjistri gjithëpërfshirës të konsumatorëve të cenueshëm t energjisë elektrike. </w:t>
            </w:r>
            <w:r w:rsidRPr="00FC0E1D">
              <w:rPr>
                <w:b w:val="0"/>
                <w:color w:val="FFFFFF"/>
                <w:sz w:val="18"/>
              </w:rPr>
              <w:t>Në bazë të këtij regjistri, programet e mbështetjes që synojnë zbutjen e varfërisë energjetike mund të shenjëstrojnë në mënyrë më aktive konsumatorët, duke siguruar mbulimin e të gjithë individëve/familjeve në rrezik të varfërisë energjetike.</w:t>
            </w:r>
          </w:p>
        </w:tc>
      </w:tr>
      <w:tr w:rsidR="005C57AD" w:rsidRPr="004A64EF" w14:paraId="2B26332B" w14:textId="77777777">
        <w:tc>
          <w:tcPr>
            <w:cnfStyle w:val="001000000000" w:firstRow="0" w:lastRow="0" w:firstColumn="1" w:lastColumn="0" w:oddVBand="0" w:evenVBand="0" w:oddHBand="0" w:evenHBand="0" w:firstRowFirstColumn="0" w:firstRowLastColumn="0" w:lastRowFirstColumn="0" w:lastRowLastColumn="0"/>
            <w:tcW w:w="1357" w:type="pct"/>
            <w:hideMark/>
          </w:tcPr>
          <w:p w14:paraId="43614080" w14:textId="77777777" w:rsidR="005C57AD" w:rsidRPr="004A64EF" w:rsidRDefault="005C57AD">
            <w:pPr>
              <w:spacing w:before="20" w:after="20" w:line="240" w:lineRule="auto"/>
              <w:jc w:val="left"/>
              <w:rPr>
                <w:color w:val="FFFFFF" w:themeColor="background1"/>
                <w:sz w:val="18"/>
              </w:rPr>
            </w:pPr>
            <w:r>
              <w:rPr>
                <w:color w:val="FFFFFF" w:themeColor="background1"/>
                <w:sz w:val="18"/>
              </w:rPr>
              <w:lastRenderedPageBreak/>
              <w:t>Sektori/lloji</w:t>
            </w:r>
          </w:p>
        </w:tc>
        <w:tc>
          <w:tcPr>
            <w:tcW w:w="3643" w:type="pct"/>
            <w:hideMark/>
          </w:tcPr>
          <w:p w14:paraId="04F44C77" w14:textId="1D0D2816" w:rsidR="005C57AD" w:rsidRPr="004A64EF" w:rsidRDefault="005C57AD">
            <w:pPr>
              <w:spacing w:before="20" w:after="20" w:line="240" w:lineRule="auto"/>
              <w:cnfStyle w:val="000000000000" w:firstRow="0" w:lastRow="0" w:firstColumn="0" w:lastColumn="0" w:oddVBand="0" w:evenVBand="0" w:oddHBand="0" w:evenHBand="0" w:firstRowFirstColumn="0" w:firstRowLastColumn="0" w:lastRowFirstColumn="0" w:lastRowLastColumn="0"/>
              <w:rPr>
                <w:sz w:val="18"/>
              </w:rPr>
            </w:pPr>
            <w:r>
              <w:rPr>
                <w:sz w:val="18"/>
              </w:rPr>
              <w:t>Rregullator, hulumtues</w:t>
            </w:r>
          </w:p>
        </w:tc>
      </w:tr>
      <w:tr w:rsidR="005C57AD" w:rsidRPr="004A64EF" w14:paraId="3450D26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pct"/>
            <w:hideMark/>
          </w:tcPr>
          <w:p w14:paraId="7385CC77" w14:textId="77777777" w:rsidR="005C57AD" w:rsidRPr="004A64EF" w:rsidRDefault="005C57AD">
            <w:pPr>
              <w:spacing w:before="20" w:after="20" w:line="240" w:lineRule="auto"/>
              <w:jc w:val="left"/>
              <w:rPr>
                <w:color w:val="FFFFFF" w:themeColor="background1"/>
                <w:sz w:val="18"/>
              </w:rPr>
            </w:pPr>
            <w:r>
              <w:rPr>
                <w:color w:val="FFFFFF" w:themeColor="background1"/>
                <w:sz w:val="18"/>
              </w:rPr>
              <w:t>Statusi i implementimit</w:t>
            </w:r>
          </w:p>
        </w:tc>
        <w:tc>
          <w:tcPr>
            <w:tcW w:w="3643" w:type="pct"/>
            <w:hideMark/>
          </w:tcPr>
          <w:p w14:paraId="6F01D4E2" w14:textId="77777777" w:rsidR="005C57AD" w:rsidRPr="004A64EF" w:rsidRDefault="005C57AD">
            <w:pPr>
              <w:spacing w:before="20" w:after="20" w:line="240" w:lineRule="auto"/>
              <w:cnfStyle w:val="000000100000" w:firstRow="0" w:lastRow="0" w:firstColumn="0" w:lastColumn="0" w:oddVBand="0" w:evenVBand="0" w:oddHBand="1" w:evenHBand="0" w:firstRowFirstColumn="0" w:firstRowLastColumn="0" w:lastRowFirstColumn="0" w:lastRowLastColumn="0"/>
              <w:rPr>
                <w:sz w:val="18"/>
              </w:rPr>
            </w:pPr>
            <w:r>
              <w:rPr>
                <w:sz w:val="18"/>
              </w:rPr>
              <w:t>Planifikuar</w:t>
            </w:r>
          </w:p>
        </w:tc>
      </w:tr>
      <w:tr w:rsidR="005C57AD" w:rsidRPr="004A64EF" w14:paraId="6DEC9606" w14:textId="77777777">
        <w:tc>
          <w:tcPr>
            <w:cnfStyle w:val="001000000000" w:firstRow="0" w:lastRow="0" w:firstColumn="1" w:lastColumn="0" w:oddVBand="0" w:evenVBand="0" w:oddHBand="0" w:evenHBand="0" w:firstRowFirstColumn="0" w:firstRowLastColumn="0" w:lastRowFirstColumn="0" w:lastRowLastColumn="0"/>
            <w:tcW w:w="1357" w:type="pct"/>
            <w:hideMark/>
          </w:tcPr>
          <w:p w14:paraId="1BA53781" w14:textId="77777777" w:rsidR="005C57AD" w:rsidRPr="004A64EF" w:rsidRDefault="005C57AD">
            <w:pPr>
              <w:spacing w:before="20" w:after="20" w:line="240" w:lineRule="auto"/>
              <w:jc w:val="left"/>
              <w:rPr>
                <w:color w:val="FFFFFF" w:themeColor="background1"/>
                <w:sz w:val="18"/>
              </w:rPr>
            </w:pPr>
            <w:r>
              <w:rPr>
                <w:color w:val="FFFFFF" w:themeColor="background1"/>
                <w:sz w:val="18"/>
              </w:rPr>
              <w:t>Efektet kuantitative</w:t>
            </w:r>
          </w:p>
        </w:tc>
        <w:tc>
          <w:tcPr>
            <w:tcW w:w="3643" w:type="pct"/>
            <w:hideMark/>
          </w:tcPr>
          <w:p w14:paraId="2C4F012B" w14:textId="77777777" w:rsidR="005C57AD" w:rsidRPr="004A64EF" w:rsidRDefault="005C57AD">
            <w:pPr>
              <w:spacing w:before="20" w:after="20" w:line="240" w:lineRule="auto"/>
              <w:cnfStyle w:val="000000000000" w:firstRow="0" w:lastRow="0" w:firstColumn="0" w:lastColumn="0" w:oddVBand="0" w:evenVBand="0" w:oddHBand="0" w:evenHBand="0" w:firstRowFirstColumn="0" w:firstRowLastColumn="0" w:lastRowFirstColumn="0" w:lastRowLastColumn="0"/>
              <w:rPr>
                <w:sz w:val="18"/>
              </w:rPr>
            </w:pPr>
            <w:r>
              <w:rPr>
                <w:sz w:val="18"/>
              </w:rPr>
              <w:t>/</w:t>
            </w:r>
          </w:p>
        </w:tc>
      </w:tr>
      <w:tr w:rsidR="005C57AD" w:rsidRPr="004A64EF" w14:paraId="1555A40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pct"/>
            <w:hideMark/>
          </w:tcPr>
          <w:p w14:paraId="2844685B" w14:textId="77777777" w:rsidR="005C57AD" w:rsidRPr="004A64EF" w:rsidRDefault="005C57AD">
            <w:pPr>
              <w:spacing w:before="20" w:after="20" w:line="240" w:lineRule="auto"/>
              <w:jc w:val="left"/>
              <w:rPr>
                <w:color w:val="FFFFFF" w:themeColor="background1"/>
                <w:sz w:val="18"/>
              </w:rPr>
            </w:pPr>
            <w:r>
              <w:rPr>
                <w:color w:val="FFFFFF" w:themeColor="background1"/>
                <w:sz w:val="18"/>
              </w:rPr>
              <w:t>Investimet</w:t>
            </w:r>
          </w:p>
        </w:tc>
        <w:tc>
          <w:tcPr>
            <w:tcW w:w="3643" w:type="pct"/>
            <w:hideMark/>
          </w:tcPr>
          <w:p w14:paraId="63642E6B" w14:textId="370C2D9C" w:rsidR="005C57AD" w:rsidRPr="004A64EF" w:rsidRDefault="00A543E9">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0.13 mil. euro për zhvillimin e një përkufizimi ligjor në vitin 2025 dhe 2026 (Burimi: Vlerësimi i ekspertëve)</w:t>
            </w:r>
          </w:p>
        </w:tc>
      </w:tr>
      <w:tr w:rsidR="005C57AD" w:rsidRPr="004A64EF" w14:paraId="782CB5C5" w14:textId="77777777">
        <w:tc>
          <w:tcPr>
            <w:cnfStyle w:val="001000000000" w:firstRow="0" w:lastRow="0" w:firstColumn="1" w:lastColumn="0" w:oddVBand="0" w:evenVBand="0" w:oddHBand="0" w:evenHBand="0" w:firstRowFirstColumn="0" w:firstRowLastColumn="0" w:lastRowFirstColumn="0" w:lastRowLastColumn="0"/>
            <w:tcW w:w="1357" w:type="pct"/>
            <w:hideMark/>
          </w:tcPr>
          <w:p w14:paraId="11825C44" w14:textId="77777777" w:rsidR="005C57AD" w:rsidRPr="004A64EF" w:rsidRDefault="005C57AD">
            <w:pPr>
              <w:spacing w:before="20" w:after="20" w:line="240" w:lineRule="auto"/>
              <w:jc w:val="left"/>
              <w:rPr>
                <w:color w:val="FFFFFF" w:themeColor="background1"/>
                <w:sz w:val="18"/>
              </w:rPr>
            </w:pPr>
            <w:r>
              <w:rPr>
                <w:color w:val="FFFFFF" w:themeColor="background1"/>
                <w:sz w:val="18"/>
              </w:rPr>
              <w:t>Institucioni përgjegjës</w:t>
            </w:r>
          </w:p>
        </w:tc>
        <w:tc>
          <w:tcPr>
            <w:tcW w:w="3643" w:type="pct"/>
            <w:hideMark/>
          </w:tcPr>
          <w:p w14:paraId="511A4743" w14:textId="77777777" w:rsidR="005C57AD" w:rsidRPr="004A64EF" w:rsidRDefault="005C57AD">
            <w:pPr>
              <w:spacing w:before="20" w:after="20" w:line="240" w:lineRule="auto"/>
              <w:cnfStyle w:val="000000000000" w:firstRow="0" w:lastRow="0" w:firstColumn="0" w:lastColumn="0" w:oddVBand="0" w:evenVBand="0" w:oddHBand="0" w:evenHBand="0" w:firstRowFirstColumn="0" w:firstRowLastColumn="0" w:lastRowFirstColumn="0" w:lastRowLastColumn="0"/>
              <w:rPr>
                <w:sz w:val="18"/>
              </w:rPr>
            </w:pPr>
            <w:r>
              <w:rPr>
                <w:sz w:val="18"/>
              </w:rPr>
              <w:t>MFPT, ME</w:t>
            </w:r>
          </w:p>
        </w:tc>
      </w:tr>
      <w:tr w:rsidR="005C57AD" w:rsidRPr="004A64EF" w14:paraId="4513E91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pct"/>
            <w:hideMark/>
          </w:tcPr>
          <w:p w14:paraId="66463E00" w14:textId="77777777" w:rsidR="005C57AD" w:rsidRPr="004A64EF" w:rsidRDefault="005C57AD">
            <w:pPr>
              <w:spacing w:before="20" w:after="20" w:line="240" w:lineRule="auto"/>
              <w:jc w:val="left"/>
              <w:rPr>
                <w:color w:val="FFFFFF" w:themeColor="background1"/>
                <w:sz w:val="18"/>
              </w:rPr>
            </w:pPr>
            <w:r>
              <w:rPr>
                <w:color w:val="FFFFFF" w:themeColor="background1"/>
                <w:sz w:val="18"/>
              </w:rPr>
              <w:t>Treguesit e progresit</w:t>
            </w:r>
          </w:p>
        </w:tc>
        <w:tc>
          <w:tcPr>
            <w:tcW w:w="3643" w:type="pct"/>
            <w:hideMark/>
          </w:tcPr>
          <w:p w14:paraId="2FC57485" w14:textId="131AD28A" w:rsidR="005C57AD" w:rsidRPr="004A64EF" w:rsidRDefault="005C57AD">
            <w:pPr>
              <w:spacing w:before="20" w:after="20" w:line="240" w:lineRule="auto"/>
              <w:cnfStyle w:val="000000100000" w:firstRow="0" w:lastRow="0" w:firstColumn="0" w:lastColumn="0" w:oddVBand="0" w:evenVBand="0" w:oddHBand="1" w:evenHBand="0" w:firstRowFirstColumn="0" w:firstRowLastColumn="0" w:lastRowFirstColumn="0" w:lastRowLastColumn="0"/>
              <w:rPr>
                <w:sz w:val="18"/>
              </w:rPr>
            </w:pPr>
            <w:r>
              <w:rPr>
                <w:sz w:val="18"/>
              </w:rPr>
              <w:t>Formalizimi i një përkufizimi ligjor për konsumatorët në nevojë të energjisë elektrike, fillimi i krijimit të një regjistri dhe finalizimi i zbatimit të tij</w:t>
            </w:r>
          </w:p>
        </w:tc>
      </w:tr>
      <w:tr w:rsidR="005C57AD" w:rsidRPr="00976D33" w14:paraId="3DCF4012" w14:textId="77777777">
        <w:tc>
          <w:tcPr>
            <w:cnfStyle w:val="001000000000" w:firstRow="0" w:lastRow="0" w:firstColumn="1" w:lastColumn="0" w:oddVBand="0" w:evenVBand="0" w:oddHBand="0" w:evenHBand="0" w:firstRowFirstColumn="0" w:firstRowLastColumn="0" w:lastRowFirstColumn="0" w:lastRowLastColumn="0"/>
            <w:tcW w:w="1357" w:type="pct"/>
          </w:tcPr>
          <w:p w14:paraId="27E1B182" w14:textId="35A58744" w:rsidR="005C57AD" w:rsidRPr="004A64EF" w:rsidRDefault="005C57AD">
            <w:pPr>
              <w:spacing w:before="20" w:after="20" w:line="240" w:lineRule="auto"/>
              <w:jc w:val="left"/>
              <w:rPr>
                <w:color w:val="FFFFFF" w:themeColor="background1"/>
                <w:sz w:val="18"/>
              </w:rPr>
            </w:pPr>
            <w:r>
              <w:rPr>
                <w:color w:val="FFFFFF" w:themeColor="background1"/>
                <w:sz w:val="18"/>
              </w:rPr>
              <w:t>Lidhja me dimension</w:t>
            </w:r>
            <w:r w:rsidR="0037748E">
              <w:rPr>
                <w:color w:val="FFFFFF" w:themeColor="background1"/>
                <w:sz w:val="18"/>
              </w:rPr>
              <w:t>et e tjera</w:t>
            </w:r>
          </w:p>
        </w:tc>
        <w:tc>
          <w:tcPr>
            <w:tcW w:w="3643" w:type="pct"/>
          </w:tcPr>
          <w:p w14:paraId="18638AC4" w14:textId="77777777" w:rsidR="005C57AD" w:rsidRPr="00976D33" w:rsidRDefault="005C57AD">
            <w:pPr>
              <w:spacing w:before="20" w:after="20" w:line="240" w:lineRule="auto"/>
              <w:cnfStyle w:val="000000000000" w:firstRow="0" w:lastRow="0" w:firstColumn="0" w:lastColumn="0" w:oddVBand="0" w:evenVBand="0" w:oddHBand="0" w:evenHBand="0" w:firstRowFirstColumn="0" w:firstRowLastColumn="0" w:lastRowFirstColumn="0" w:lastRowLastColumn="0"/>
              <w:rPr>
                <w:sz w:val="18"/>
              </w:rPr>
            </w:pPr>
            <w:r>
              <w:rPr>
                <w:sz w:val="18"/>
              </w:rPr>
              <w:t>Siguria energjetike</w:t>
            </w:r>
          </w:p>
        </w:tc>
      </w:tr>
    </w:tbl>
    <w:p w14:paraId="52D9B539" w14:textId="77777777" w:rsidR="005C57AD" w:rsidRDefault="005C57AD" w:rsidP="005969E0">
      <w:pPr>
        <w:spacing w:before="60" w:after="60" w:line="259" w:lineRule="auto"/>
        <w:jc w:val="left"/>
        <w:rPr>
          <w:sz w:val="10"/>
          <w:szCs w:val="10"/>
        </w:rPr>
      </w:pPr>
    </w:p>
    <w:p w14:paraId="720DD1B1" w14:textId="77777777" w:rsidR="00FF705C" w:rsidRDefault="00FF705C" w:rsidP="005969E0">
      <w:pPr>
        <w:spacing w:before="60" w:after="60" w:line="259" w:lineRule="auto"/>
        <w:jc w:val="left"/>
        <w:rPr>
          <w:sz w:val="10"/>
          <w:szCs w:val="10"/>
        </w:rPr>
      </w:pPr>
    </w:p>
    <w:p w14:paraId="5CDE8EC0" w14:textId="77777777" w:rsidR="00FF705C" w:rsidRPr="00976D33" w:rsidRDefault="00FF705C" w:rsidP="005969E0">
      <w:pPr>
        <w:spacing w:before="60" w:after="60" w:line="259" w:lineRule="auto"/>
        <w:jc w:val="left"/>
        <w:rPr>
          <w:sz w:val="10"/>
          <w:szCs w:val="10"/>
        </w:rPr>
      </w:pPr>
    </w:p>
    <w:tbl>
      <w:tblPr>
        <w:tblStyle w:val="GridTable5DarkAccent100"/>
        <w:tblW w:w="5000" w:type="pct"/>
        <w:tblLook w:val="04A0" w:firstRow="1" w:lastRow="0" w:firstColumn="1" w:lastColumn="0" w:noHBand="0" w:noVBand="1"/>
      </w:tblPr>
      <w:tblGrid>
        <w:gridCol w:w="2596"/>
        <w:gridCol w:w="6968"/>
      </w:tblGrid>
      <w:tr w:rsidR="005C57AD" w:rsidRPr="004A64EF" w14:paraId="751AD1D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050A3EE0" w14:textId="01AC3646" w:rsidR="005C57AD" w:rsidRPr="004A64EF" w:rsidRDefault="00E2732B">
            <w:pPr>
              <w:spacing w:before="20" w:after="20" w:line="240" w:lineRule="auto"/>
              <w:rPr>
                <w:color w:val="FFFFFF" w:themeColor="background1"/>
                <w:sz w:val="18"/>
              </w:rPr>
            </w:pPr>
            <w:r>
              <w:rPr>
                <w:color w:val="FFFFFF" w:themeColor="background1"/>
                <w:sz w:val="18"/>
              </w:rPr>
              <w:t>PM 66: Zbatimi i skemave të reja mbështetëse të dedikuara për konsumatorët e cenueshëm të energjisë e elektrike</w:t>
            </w:r>
          </w:p>
        </w:tc>
      </w:tr>
      <w:tr w:rsidR="005C57AD" w:rsidRPr="004A64EF" w14:paraId="11C647E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39DB3BF2" w14:textId="6B95205F" w:rsidR="005C57AD" w:rsidRPr="004A64EF" w:rsidRDefault="005C57AD">
            <w:pPr>
              <w:spacing w:before="20" w:after="20" w:line="240" w:lineRule="auto"/>
              <w:rPr>
                <w:color w:val="FFFFFF" w:themeColor="background1"/>
                <w:sz w:val="18"/>
              </w:rPr>
            </w:pPr>
            <w:r>
              <w:rPr>
                <w:color w:val="FFFFFF" w:themeColor="background1"/>
                <w:sz w:val="18"/>
              </w:rPr>
              <w:t>Objektivi: Mbështetja e konsumatorëve të cenushëm të energjisë elektrike dhe mbrojtja e tyre nga efektet e rritjes së pritshme të çmimeve në mes të liberalizimit të mëtejshëm të tregut</w:t>
            </w:r>
          </w:p>
          <w:p w14:paraId="2A978496" w14:textId="30665986" w:rsidR="005C57AD" w:rsidRPr="004A64EF" w:rsidRDefault="005C57AD">
            <w:pPr>
              <w:spacing w:before="20" w:after="20" w:line="240" w:lineRule="auto"/>
              <w:rPr>
                <w:b w:val="0"/>
                <w:bCs w:val="0"/>
                <w:color w:val="FFFFFF" w:themeColor="background1"/>
                <w:sz w:val="18"/>
              </w:rPr>
            </w:pPr>
            <w:r>
              <w:rPr>
                <w:b w:val="0"/>
                <w:color w:val="FFFFFF" w:themeColor="background1"/>
                <w:sz w:val="18"/>
              </w:rPr>
              <w:t>Zëvendësimi i skemës ekzistuese të mbështetjes për të rritur efikasitetin e shpërndarjes së saj përmes një shënjestrimit më të mirë dhe reduktimit të varësisë nga skema e mbështetjes, për shembull për konsumatorët jo të cenueshëm.</w:t>
            </w:r>
            <w:r>
              <w:t xml:space="preserve"> </w:t>
            </w:r>
            <w:r>
              <w:rPr>
                <w:b w:val="0"/>
                <w:color w:val="FFFFFF" w:themeColor="background1"/>
                <w:sz w:val="18"/>
              </w:rPr>
              <w:t>Skema e konsumatorëve të cenushëm të energjisë elektrike do të marrë parasysh reflektimin e ndërveprimit gjinor.</w:t>
            </w:r>
          </w:p>
        </w:tc>
      </w:tr>
      <w:tr w:rsidR="005C57AD" w:rsidRPr="004A64EF" w14:paraId="1DD42C1F" w14:textId="77777777">
        <w:tc>
          <w:tcPr>
            <w:cnfStyle w:val="001000000000" w:firstRow="0" w:lastRow="0" w:firstColumn="1" w:lastColumn="0" w:oddVBand="0" w:evenVBand="0" w:oddHBand="0" w:evenHBand="0" w:firstRowFirstColumn="0" w:firstRowLastColumn="0" w:lastRowFirstColumn="0" w:lastRowLastColumn="0"/>
            <w:tcW w:w="1357" w:type="pct"/>
            <w:hideMark/>
          </w:tcPr>
          <w:p w14:paraId="7EC07753" w14:textId="77777777" w:rsidR="005C57AD" w:rsidRPr="004A64EF" w:rsidRDefault="005C57AD">
            <w:pPr>
              <w:spacing w:before="20" w:after="20" w:line="240" w:lineRule="auto"/>
              <w:jc w:val="left"/>
              <w:rPr>
                <w:color w:val="FFFFFF" w:themeColor="background1"/>
                <w:sz w:val="18"/>
              </w:rPr>
            </w:pPr>
            <w:r>
              <w:rPr>
                <w:color w:val="FFFFFF" w:themeColor="background1"/>
                <w:sz w:val="18"/>
              </w:rPr>
              <w:t>Sektori/lloji</w:t>
            </w:r>
          </w:p>
        </w:tc>
        <w:tc>
          <w:tcPr>
            <w:tcW w:w="3643" w:type="pct"/>
            <w:hideMark/>
          </w:tcPr>
          <w:p w14:paraId="38AE9D45" w14:textId="77777777" w:rsidR="005C57AD" w:rsidRPr="004A64EF" w:rsidRDefault="005C57AD">
            <w:pPr>
              <w:spacing w:before="20" w:after="20" w:line="240" w:lineRule="auto"/>
              <w:cnfStyle w:val="000000000000" w:firstRow="0" w:lastRow="0" w:firstColumn="0" w:lastColumn="0" w:oddVBand="0" w:evenVBand="0" w:oddHBand="0" w:evenHBand="0" w:firstRowFirstColumn="0" w:firstRowLastColumn="0" w:lastRowFirstColumn="0" w:lastRowLastColumn="0"/>
              <w:rPr>
                <w:sz w:val="18"/>
              </w:rPr>
            </w:pPr>
            <w:r>
              <w:rPr>
                <w:sz w:val="18"/>
              </w:rPr>
              <w:t>Rregullator</w:t>
            </w:r>
          </w:p>
        </w:tc>
      </w:tr>
      <w:tr w:rsidR="005C57AD" w:rsidRPr="004A64EF" w14:paraId="73EDF7E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pct"/>
            <w:hideMark/>
          </w:tcPr>
          <w:p w14:paraId="6FAD62BF" w14:textId="77777777" w:rsidR="005C57AD" w:rsidRPr="004A64EF" w:rsidRDefault="005C57AD">
            <w:pPr>
              <w:spacing w:before="20" w:after="20" w:line="240" w:lineRule="auto"/>
              <w:jc w:val="left"/>
              <w:rPr>
                <w:color w:val="FFFFFF" w:themeColor="background1"/>
                <w:sz w:val="18"/>
              </w:rPr>
            </w:pPr>
            <w:r>
              <w:rPr>
                <w:color w:val="FFFFFF" w:themeColor="background1"/>
                <w:sz w:val="18"/>
              </w:rPr>
              <w:t>Statusi i implementimit</w:t>
            </w:r>
          </w:p>
        </w:tc>
        <w:tc>
          <w:tcPr>
            <w:tcW w:w="3643" w:type="pct"/>
            <w:hideMark/>
          </w:tcPr>
          <w:p w14:paraId="69B23025" w14:textId="77777777" w:rsidR="005C57AD" w:rsidRPr="004A64EF" w:rsidRDefault="005C57AD">
            <w:pPr>
              <w:spacing w:before="20" w:after="20" w:line="240" w:lineRule="auto"/>
              <w:cnfStyle w:val="000000100000" w:firstRow="0" w:lastRow="0" w:firstColumn="0" w:lastColumn="0" w:oddVBand="0" w:evenVBand="0" w:oddHBand="1" w:evenHBand="0" w:firstRowFirstColumn="0" w:firstRowLastColumn="0" w:lastRowFirstColumn="0" w:lastRowLastColumn="0"/>
              <w:rPr>
                <w:sz w:val="18"/>
              </w:rPr>
            </w:pPr>
            <w:r>
              <w:rPr>
                <w:sz w:val="18"/>
              </w:rPr>
              <w:t xml:space="preserve">Në implementim. Pilotimi është kryer. </w:t>
            </w:r>
          </w:p>
        </w:tc>
      </w:tr>
      <w:tr w:rsidR="005C57AD" w:rsidRPr="004A64EF" w14:paraId="068363B0" w14:textId="77777777">
        <w:tc>
          <w:tcPr>
            <w:cnfStyle w:val="001000000000" w:firstRow="0" w:lastRow="0" w:firstColumn="1" w:lastColumn="0" w:oddVBand="0" w:evenVBand="0" w:oddHBand="0" w:evenHBand="0" w:firstRowFirstColumn="0" w:firstRowLastColumn="0" w:lastRowFirstColumn="0" w:lastRowLastColumn="0"/>
            <w:tcW w:w="1357" w:type="pct"/>
            <w:hideMark/>
          </w:tcPr>
          <w:p w14:paraId="0B4C0115" w14:textId="77777777" w:rsidR="005C57AD" w:rsidRPr="004A64EF" w:rsidRDefault="005C57AD">
            <w:pPr>
              <w:spacing w:before="20" w:after="20" w:line="240" w:lineRule="auto"/>
              <w:jc w:val="left"/>
              <w:rPr>
                <w:color w:val="FFFFFF" w:themeColor="background1"/>
                <w:sz w:val="18"/>
              </w:rPr>
            </w:pPr>
            <w:r>
              <w:rPr>
                <w:color w:val="FFFFFF" w:themeColor="background1"/>
                <w:sz w:val="18"/>
              </w:rPr>
              <w:t>Efektet kuantitative</w:t>
            </w:r>
          </w:p>
        </w:tc>
        <w:tc>
          <w:tcPr>
            <w:tcW w:w="3643" w:type="pct"/>
            <w:hideMark/>
          </w:tcPr>
          <w:p w14:paraId="7DD243E3" w14:textId="77777777" w:rsidR="005C57AD" w:rsidRPr="004A64EF" w:rsidRDefault="005C57AD">
            <w:pPr>
              <w:spacing w:before="20" w:after="20" w:line="240" w:lineRule="auto"/>
              <w:cnfStyle w:val="000000000000" w:firstRow="0" w:lastRow="0" w:firstColumn="0" w:lastColumn="0" w:oddVBand="0" w:evenVBand="0" w:oddHBand="0" w:evenHBand="0" w:firstRowFirstColumn="0" w:firstRowLastColumn="0" w:lastRowFirstColumn="0" w:lastRowLastColumn="0"/>
              <w:rPr>
                <w:sz w:val="18"/>
              </w:rPr>
            </w:pPr>
            <w:r>
              <w:rPr>
                <w:sz w:val="18"/>
              </w:rPr>
              <w:t>Përqindja më e lartë e konsumatorëve të cenueshëm të energjisë është arritur nga skema mbështetëse</w:t>
            </w:r>
          </w:p>
        </w:tc>
      </w:tr>
      <w:tr w:rsidR="005C57AD" w:rsidRPr="004A64EF" w14:paraId="65BEF79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pct"/>
            <w:hideMark/>
          </w:tcPr>
          <w:p w14:paraId="7994131A" w14:textId="77777777" w:rsidR="005C57AD" w:rsidRPr="004A64EF" w:rsidRDefault="005C57AD">
            <w:pPr>
              <w:spacing w:before="20" w:after="20" w:line="240" w:lineRule="auto"/>
              <w:jc w:val="left"/>
              <w:rPr>
                <w:color w:val="FFFFFF" w:themeColor="background1"/>
                <w:sz w:val="18"/>
              </w:rPr>
            </w:pPr>
            <w:r>
              <w:rPr>
                <w:color w:val="FFFFFF" w:themeColor="background1"/>
                <w:sz w:val="18"/>
              </w:rPr>
              <w:t>Investimet</w:t>
            </w:r>
          </w:p>
        </w:tc>
        <w:tc>
          <w:tcPr>
            <w:tcW w:w="3643" w:type="pct"/>
            <w:hideMark/>
          </w:tcPr>
          <w:p w14:paraId="40ADC72E" w14:textId="7DD8829F" w:rsidR="005C57AD" w:rsidRPr="004A64EF" w:rsidRDefault="005C57AD">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20 mill. euro të investuara në vitin 2024 në një pilot program (Burimi: Strategjia Kombëtare e Energjisë)</w:t>
            </w:r>
            <w:r>
              <w:t xml:space="preserve"> </w:t>
            </w:r>
            <w:r>
              <w:rPr>
                <w:sz w:val="18"/>
              </w:rPr>
              <w:t>kostot për vazhdim deri në vitin 2030 llogariten në 120 mil. euro (Burimi: Vlerësimi i ekspertëve)</w:t>
            </w:r>
          </w:p>
        </w:tc>
      </w:tr>
      <w:tr w:rsidR="005C57AD" w:rsidRPr="004A64EF" w14:paraId="760A62B0" w14:textId="77777777">
        <w:tc>
          <w:tcPr>
            <w:cnfStyle w:val="001000000000" w:firstRow="0" w:lastRow="0" w:firstColumn="1" w:lastColumn="0" w:oddVBand="0" w:evenVBand="0" w:oddHBand="0" w:evenHBand="0" w:firstRowFirstColumn="0" w:firstRowLastColumn="0" w:lastRowFirstColumn="0" w:lastRowLastColumn="0"/>
            <w:tcW w:w="1357" w:type="pct"/>
            <w:hideMark/>
          </w:tcPr>
          <w:p w14:paraId="6A2C56EE" w14:textId="77777777" w:rsidR="005C57AD" w:rsidRPr="004A64EF" w:rsidRDefault="005C57AD">
            <w:pPr>
              <w:spacing w:before="20" w:after="20" w:line="240" w:lineRule="auto"/>
              <w:jc w:val="left"/>
              <w:rPr>
                <w:color w:val="FFFFFF" w:themeColor="background1"/>
                <w:sz w:val="18"/>
              </w:rPr>
            </w:pPr>
            <w:r>
              <w:rPr>
                <w:color w:val="FFFFFF" w:themeColor="background1"/>
                <w:sz w:val="18"/>
              </w:rPr>
              <w:t>Institucioni përgjegjës</w:t>
            </w:r>
          </w:p>
        </w:tc>
        <w:tc>
          <w:tcPr>
            <w:tcW w:w="3643" w:type="pct"/>
            <w:hideMark/>
          </w:tcPr>
          <w:p w14:paraId="420FDFD2" w14:textId="77777777" w:rsidR="005C57AD" w:rsidRPr="004A64EF" w:rsidRDefault="005C57AD">
            <w:pPr>
              <w:spacing w:before="20" w:after="20" w:line="240" w:lineRule="auto"/>
              <w:cnfStyle w:val="000000000000" w:firstRow="0" w:lastRow="0" w:firstColumn="0" w:lastColumn="0" w:oddVBand="0" w:evenVBand="0" w:oddHBand="0" w:evenHBand="0" w:firstRowFirstColumn="0" w:firstRowLastColumn="0" w:lastRowFirstColumn="0" w:lastRowLastColumn="0"/>
              <w:rPr>
                <w:sz w:val="18"/>
              </w:rPr>
            </w:pPr>
            <w:r>
              <w:rPr>
                <w:sz w:val="18"/>
              </w:rPr>
              <w:t>MFPT, ME</w:t>
            </w:r>
          </w:p>
        </w:tc>
      </w:tr>
      <w:tr w:rsidR="005C57AD" w:rsidRPr="004A64EF" w14:paraId="420D41D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pct"/>
            <w:hideMark/>
          </w:tcPr>
          <w:p w14:paraId="0778ED42" w14:textId="77777777" w:rsidR="005C57AD" w:rsidRPr="004A64EF" w:rsidRDefault="005C57AD">
            <w:pPr>
              <w:spacing w:before="20" w:after="20" w:line="240" w:lineRule="auto"/>
              <w:jc w:val="left"/>
              <w:rPr>
                <w:color w:val="FFFFFF" w:themeColor="background1"/>
                <w:sz w:val="18"/>
              </w:rPr>
            </w:pPr>
            <w:r>
              <w:rPr>
                <w:color w:val="FFFFFF" w:themeColor="background1"/>
                <w:sz w:val="18"/>
              </w:rPr>
              <w:t>Treguesit e progresit</w:t>
            </w:r>
          </w:p>
        </w:tc>
        <w:tc>
          <w:tcPr>
            <w:tcW w:w="3643" w:type="pct"/>
            <w:hideMark/>
          </w:tcPr>
          <w:p w14:paraId="45329F12" w14:textId="30E0B305" w:rsidR="005C57AD" w:rsidRPr="004A64EF" w:rsidRDefault="005C57AD">
            <w:pPr>
              <w:spacing w:before="20" w:after="20" w:line="240" w:lineRule="auto"/>
              <w:cnfStyle w:val="000000100000" w:firstRow="0" w:lastRow="0" w:firstColumn="0" w:lastColumn="0" w:oddVBand="0" w:evenVBand="0" w:oddHBand="1" w:evenHBand="0" w:firstRowFirstColumn="0" w:firstRowLastColumn="0" w:lastRowFirstColumn="0" w:lastRowLastColumn="0"/>
              <w:rPr>
                <w:sz w:val="18"/>
              </w:rPr>
            </w:pPr>
            <w:r>
              <w:rPr>
                <w:sz w:val="18"/>
              </w:rPr>
              <w:t>Implementimi i programit për konsumatorët e cenueshëm deri në vitin 2025, zbatimi skemës së plotë mbështetëse të testuar nga mjetet e ndërlidhura me Skemën e Asistencës Sociale (SAS) deri në vitin 2031</w:t>
            </w:r>
          </w:p>
        </w:tc>
      </w:tr>
      <w:tr w:rsidR="005C57AD" w:rsidRPr="00976D33" w14:paraId="2A71DBCC" w14:textId="77777777">
        <w:tc>
          <w:tcPr>
            <w:cnfStyle w:val="001000000000" w:firstRow="0" w:lastRow="0" w:firstColumn="1" w:lastColumn="0" w:oddVBand="0" w:evenVBand="0" w:oddHBand="0" w:evenHBand="0" w:firstRowFirstColumn="0" w:firstRowLastColumn="0" w:lastRowFirstColumn="0" w:lastRowLastColumn="0"/>
            <w:tcW w:w="1357" w:type="pct"/>
          </w:tcPr>
          <w:p w14:paraId="11A2C552" w14:textId="6BAC7B02" w:rsidR="005C57AD" w:rsidRPr="004A64EF" w:rsidRDefault="005C57AD">
            <w:pPr>
              <w:spacing w:before="20" w:after="20" w:line="240" w:lineRule="auto"/>
              <w:jc w:val="left"/>
              <w:rPr>
                <w:color w:val="FFFFFF" w:themeColor="background1"/>
                <w:sz w:val="18"/>
              </w:rPr>
            </w:pPr>
            <w:r>
              <w:rPr>
                <w:color w:val="FFFFFF" w:themeColor="background1"/>
                <w:sz w:val="18"/>
              </w:rPr>
              <w:t>Lidhja me dimension</w:t>
            </w:r>
            <w:r w:rsidR="0037748E">
              <w:rPr>
                <w:color w:val="FFFFFF" w:themeColor="background1"/>
                <w:sz w:val="18"/>
              </w:rPr>
              <w:t>et e tjera</w:t>
            </w:r>
          </w:p>
        </w:tc>
        <w:tc>
          <w:tcPr>
            <w:tcW w:w="3643" w:type="pct"/>
          </w:tcPr>
          <w:p w14:paraId="2C789ED3" w14:textId="77777777" w:rsidR="005C57AD" w:rsidRPr="00976D33" w:rsidRDefault="005C57AD">
            <w:pPr>
              <w:spacing w:before="20" w:after="20" w:line="240" w:lineRule="auto"/>
              <w:cnfStyle w:val="000000000000" w:firstRow="0" w:lastRow="0" w:firstColumn="0" w:lastColumn="0" w:oddVBand="0" w:evenVBand="0" w:oddHBand="0" w:evenHBand="0" w:firstRowFirstColumn="0" w:firstRowLastColumn="0" w:lastRowFirstColumn="0" w:lastRowLastColumn="0"/>
              <w:rPr>
                <w:sz w:val="18"/>
              </w:rPr>
            </w:pPr>
            <w:r>
              <w:rPr>
                <w:sz w:val="18"/>
              </w:rPr>
              <w:t>Siguria energjetike</w:t>
            </w:r>
          </w:p>
        </w:tc>
      </w:tr>
    </w:tbl>
    <w:p w14:paraId="5E983247" w14:textId="77777777" w:rsidR="00FF705C" w:rsidRDefault="00FF705C" w:rsidP="00FE486A">
      <w:pPr>
        <w:pStyle w:val="Heading2"/>
        <w:numPr>
          <w:ilvl w:val="0"/>
          <w:numId w:val="0"/>
        </w:numPr>
        <w:spacing w:after="0"/>
      </w:pPr>
    </w:p>
    <w:p w14:paraId="27318B60" w14:textId="459E2257" w:rsidR="00AB189C" w:rsidRPr="00976D33" w:rsidRDefault="00527C8D" w:rsidP="006E6E51">
      <w:pPr>
        <w:pStyle w:val="Heading2"/>
        <w:numPr>
          <w:ilvl w:val="0"/>
          <w:numId w:val="0"/>
        </w:numPr>
      </w:pPr>
      <w:bookmarkStart w:id="342" w:name="_Toc182302306"/>
      <w:r>
        <w:t>3.5. Dimensioni i hulumtimit, inovacionit dhe konkurrueshmërisë</w:t>
      </w:r>
      <w:bookmarkEnd w:id="342"/>
    </w:p>
    <w:p w14:paraId="31A1421E" w14:textId="274BE8B8" w:rsidR="00463FC6" w:rsidRPr="00976D33" w:rsidRDefault="00463FC6" w:rsidP="00463FC6">
      <w:pPr>
        <w:rPr>
          <w:rFonts w:eastAsia="Times New Roman" w:cstheme="minorHAnsi"/>
        </w:rPr>
      </w:pPr>
      <w:r>
        <w:t>Gjatë dymbëdhjetë viteve të fundit, Qeveria e Kosovës ka zbatuar ligje dhe rregullore të ndryshme që synojnë të rrisin aktivitetet hulumtuese dhe inovative. Përveç kësaj, të gjitha ligjet dhe rregulloret janë plotësisht në përputhje me direktivat dhe rregulloret e ndryshme evropiane që trajtojnë të njëjtat tema. Për më tepër, Kosova është e përkushtuar në krijimin dhe forcimin e marrëdhënieve të bashkëpunimit ndërmjet dhe brenda organeve qeveritare, universiteteve dhe bizneseve. Kjo do të lehtësojë hulumtimin e orientuar drejt qëllimit, duke formësuar të ardhmen e zhvillimit industrial përmes transferimit të njohurive.</w:t>
      </w:r>
    </w:p>
    <w:p w14:paraId="4547AEF4" w14:textId="77777777" w:rsidR="00463FC6" w:rsidRPr="00976D33" w:rsidRDefault="00463FC6" w:rsidP="00AF7BBF">
      <w:pPr>
        <w:pStyle w:val="Heading3"/>
        <w:numPr>
          <w:ilvl w:val="0"/>
          <w:numId w:val="79"/>
        </w:numPr>
      </w:pPr>
      <w:bookmarkStart w:id="343" w:name="_Toc182302307"/>
      <w:r>
        <w:t>Politikat dhe masat që lidhen me elementët e përcaktuar në pikën 2.5</w:t>
      </w:r>
      <w:bookmarkEnd w:id="343"/>
      <w:r>
        <w:t xml:space="preserve"> </w:t>
      </w:r>
    </w:p>
    <w:p w14:paraId="6A0FA0DA" w14:textId="53B7B25C" w:rsidR="00463FC6" w:rsidRPr="00976D33" w:rsidRDefault="00463FC6" w:rsidP="00463FC6">
      <w:pPr>
        <w:rPr>
          <w:rFonts w:cstheme="minorHAnsi"/>
        </w:rPr>
      </w:pPr>
      <w:r>
        <w:t xml:space="preserve">Qeveria e Kosovës është e përkushtuar në krijimin e një kornize rregullative mbështetëse për të rritur intensitetin e aktiviteteve hulumtuese në fushën e energjisë dhe klimës, të cilat nga ana e tyre do të mundësojnë prezantimin e suksesshëm të politikave inteligjente dhe teknologjive inovative të energjisë. Ky do të jetë hapi i parë në transferimin e gjetjeve të hulumtimit në treg dhe përgatitjen për prezantimin e zgjidhjeve të qëndrueshme, të besueshme dhe të përballueshme të energjisë. Cilësia e hulumtimit për klimën, energjinë dhe mobilitetin do të përcaktojë suksesin e politikave të Kosovës drejt dekarbonizimit, sigurisë së furnizimit me energji, efiçiencës së energjisë, integrimit të energjive të ripërtëritshme dhe çështjeve të tjera që ndërlidhën me energjinë dhe klimën. </w:t>
      </w:r>
    </w:p>
    <w:p w14:paraId="6FB96DE6" w14:textId="5E1B2033" w:rsidR="00463FC6" w:rsidRPr="00976D33" w:rsidRDefault="00463FC6" w:rsidP="00463FC6">
      <w:r>
        <w:t xml:space="preserve">Diskutimet rreth hulumtimit, inovacionit dhe konkurrueshmërisë në temat që ndërlidhën me energjinë dhe klimën bëhen kuptimplote pasi që krijohet infrastruktura themelore dhe kapitali njerëzor për kryerjen e </w:t>
      </w:r>
      <w:r>
        <w:lastRenderedPageBreak/>
        <w:t xml:space="preserve">hulumtimeve të besueshme dhe me ndikim. Kjo përfshin demonstrimin e suksesshëm të teknologjive/praktikave të avancuara të energjisë në kushte kombëtare, zhvillimin e një fuqie punëtore të aftë dhe të gatshme për të instaluar dhe menaxhuar efiçiencën e energjisë dhe teknologjitë e energjisë së ripërtëritshme, si dhe nxitjen e aleancave të industrisë të ndërlidhura me përpjekjet për hulumtim (hulumtim i orientuar nga industria).  Seksioni vijues përshkruan politikat dhe masat e sugjeruara për hulumtimin, inovacionin dhe konkurrueshmëri. Veçanërisht, paraqitja e këtyre masave dallon nga ato në dimensione të tjera, pasi dokumentacioni aktual dhe informacioni i disponueshëm për këto masa mundësojnë vetëm përshkrim cilësor. </w:t>
      </w:r>
    </w:p>
    <w:tbl>
      <w:tblPr>
        <w:tblStyle w:val="GridTable5DarkAccent10"/>
        <w:tblpPr w:leftFromText="141" w:rightFromText="141" w:vertAnchor="text" w:horzAnchor="margin" w:tblpY="225"/>
        <w:tblW w:w="5000" w:type="pct"/>
        <w:tblLook w:val="04A0" w:firstRow="1" w:lastRow="0" w:firstColumn="1" w:lastColumn="0" w:noHBand="0" w:noVBand="1"/>
      </w:tblPr>
      <w:tblGrid>
        <w:gridCol w:w="2607"/>
        <w:gridCol w:w="6957"/>
      </w:tblGrid>
      <w:tr w:rsidR="00463FC6" w:rsidRPr="004A64EF" w14:paraId="6ED427E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58206BCB" w14:textId="202F9EB6" w:rsidR="00463FC6" w:rsidRPr="004A64EF" w:rsidRDefault="00463FC6">
            <w:pPr>
              <w:spacing w:before="20" w:after="20" w:line="240" w:lineRule="auto"/>
              <w:contextualSpacing/>
              <w:rPr>
                <w:color w:val="FFFFFF" w:themeColor="background1"/>
                <w:sz w:val="18"/>
              </w:rPr>
            </w:pPr>
            <w:r>
              <w:rPr>
                <w:color w:val="FFFFFF" w:themeColor="background1"/>
                <w:sz w:val="18"/>
              </w:rPr>
              <w:t>PM 67: Ndërtimi i kapaciteteve moderne hulumtuese dhe inovative</w:t>
            </w:r>
          </w:p>
        </w:tc>
      </w:tr>
      <w:tr w:rsidR="00463FC6" w:rsidRPr="004A64EF" w14:paraId="5964092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5C0ADA79" w14:textId="3D443C84" w:rsidR="00463FC6" w:rsidRPr="004A64EF" w:rsidRDefault="00913758">
            <w:pPr>
              <w:spacing w:before="20" w:after="20" w:line="240" w:lineRule="auto"/>
              <w:contextualSpacing/>
              <w:rPr>
                <w:b w:val="0"/>
                <w:bCs w:val="0"/>
                <w:color w:val="FFFFFF" w:themeColor="background1"/>
                <w:sz w:val="18"/>
                <w:szCs w:val="18"/>
              </w:rPr>
            </w:pPr>
            <w:r>
              <w:rPr>
                <w:color w:val="FFFFFF" w:themeColor="background1"/>
                <w:sz w:val="18"/>
              </w:rPr>
              <w:t xml:space="preserve">Përshkrimi i shkurtër dhe objektivi: </w:t>
            </w:r>
            <w:r>
              <w:rPr>
                <w:b w:val="0"/>
              </w:rPr>
              <w:t xml:space="preserve"> </w:t>
            </w:r>
            <w:r>
              <w:rPr>
                <w:b w:val="0"/>
                <w:color w:val="FFFFFF" w:themeColor="background1"/>
                <w:sz w:val="18"/>
              </w:rPr>
              <w:t>Qeveria e Kosovës do t’ua caktojë ministrive dhe organeve të ndryshme qeveritare përgjegjësinë që të ndërmarrin hapat e nevojshëm për të nxitur hulumtimin, inovacionin, dhe konkurrueshmërinë për energjinë dhe klimën, siç detajohet më poshtë:</w:t>
            </w:r>
          </w:p>
          <w:p w14:paraId="276C37FD" w14:textId="40CEDB99" w:rsidR="00463FC6" w:rsidRPr="004A64EF" w:rsidRDefault="00463FC6" w:rsidP="00AF7BBF">
            <w:pPr>
              <w:numPr>
                <w:ilvl w:val="0"/>
                <w:numId w:val="24"/>
              </w:numPr>
              <w:spacing w:before="20" w:after="20" w:line="240" w:lineRule="auto"/>
              <w:contextualSpacing/>
              <w:rPr>
                <w:b w:val="0"/>
                <w:bCs w:val="0"/>
                <w:color w:val="FFFFFF" w:themeColor="background1"/>
                <w:sz w:val="18"/>
                <w:szCs w:val="18"/>
              </w:rPr>
            </w:pPr>
            <w:r>
              <w:rPr>
                <w:b w:val="0"/>
                <w:color w:val="FFFFFF" w:themeColor="background1"/>
                <w:sz w:val="18"/>
              </w:rPr>
              <w:t>Ministria e Ekonomisë dhe Ministria e Arsimit, Shkencës, Teknologjisë dhe Inovacionit do ta prezantojnë Programin Hulumtues për Energji dhe Klimë (PHEK). Qëllimi i PHEK-së është të rrisë kapacitetet e universiteteve publike dhe private të Kosovës në kryerjen e projekteve hulumtuese lidhur me tema të ndryshme në energji, klimë, mobilitet dhe rritje të qëndrueshme. PHEK do të dizajnohet për të mbështetur ekskluzivisht projektet që do të zbatohen nga universitetet e Kosovës në bashkëpunim me cilindo universitet apo institut hulumtues evropian.</w:t>
            </w:r>
          </w:p>
          <w:p w14:paraId="7DACAB31" w14:textId="77777777" w:rsidR="00463FC6" w:rsidRPr="004A64EF" w:rsidRDefault="00463FC6" w:rsidP="00AF7BBF">
            <w:pPr>
              <w:numPr>
                <w:ilvl w:val="0"/>
                <w:numId w:val="24"/>
              </w:numPr>
              <w:spacing w:before="20" w:after="20" w:line="240" w:lineRule="auto"/>
              <w:contextualSpacing/>
              <w:rPr>
                <w:b w:val="0"/>
                <w:bCs w:val="0"/>
                <w:color w:val="FFFFFF" w:themeColor="background1"/>
                <w:sz w:val="18"/>
                <w:szCs w:val="18"/>
              </w:rPr>
            </w:pPr>
            <w:r>
              <w:rPr>
                <w:b w:val="0"/>
                <w:color w:val="FFFFFF" w:themeColor="background1"/>
                <w:sz w:val="18"/>
              </w:rPr>
              <w:t>Ministria e Arsimit, Shkencës, Teknologjisë dhe Inovacionit së bashku me universitetet publike dhe private do të krijojnë qendra të përbashkëta hulumtuese (QPK) për energji, mjedis, mobilitet dhe tema të tjera të lidhura me klimën. Të gjitha QPK-të do të pajisen me infrastrukturë moderne. Përveç kësaj, ato do të duhet të bashkëpunojnë intensivisht me palët tjera qeveritare dhe industriale të interesit, siç janë ME, MMPHI, KEK, KOSTT, KEDS, Trainkos, ZRRE dhe shumë akterë të tjerë nga industria. Ky bashkëpunim mundëson përzgjedhjen e temave më të rëndësishme hulumtuese që do të kryhen nga QPK-të me synimin kryesor për të ndihmuar të gjitha palët e interesit të gjejnë përgjigjet më të mira inovative për pyetjet e tyre. Kjo do të ndihmojë palët e interesit të përmirësojnë kulturën e proceseve vendimmarrëse të bazuara në prova.</w:t>
            </w:r>
          </w:p>
          <w:p w14:paraId="64305F2D" w14:textId="77777777" w:rsidR="00463FC6" w:rsidRPr="004A64EF" w:rsidRDefault="00463FC6" w:rsidP="00AF7BBF">
            <w:pPr>
              <w:numPr>
                <w:ilvl w:val="0"/>
                <w:numId w:val="24"/>
              </w:numPr>
              <w:spacing w:before="20" w:after="20" w:line="240" w:lineRule="auto"/>
              <w:contextualSpacing/>
              <w:rPr>
                <w:b w:val="0"/>
                <w:bCs w:val="0"/>
                <w:color w:val="FFFFFF" w:themeColor="background1"/>
                <w:sz w:val="18"/>
                <w:szCs w:val="18"/>
              </w:rPr>
            </w:pPr>
            <w:r>
              <w:rPr>
                <w:b w:val="0"/>
                <w:color w:val="FFFFFF" w:themeColor="background1"/>
                <w:sz w:val="18"/>
              </w:rPr>
              <w:t>Ministria e Arsimit, Shkencës, Teknologjisë dhe Inovacionit do të prezantojë një program përkatës për modernizimin e programeve baçelor dhe master të universiteteve që prekin çështjet e energjisë dhe klimës në mënyrë që të jenë në përputhje me nevojat kombëtare. Programet e reformuara do të hartohen së bashku me palët tjera qeveritare dhe industriale të interesit. Të gjitha programet e mësimdhënies së universiteteve që prekin njërin ose tjetrin dimension të PHEK-së do të duhet të bashkëpunojnë intensivisht me QPK-të në lehtësimin e transferimit të njohurive dhe teknologjisë. Shumë universitete të Kosovës</w:t>
            </w:r>
            <w:r w:rsidRPr="004A64EF">
              <w:rPr>
                <w:b w:val="0"/>
                <w:bCs w:val="0"/>
                <w:color w:val="FFFFFF" w:themeColor="background1"/>
                <w:sz w:val="18"/>
                <w:szCs w:val="18"/>
                <w:vertAlign w:val="superscript"/>
              </w:rPr>
              <w:footnoteReference w:id="20"/>
            </w:r>
            <w:r>
              <w:rPr>
                <w:b w:val="0"/>
                <w:color w:val="FFFFFF" w:themeColor="background1"/>
                <w:sz w:val="18"/>
              </w:rPr>
              <w:t xml:space="preserve"> kanë qenë efektive në marrjen e fondeve nga programet e BE-së, siç janë TEMPUS, Erasmus dhe FP7, për implementimin e projekteve të ndryshme që synojnë zhvillimin dhe reformimin e programeve dhe kapaciteteve. Prezantimi i projekteve të kësaj natyre siguron që Kosova në të ardhmen të mos vuajë nga mungesa e kapitalit njerëzor për t’u përballur në mënyrë efektive me tranzicionin energjetik, integrimin e burimeve të ripërtëritshme, projektimet e reja të tregut, integrimin e automjeteve elektrike dhe shumë çështje tjera të hapura që do të shfaqen në dekarbonizimin e tërë aktivitetit ekonomik.</w:t>
            </w:r>
          </w:p>
          <w:p w14:paraId="2EC01C3D" w14:textId="77777777" w:rsidR="00463FC6" w:rsidRPr="004A64EF" w:rsidRDefault="00463FC6" w:rsidP="00AF7BBF">
            <w:pPr>
              <w:numPr>
                <w:ilvl w:val="0"/>
                <w:numId w:val="24"/>
              </w:numPr>
              <w:spacing w:before="20" w:after="20" w:line="240" w:lineRule="auto"/>
              <w:contextualSpacing/>
              <w:rPr>
                <w:b w:val="0"/>
                <w:bCs w:val="0"/>
                <w:color w:val="FFFFFF" w:themeColor="background1"/>
                <w:sz w:val="18"/>
                <w:szCs w:val="18"/>
              </w:rPr>
            </w:pPr>
            <w:r>
              <w:rPr>
                <w:b w:val="0"/>
                <w:color w:val="FFFFFF" w:themeColor="background1"/>
                <w:sz w:val="18"/>
              </w:rPr>
              <w:t>Ministria e Punëve të Jashtme (MPJ) së bashku me ambasadat dhe zyrat konsullore të Kosovës do të mbledhë të dhënat kontaktuese të diasporës që punon në universitete të njohura botërore, institute hulumtuese dhe departamente zhvillimore të kompanive private. Diaspora njihet si adresa e parë për të ndërtuar ura ndërmjet universiteteve të Kosovës dhe atyre evropiane dhe për të siguruar që PHEK dhe QPK-të do të jenë programe të suksesshme. Në të njëjtën kohë, diaspora është njohur si mënyra më e lehtë dhe më e shpejtë për të fituar qasje në fondet për hulumtime të BE-së, si ERC, Horizon2020, Developing Horizon Europe, Erasmus, etj.</w:t>
            </w:r>
          </w:p>
          <w:p w14:paraId="1B08104D" w14:textId="77777777" w:rsidR="00463FC6" w:rsidRPr="004A64EF" w:rsidRDefault="00463FC6" w:rsidP="00AF7BBF">
            <w:pPr>
              <w:numPr>
                <w:ilvl w:val="0"/>
                <w:numId w:val="24"/>
              </w:numPr>
              <w:spacing w:before="20" w:after="20" w:line="240" w:lineRule="auto"/>
              <w:contextualSpacing/>
              <w:rPr>
                <w:b w:val="0"/>
                <w:bCs w:val="0"/>
                <w:color w:val="FFFFFF" w:themeColor="background1"/>
                <w:sz w:val="18"/>
                <w:szCs w:val="18"/>
              </w:rPr>
            </w:pPr>
            <w:r>
              <w:rPr>
                <w:b w:val="0"/>
                <w:color w:val="FFFFFF" w:themeColor="background1"/>
                <w:sz w:val="18"/>
              </w:rPr>
              <w:t>Në kuadër të PHEK-së, Ministria e Arsimit, Shkencës, Teknologjisë dhe Inovacionit do të mbështesë fakultetet dhe departamentet e veçanta të universiteteve publike të Kosovës për të rritur numrin e profesorëve dhe studiuesve të rinj që merren ekskluzivisht me çështje të rëndësishme kombëtare në energji, mjedis, klimë, mobilitet dhe rritje të qëndrueshme. Fokusi do të jetë në prezantimin e një reforme në riorganizimin e aktiviteteve mësimore të universiteteve të Kosovës me qëllim të inkurajimit të profesorëve që të rrisin aktivitetet hulumtuese. Profesorët e fokusuar në një temë të caktuar për hulumtim do të kenë mundësinë të japin mësim për të njëjtën temë. Kjo do të rrisë cilësinë e aktiviteteve mësimore dhe hulumtuese në universitetet e Kosovës.</w:t>
            </w:r>
          </w:p>
          <w:p w14:paraId="1F662008" w14:textId="1D3EFF24" w:rsidR="00463FC6" w:rsidRPr="004A64EF" w:rsidRDefault="00463FC6" w:rsidP="00AF7BBF">
            <w:pPr>
              <w:numPr>
                <w:ilvl w:val="0"/>
                <w:numId w:val="24"/>
              </w:numPr>
              <w:spacing w:before="20" w:after="20" w:line="240" w:lineRule="auto"/>
              <w:contextualSpacing/>
              <w:rPr>
                <w:b w:val="0"/>
                <w:bCs w:val="0"/>
                <w:color w:val="FFFFFF" w:themeColor="background1"/>
                <w:sz w:val="18"/>
                <w:szCs w:val="18"/>
              </w:rPr>
            </w:pPr>
            <w:r>
              <w:rPr>
                <w:b w:val="0"/>
                <w:color w:val="FFFFFF" w:themeColor="background1"/>
                <w:sz w:val="18"/>
              </w:rPr>
              <w:t>Personat kontaktues kombëtar të Horizon Europe dhe programeve të tjera të BE-së do të mbështesin aktivitetet hulumtuese që kalojnë kufijtë, duke nxitur institucionet përkatëse për të identifikuar dhe marrë pjesë në thirrjet në lidhje me energjinë, klimën, mobilitetin, bujqësinë, menaxhimin e mbeturinave dhe menaxhimin e ujit. Kjo do ta ndihmojë Kosovën në adresimin e nevojave të ndryshme industriale, për shembull, identifikimin e përzierjes së mundshme të prodhimit të energjisë elektrike që siguron furnizim të besueshëm dhe të përballueshëm me energji elektrike.</w:t>
            </w:r>
          </w:p>
          <w:p w14:paraId="2BE7A661" w14:textId="77777777" w:rsidR="00463FC6" w:rsidRPr="004A64EF" w:rsidRDefault="00463FC6" w:rsidP="00AF7BBF">
            <w:pPr>
              <w:numPr>
                <w:ilvl w:val="0"/>
                <w:numId w:val="24"/>
              </w:numPr>
              <w:spacing w:before="20" w:after="20" w:line="240" w:lineRule="auto"/>
              <w:contextualSpacing/>
              <w:rPr>
                <w:b w:val="0"/>
                <w:bCs w:val="0"/>
                <w:color w:val="FFFFFF" w:themeColor="background1"/>
                <w:sz w:val="18"/>
                <w:szCs w:val="18"/>
              </w:rPr>
            </w:pPr>
            <w:r>
              <w:rPr>
                <w:b w:val="0"/>
                <w:color w:val="FFFFFF" w:themeColor="background1"/>
                <w:sz w:val="18"/>
              </w:rPr>
              <w:t xml:space="preserve">Kosova do ta themelojë “Qendrën e të Dhënave të Hapura të Kosovës” (QDhHK), e cila do të jetë përgjegjëse për mbledhjen dhe menaxhimin e të dhënave pothuajse të të gjithë sektorëve ekonomikë dhe të aktivitetit shoqëror në Kosovë. Çështjet e politikës private do të jenë të një rëndësie të veçantë. Të dhënat do të jenë të disponueshme </w:t>
            </w:r>
            <w:r>
              <w:rPr>
                <w:b w:val="0"/>
                <w:color w:val="FFFFFF" w:themeColor="background1"/>
                <w:sz w:val="18"/>
              </w:rPr>
              <w:lastRenderedPageBreak/>
              <w:t>për publikun. QDhHK është përgjegjëse për zhvillimin e infrastrukturës së nevojshme për mbledhjen e të dhënave në nivelin më të detajuar. Politika e të dhënave për qasje të hapur në Kosovë hap rrugë për hulumtuesit kosovarë dhe ndërkombëtarë që të përdorin këto të dhëna dhe të zhvillojnë projekte hulumtuese shkencore me rëndësi të lartë të politikës industriale.</w:t>
            </w:r>
          </w:p>
          <w:p w14:paraId="70E6980C" w14:textId="4402E803" w:rsidR="00463FC6" w:rsidRPr="004A64EF" w:rsidRDefault="74E50104">
            <w:pPr>
              <w:spacing w:before="20" w:after="20" w:line="240" w:lineRule="auto"/>
              <w:contextualSpacing/>
              <w:rPr>
                <w:b w:val="0"/>
                <w:bCs w:val="0"/>
                <w:color w:val="FFFFFF" w:themeColor="background1"/>
                <w:sz w:val="18"/>
                <w:szCs w:val="18"/>
              </w:rPr>
            </w:pPr>
            <w:r>
              <w:rPr>
                <w:b w:val="0"/>
                <w:color w:val="FFFFFF" w:themeColor="background1"/>
                <w:sz w:val="18"/>
              </w:rPr>
              <w:t>Objektivi i politikës ofron mundësi për të përfshirë perspektivat dhe ekspertizën gjinore në çdo fazë të ciklit jetësor të kësaj mase.</w:t>
            </w:r>
          </w:p>
        </w:tc>
      </w:tr>
      <w:tr w:rsidR="00463FC6" w:rsidRPr="004A64EF" w14:paraId="0490EEEF" w14:textId="77777777">
        <w:tc>
          <w:tcPr>
            <w:cnfStyle w:val="001000000000" w:firstRow="0" w:lastRow="0" w:firstColumn="1" w:lastColumn="0" w:oddVBand="0" w:evenVBand="0" w:oddHBand="0" w:evenHBand="0" w:firstRowFirstColumn="0" w:firstRowLastColumn="0" w:lastRowFirstColumn="0" w:lastRowLastColumn="0"/>
            <w:tcW w:w="1363" w:type="pct"/>
            <w:hideMark/>
          </w:tcPr>
          <w:p w14:paraId="6DBF3218" w14:textId="77777777" w:rsidR="00463FC6" w:rsidRPr="004A64EF" w:rsidRDefault="00463FC6">
            <w:pPr>
              <w:spacing w:before="20" w:after="20" w:line="240" w:lineRule="auto"/>
              <w:contextualSpacing/>
              <w:jc w:val="left"/>
              <w:rPr>
                <w:color w:val="FFFFFF" w:themeColor="background1"/>
                <w:sz w:val="18"/>
                <w:szCs w:val="18"/>
              </w:rPr>
            </w:pPr>
            <w:r>
              <w:rPr>
                <w:color w:val="FFFFFF" w:themeColor="background1"/>
                <w:sz w:val="18"/>
              </w:rPr>
              <w:lastRenderedPageBreak/>
              <w:t>Sektori/lloji</w:t>
            </w:r>
          </w:p>
        </w:tc>
        <w:tc>
          <w:tcPr>
            <w:tcW w:w="3637" w:type="pct"/>
            <w:hideMark/>
          </w:tcPr>
          <w:p w14:paraId="5AF1AD44" w14:textId="77777777" w:rsidR="00463FC6" w:rsidRPr="004A64EF" w:rsidRDefault="00463FC6">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Hulumtues dhe inovativ</w:t>
            </w:r>
          </w:p>
        </w:tc>
      </w:tr>
      <w:tr w:rsidR="00463FC6" w:rsidRPr="004A64EF" w14:paraId="548AE04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pct"/>
            <w:hideMark/>
          </w:tcPr>
          <w:p w14:paraId="472B0983" w14:textId="77777777" w:rsidR="00463FC6" w:rsidRPr="004A64EF" w:rsidRDefault="00463FC6">
            <w:pPr>
              <w:spacing w:before="20" w:after="20" w:line="240" w:lineRule="auto"/>
              <w:contextualSpacing/>
              <w:jc w:val="left"/>
              <w:rPr>
                <w:color w:val="FFFFFF" w:themeColor="background1"/>
                <w:sz w:val="18"/>
              </w:rPr>
            </w:pPr>
            <w:r>
              <w:rPr>
                <w:color w:val="FFFFFF" w:themeColor="background1"/>
                <w:sz w:val="18"/>
              </w:rPr>
              <w:t>Statusi i implementimit</w:t>
            </w:r>
          </w:p>
        </w:tc>
        <w:tc>
          <w:tcPr>
            <w:tcW w:w="3637" w:type="pct"/>
          </w:tcPr>
          <w:p w14:paraId="5918B364" w14:textId="77777777" w:rsidR="00463FC6" w:rsidRPr="004A64EF" w:rsidRDefault="00463FC6">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Planifikuar</w:t>
            </w:r>
          </w:p>
          <w:p w14:paraId="23A6E423" w14:textId="77777777" w:rsidR="00463FC6" w:rsidRPr="004A64EF" w:rsidRDefault="00463FC6">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Në periudhën 2017 - 2021, 46 projekte të vogla (deri në 10,000 euro), të mbështetura përmes programit të granteve të MASHT-it - Prioriteti 1. Burimet natyrore, energjia dhe mjedisi</w:t>
            </w:r>
          </w:p>
        </w:tc>
      </w:tr>
      <w:tr w:rsidR="00463FC6" w:rsidRPr="004A64EF" w14:paraId="09D96933" w14:textId="77777777">
        <w:tc>
          <w:tcPr>
            <w:cnfStyle w:val="001000000000" w:firstRow="0" w:lastRow="0" w:firstColumn="1" w:lastColumn="0" w:oddVBand="0" w:evenVBand="0" w:oddHBand="0" w:evenHBand="0" w:firstRowFirstColumn="0" w:firstRowLastColumn="0" w:lastRowFirstColumn="0" w:lastRowLastColumn="0"/>
            <w:tcW w:w="1363" w:type="pct"/>
            <w:hideMark/>
          </w:tcPr>
          <w:p w14:paraId="6ECA6A77" w14:textId="77777777" w:rsidR="00463FC6" w:rsidRPr="004A64EF" w:rsidRDefault="00463FC6">
            <w:pPr>
              <w:spacing w:before="20" w:after="20" w:line="240" w:lineRule="auto"/>
              <w:contextualSpacing/>
              <w:jc w:val="left"/>
              <w:rPr>
                <w:color w:val="FFFFFF" w:themeColor="background1"/>
                <w:sz w:val="18"/>
              </w:rPr>
            </w:pPr>
            <w:r>
              <w:rPr>
                <w:color w:val="FFFFFF" w:themeColor="background1"/>
                <w:sz w:val="18"/>
              </w:rPr>
              <w:t>Efektet kuantitative</w:t>
            </w:r>
          </w:p>
        </w:tc>
        <w:tc>
          <w:tcPr>
            <w:tcW w:w="3637" w:type="pct"/>
          </w:tcPr>
          <w:p w14:paraId="6663484C" w14:textId="77777777" w:rsidR="00463FC6" w:rsidRPr="004A64EF" w:rsidRDefault="00463FC6">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n/a</w:t>
            </w:r>
          </w:p>
        </w:tc>
      </w:tr>
      <w:tr w:rsidR="00463FC6" w:rsidRPr="004A64EF" w14:paraId="055EB91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pct"/>
            <w:hideMark/>
          </w:tcPr>
          <w:p w14:paraId="74A577FB" w14:textId="77777777" w:rsidR="00463FC6" w:rsidRPr="004A64EF" w:rsidRDefault="00463FC6">
            <w:pPr>
              <w:spacing w:before="20" w:after="20" w:line="240" w:lineRule="auto"/>
              <w:contextualSpacing/>
              <w:jc w:val="left"/>
              <w:rPr>
                <w:color w:val="FFFFFF" w:themeColor="background1"/>
                <w:sz w:val="18"/>
              </w:rPr>
            </w:pPr>
            <w:r>
              <w:rPr>
                <w:color w:val="FFFFFF" w:themeColor="background1"/>
                <w:sz w:val="18"/>
              </w:rPr>
              <w:t>Investimet</w:t>
            </w:r>
          </w:p>
        </w:tc>
        <w:tc>
          <w:tcPr>
            <w:tcW w:w="3637" w:type="pct"/>
          </w:tcPr>
          <w:p w14:paraId="0AF8C9B4" w14:textId="77777777" w:rsidR="00463FC6" w:rsidRPr="004A64EF" w:rsidRDefault="00463FC6">
            <w:pPr>
              <w:spacing w:before="20" w:after="20" w:line="240" w:lineRule="auto"/>
              <w:contextualSpacing/>
              <w:jc w:val="left"/>
              <w:cnfStyle w:val="000000100000" w:firstRow="0" w:lastRow="0" w:firstColumn="0" w:lastColumn="0" w:oddVBand="0" w:evenVBand="0" w:oddHBand="1" w:evenHBand="0" w:firstRowFirstColumn="0" w:firstRowLastColumn="0" w:lastRowFirstColumn="0" w:lastRowLastColumn="0"/>
              <w:rPr>
                <w:sz w:val="18"/>
              </w:rPr>
            </w:pPr>
            <w:r>
              <w:rPr>
                <w:sz w:val="18"/>
              </w:rPr>
              <w:t>Mbështetja mund të merret përmes Programit Kombëtar të Shkencës të MASHTI-t 2023-2028</w:t>
            </w:r>
          </w:p>
        </w:tc>
      </w:tr>
      <w:tr w:rsidR="00463FC6" w:rsidRPr="004A64EF" w14:paraId="2A943867" w14:textId="77777777">
        <w:tc>
          <w:tcPr>
            <w:cnfStyle w:val="001000000000" w:firstRow="0" w:lastRow="0" w:firstColumn="1" w:lastColumn="0" w:oddVBand="0" w:evenVBand="0" w:oddHBand="0" w:evenHBand="0" w:firstRowFirstColumn="0" w:firstRowLastColumn="0" w:lastRowFirstColumn="0" w:lastRowLastColumn="0"/>
            <w:tcW w:w="1363" w:type="pct"/>
            <w:hideMark/>
          </w:tcPr>
          <w:p w14:paraId="1DEE56E8" w14:textId="77777777" w:rsidR="00463FC6" w:rsidRPr="004A64EF" w:rsidRDefault="00463FC6">
            <w:pPr>
              <w:spacing w:before="20" w:after="20" w:line="240" w:lineRule="auto"/>
              <w:contextualSpacing/>
              <w:jc w:val="left"/>
              <w:rPr>
                <w:color w:val="FFFFFF" w:themeColor="background1"/>
                <w:sz w:val="18"/>
              </w:rPr>
            </w:pPr>
            <w:r>
              <w:rPr>
                <w:color w:val="FFFFFF" w:themeColor="background1"/>
                <w:sz w:val="18"/>
              </w:rPr>
              <w:t>Institucioni përgjegjës</w:t>
            </w:r>
          </w:p>
        </w:tc>
        <w:tc>
          <w:tcPr>
            <w:tcW w:w="3637" w:type="pct"/>
          </w:tcPr>
          <w:p w14:paraId="5B88CFAE" w14:textId="77777777" w:rsidR="00463FC6" w:rsidRPr="004A64EF" w:rsidRDefault="00463FC6">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MASHTI, ME, MMPHI, KEK, KOSTT, KEDS, Trainkos, ZRRE, MPJ, sektori akademik</w:t>
            </w:r>
          </w:p>
        </w:tc>
      </w:tr>
      <w:tr w:rsidR="00463FC6" w:rsidRPr="004A64EF" w14:paraId="1AB4D5C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pct"/>
            <w:hideMark/>
          </w:tcPr>
          <w:p w14:paraId="13449A5E" w14:textId="77777777" w:rsidR="00463FC6" w:rsidRPr="004A64EF" w:rsidRDefault="00463FC6">
            <w:pPr>
              <w:spacing w:before="20" w:after="20" w:line="240" w:lineRule="auto"/>
              <w:contextualSpacing/>
              <w:jc w:val="left"/>
              <w:rPr>
                <w:color w:val="FFFFFF" w:themeColor="background1"/>
                <w:sz w:val="18"/>
              </w:rPr>
            </w:pPr>
            <w:r>
              <w:rPr>
                <w:color w:val="FFFFFF" w:themeColor="background1"/>
                <w:sz w:val="18"/>
              </w:rPr>
              <w:t>Treguesit e progresit</w:t>
            </w:r>
          </w:p>
        </w:tc>
        <w:tc>
          <w:tcPr>
            <w:tcW w:w="3637" w:type="pct"/>
          </w:tcPr>
          <w:p w14:paraId="49E2BE8C" w14:textId="77777777" w:rsidR="00463FC6" w:rsidRPr="004A64EF" w:rsidRDefault="00463FC6">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n/a</w:t>
            </w:r>
          </w:p>
        </w:tc>
      </w:tr>
      <w:tr w:rsidR="00463FC6" w:rsidRPr="00976D33" w14:paraId="726DABB6" w14:textId="77777777">
        <w:tc>
          <w:tcPr>
            <w:cnfStyle w:val="001000000000" w:firstRow="0" w:lastRow="0" w:firstColumn="1" w:lastColumn="0" w:oddVBand="0" w:evenVBand="0" w:oddHBand="0" w:evenHBand="0" w:firstRowFirstColumn="0" w:firstRowLastColumn="0" w:lastRowFirstColumn="0" w:lastRowLastColumn="0"/>
            <w:tcW w:w="1363" w:type="pct"/>
          </w:tcPr>
          <w:p w14:paraId="26791F3D" w14:textId="0DE7B274" w:rsidR="00463FC6" w:rsidRPr="004A64EF" w:rsidRDefault="00463FC6">
            <w:pPr>
              <w:spacing w:before="20" w:after="20" w:line="240" w:lineRule="auto"/>
              <w:contextualSpacing/>
              <w:jc w:val="left"/>
              <w:rPr>
                <w:color w:val="FFFFFF" w:themeColor="background1"/>
                <w:sz w:val="18"/>
              </w:rPr>
            </w:pPr>
            <w:r>
              <w:rPr>
                <w:color w:val="FFFFFF" w:themeColor="background1"/>
                <w:sz w:val="18"/>
              </w:rPr>
              <w:t>Lidhja me dimension</w:t>
            </w:r>
            <w:r w:rsidR="0037748E">
              <w:rPr>
                <w:color w:val="FFFFFF" w:themeColor="background1"/>
                <w:sz w:val="18"/>
              </w:rPr>
              <w:t>et e tjera</w:t>
            </w:r>
          </w:p>
        </w:tc>
        <w:tc>
          <w:tcPr>
            <w:tcW w:w="3637" w:type="pct"/>
          </w:tcPr>
          <w:p w14:paraId="0FB01DA3" w14:textId="77777777" w:rsidR="00463FC6" w:rsidRPr="00976D33" w:rsidRDefault="00463FC6">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Dekarbonizimi, efiçienca e energjisë, siguria energjetike, tregu i brendshëm energjetik</w:t>
            </w:r>
          </w:p>
        </w:tc>
      </w:tr>
    </w:tbl>
    <w:p w14:paraId="7461597A" w14:textId="77777777" w:rsidR="00463FC6" w:rsidRPr="00976D33" w:rsidRDefault="00463FC6" w:rsidP="006E6E51"/>
    <w:p w14:paraId="13A71F93" w14:textId="20A41670" w:rsidR="00463FC6" w:rsidRPr="00976D33" w:rsidRDefault="00463FC6" w:rsidP="00463FC6">
      <w:pPr>
        <w:rPr>
          <w:rFonts w:cstheme="minorHAnsi"/>
        </w:rPr>
      </w:pPr>
      <w:r>
        <w:t>Aktivitetet hulumtuese në Kosovë do të adresojnë prioritetet e mëposhtme të politikës energjetike dhe klimatike:</w:t>
      </w:r>
    </w:p>
    <w:p w14:paraId="0D72F3EB" w14:textId="77777777" w:rsidR="00463FC6" w:rsidRPr="00976D33" w:rsidRDefault="00463FC6" w:rsidP="00463FC6">
      <w:pPr>
        <w:rPr>
          <w:rFonts w:cstheme="minorHAnsi"/>
          <w:b/>
          <w:iCs/>
        </w:rPr>
      </w:pPr>
      <w:r>
        <w:rPr>
          <w:b/>
        </w:rPr>
        <w:t>Siguria energjetike</w:t>
      </w:r>
    </w:p>
    <w:p w14:paraId="0E04239D" w14:textId="77777777" w:rsidR="00463FC6" w:rsidRPr="00976D33" w:rsidRDefault="00463FC6" w:rsidP="00463FC6">
      <w:pPr>
        <w:rPr>
          <w:rFonts w:cstheme="minorHAnsi"/>
        </w:rPr>
      </w:pPr>
      <w:r>
        <w:t>Zhvillimi i politikave inteligjente dhe zgjidhjeve inovative për të garantuar sigurinë energjetike të furnizimit nëpërmjet kombinimit të teknologjive të ndryshme të decentralizuara të ripërtëritshme. Në të njëjtën kohë, efektet e jashtme (mjedisore) të energjisë së ripërtëritshme do të menaxhohen siç duhet. Aktivitetet hulumtuese do të trajtojnë problemin e furnizimit të paqëndrueshëm me energji elektrike për shkak të mungesës së kapaciteteve në tërë zinxhirin e furnizimit me energji elektrike (d.m.th., prodhim, transmision dhe shpërndarje të energjisë elektrike):</w:t>
      </w:r>
    </w:p>
    <w:p w14:paraId="4FD6FC13" w14:textId="77777777" w:rsidR="00463FC6" w:rsidRPr="00976D33" w:rsidRDefault="00463FC6" w:rsidP="00AF7BBF">
      <w:pPr>
        <w:pStyle w:val="ListParagraph"/>
        <w:numPr>
          <w:ilvl w:val="1"/>
          <w:numId w:val="26"/>
        </w:numPr>
        <w:spacing w:after="160" w:line="259" w:lineRule="auto"/>
        <w:ind w:left="567"/>
        <w:rPr>
          <w:rFonts w:cstheme="minorHAnsi"/>
        </w:rPr>
      </w:pPr>
      <w:r>
        <w:t xml:space="preserve">Hulumtuesit, së bashku me organe të ndryshme qeveritare dhe partnerë të industrisë, (p.sh. KEK, KOSTT dhe KEDS) dhe palë të tjera të interesit nga shoqëria civile do të hulumtojnë </w:t>
      </w:r>
      <w:r>
        <w:rPr>
          <w:b/>
          <w:i/>
        </w:rPr>
        <w:t>kombinimin e duhur të teknologjive të gjenerimit</w:t>
      </w:r>
      <w:r>
        <w:t>. Kjo duhet të sigurojë: (1) reduktimin e përdorimit të thëngjillit për qëllime të energjisë elektrike dhe ngrohjes, dhe zëvendësimin e tij me burime të ripërtëritshme të energjisë, dhe (2) furnizimin e besueshëm dhe të përballueshëm me energji elektrike.</w:t>
      </w:r>
    </w:p>
    <w:p w14:paraId="05914E08" w14:textId="3495F5C9" w:rsidR="00463FC6" w:rsidRPr="00976D33" w:rsidRDefault="00463FC6" w:rsidP="00AF7BBF">
      <w:pPr>
        <w:pStyle w:val="ListParagraph"/>
        <w:numPr>
          <w:ilvl w:val="1"/>
          <w:numId w:val="26"/>
        </w:numPr>
        <w:spacing w:after="160" w:line="259" w:lineRule="auto"/>
        <w:ind w:left="567"/>
        <w:rPr>
          <w:rFonts w:cstheme="minorHAnsi"/>
        </w:rPr>
      </w:pPr>
      <w:r>
        <w:rPr>
          <w:b/>
          <w:i/>
        </w:rPr>
        <w:t>Integrimi i energjisë së ripërtëritshme, veçanërisht me erë dhe solare</w:t>
      </w:r>
      <w:r>
        <w:t>, rrit intermitencën në sistemin elektroenergjetik. Eksplorimi i zgjidhjeve dhe përvojave inovative nga vend</w:t>
      </w:r>
      <w:r w:rsidR="0037748E">
        <w:t>et e tjera</w:t>
      </w:r>
      <w:r>
        <w:t xml:space="preserve"> është i një rëndësie të veçantë në identifikimin e kostove shtesë të sistemit elektroenergjetik (p.sh., ri-shpërndarja, shërbimet e balancimit) që mund të lindin nga rritja e përqindjes së energjisë së ripërtëritshme intermitente.</w:t>
      </w:r>
    </w:p>
    <w:p w14:paraId="326B3650" w14:textId="77777777" w:rsidR="00463FC6" w:rsidRPr="00976D33" w:rsidRDefault="00463FC6" w:rsidP="00AF7BBF">
      <w:pPr>
        <w:pStyle w:val="ListParagraph"/>
        <w:numPr>
          <w:ilvl w:val="1"/>
          <w:numId w:val="26"/>
        </w:numPr>
        <w:spacing w:after="160" w:line="259" w:lineRule="auto"/>
        <w:ind w:left="567"/>
        <w:rPr>
          <w:rFonts w:cstheme="minorHAnsi"/>
        </w:rPr>
      </w:pPr>
      <w:r>
        <w:t xml:space="preserve">Instituti Hidrometeorologjik i Kosovës në bashkëpunim me KOSTT-in, KEDS-in dhe prodhuesit tjerë të energjisë së ripërtëritshme do të lansojnë një projekt të përbashkët për ndërtimin e kapaciteteve moderne që do sigurojnë </w:t>
      </w:r>
      <w:r>
        <w:rPr>
          <w:b/>
          <w:bCs/>
        </w:rPr>
        <w:t>projektimin e besueshëm dhe të saktë të furnizimit të energjisë elektrike nga termocentralet me erë dhe solare për tregun e ditës në avancë dhe brenda të njëjtës ditë.</w:t>
      </w:r>
      <w:r>
        <w:t xml:space="preserve"> Kjo pa dyshim ndihmon në uljen e kostove të furnizimit me energji elektrike nëpërmjet një planifikimi efikas të shfrytëzimit të kapaciteteve të energjisë elektrike përgjatë gjithë zinxhirit të furnizimit.</w:t>
      </w:r>
    </w:p>
    <w:p w14:paraId="560F77BF" w14:textId="77777777" w:rsidR="00463FC6" w:rsidRPr="00976D33" w:rsidRDefault="00463FC6" w:rsidP="00AF7BBF">
      <w:pPr>
        <w:pStyle w:val="ListParagraph"/>
        <w:numPr>
          <w:ilvl w:val="1"/>
          <w:numId w:val="26"/>
        </w:numPr>
        <w:spacing w:after="160" w:line="259" w:lineRule="auto"/>
        <w:ind w:left="567"/>
        <w:rPr>
          <w:rFonts w:cstheme="minorHAnsi"/>
        </w:rPr>
      </w:pPr>
      <w:r>
        <w:t xml:space="preserve">Në përputhje me Strategjinë për Ndryshimet Klimatike 2019-2028, hulumtimi do të ndihmojë për të siguruar një pasqyrë të gjerë rreth </w:t>
      </w:r>
      <w:r>
        <w:rPr>
          <w:b/>
          <w:i/>
        </w:rPr>
        <w:t>kapaciteteve ujore</w:t>
      </w:r>
      <w:r>
        <w:t xml:space="preserve"> në Kosovë dhe për të eksploruar se cilat investime strategjike nevojiten për të eliminuar të gjitha mungesat e ujit. Kjo do të hapë rrugë për projekte të mëdha që synojnë rritjen e njëkohshme të kapaciteteve të ujit të pijshëm, ujitës dhe energjisë të Kosovës duke investuar në rezervuarë shtesë për ruajtjen e ujit brenda pellgjeve lumore. Kjo rrit kapacitetet rezervë të prodhimit të energjisë elektrike të Kosovës me fleksibilitet të lartë, të cilat mund të aktivizohen më shpejt dhe në periudha më të shkurtra për të eliminuar ndërprerjet e mundshme dhe çekuilibrat e sistemit energjetik kur është e nevojshme. Kjo rrit zgjedhjen e operatorit të sistemit të transmisionit për të menaxhuar në mënyrë efikase luhatjet e mëdha të furnizimit me energji, veçanërisht nga energjitë e ripërtëritshme intermitente. Të gjitha efektet e mundshme mjedisore, sociale dhe ekonomike do të maten për të mundësuar një proces vendimmarrjeje transparente dhe të bazuar në prova. Prandaj, nevojitet një analizë multisektorale dhe multidimensionale.</w:t>
      </w:r>
    </w:p>
    <w:p w14:paraId="2A71CEAD" w14:textId="77777777" w:rsidR="00463FC6" w:rsidRPr="00976D33" w:rsidRDefault="00463FC6" w:rsidP="00463FC6">
      <w:pPr>
        <w:rPr>
          <w:rFonts w:cstheme="minorHAnsi"/>
          <w:b/>
          <w:iCs/>
        </w:rPr>
      </w:pPr>
      <w:r>
        <w:rPr>
          <w:b/>
        </w:rPr>
        <w:lastRenderedPageBreak/>
        <w:t>Tregu i brendshëm</w:t>
      </w:r>
    </w:p>
    <w:p w14:paraId="6B129916" w14:textId="77777777" w:rsidR="00463FC6" w:rsidRPr="00976D33" w:rsidRDefault="00463FC6" w:rsidP="00463FC6">
      <w:pPr>
        <w:rPr>
          <w:rFonts w:cstheme="minorHAnsi"/>
        </w:rPr>
      </w:pPr>
      <w:r>
        <w:t>Eksplorimi i kombinimit më të mirë të politikave të ndryshme energjetike, klimatike dhe rregullatore në projektimin e tregjeve të energjisë për nxitjen e inovacioneve, uljen e çmimeve të energjisë dhe përmirësimin e avantazhin konkurrues do të kontribuojë në eliminimin e mono poleve ekzistuese në prodhimin dhe shitjen me pakicë të energjisë elektrike duke rritur numrin e prodhuesve që përdorin teknologji të ndryshme neutrale ndaj klimës dhe numrin e shitësve me pakicë që çojnë në efikasitet më të lartë të tregut dhe çmime më të ulëta të energjisë. Prandaj, organe të ndryshme qeveritare, përfshirë ZRRE-në, së bashku me universitetet do të vënë theksin në aktivitetet hulumtuese që ndihmojnë në identifikimin e masave të përshtatshme të energjisë, klimës dhe politikave rregullatore për të gjallëruar një treg të hapur të energjisë, ku firmat do të kenë stimuj më të lartë për të hyrë në treg dhe për të ofruar produkte dhe shërbime inovative.</w:t>
      </w:r>
    </w:p>
    <w:p w14:paraId="4387E3D1" w14:textId="77777777" w:rsidR="00463FC6" w:rsidRPr="00976D33" w:rsidRDefault="00463FC6" w:rsidP="00AF7BBF">
      <w:pPr>
        <w:pStyle w:val="ListParagraph"/>
        <w:numPr>
          <w:ilvl w:val="1"/>
          <w:numId w:val="25"/>
        </w:numPr>
        <w:spacing w:after="160" w:line="259" w:lineRule="auto"/>
        <w:ind w:left="567"/>
        <w:rPr>
          <w:rFonts w:cstheme="minorHAnsi"/>
        </w:rPr>
      </w:pPr>
      <w:r>
        <w:t xml:space="preserve">Firmat do të inkurajohen përmes politikave të përshtatshme për të investuar në teknologji energjetike të përshtatshme për mjedisin duke ndihmuar Kosovën që të sigurojë </w:t>
      </w:r>
      <w:r>
        <w:rPr>
          <w:b/>
          <w:i/>
        </w:rPr>
        <w:t>furnizim të besueshëm dhe të përballueshëm me energji elektrike</w:t>
      </w:r>
      <w:r>
        <w:t xml:space="preserve"> duke rritur, së pari, kapacitetet gjeneruese dhe, së dyti, duke reduktuar fuqinë e monopolit të operatorit aktual.</w:t>
      </w:r>
    </w:p>
    <w:p w14:paraId="4F3BA875" w14:textId="77777777" w:rsidR="00463FC6" w:rsidRPr="00976D33" w:rsidRDefault="00463FC6" w:rsidP="00AF7BBF">
      <w:pPr>
        <w:pStyle w:val="ListParagraph"/>
        <w:numPr>
          <w:ilvl w:val="1"/>
          <w:numId w:val="25"/>
        </w:numPr>
        <w:spacing w:after="160" w:line="259" w:lineRule="auto"/>
        <w:ind w:left="567"/>
        <w:rPr>
          <w:rFonts w:cstheme="minorHAnsi"/>
        </w:rPr>
      </w:pPr>
      <w:r>
        <w:t xml:space="preserve">Firmat e reja do të stimulohen për të hyrë në tregun me pakicë të energjisë elektrike. Kjo u mundëson konsumatorëve të zgjedhin furnizuesin e tyre. Është gjithashtu e nevojshme të inkurajohen konsumatorët që të kalojnë në furnizues të rinj. Kjo do të rrisë presionin e konkurrencës, e cila nga ana tjetër rrit efikasitetin e tregut. Prandaj, do të bëhen hulumtime </w:t>
      </w:r>
      <w:r>
        <w:rPr>
          <w:b/>
          <w:i/>
        </w:rPr>
        <w:t>për të gjetur përgjigje se nën çfarë kushtesh të tregut hyjnë në treg firmat e reja dhe, në të njëjtën kohë, konsumatorët ndërrojnë furnizuesin e tyre të energjisë elektrike.</w:t>
      </w:r>
    </w:p>
    <w:p w14:paraId="3EBA810C" w14:textId="77777777" w:rsidR="00463FC6" w:rsidRPr="00976D33" w:rsidRDefault="00463FC6" w:rsidP="00AF7BBF">
      <w:pPr>
        <w:pStyle w:val="ListParagraph"/>
        <w:numPr>
          <w:ilvl w:val="1"/>
          <w:numId w:val="25"/>
        </w:numPr>
        <w:spacing w:after="160" w:line="259" w:lineRule="auto"/>
        <w:ind w:left="567"/>
        <w:rPr>
          <w:rFonts w:cstheme="minorHAnsi"/>
        </w:rPr>
      </w:pPr>
      <w:r>
        <w:t xml:space="preserve">Politikat rregullatore do të sigurojnë që monopolet natyrore (d.m.th. operatorët e transmisionit dhe distribuimit) do të ndjekin objektivat kombëtare për të siguruar furnizim të besueshëm dhe të përballueshëm me energji elektrike. Masat e reja rregullatore do të jenë në fokus të studimeve hulumtuese që synojnë gjetjen e politikave të përshtatshme në rritjen e investimeve si në transmision ashtu edhe në distribuim në drejtim të zgjerimit dhe modernizimit të rrjetit për të reduktuar ndërprerjet e energjisë elektrike si dhe humbjet komerciale dhe teknike. </w:t>
      </w:r>
      <w:r>
        <w:rPr>
          <w:b/>
          <w:i/>
        </w:rPr>
        <w:t>Politikat e reja rregullatore në lidhje me tarifat e rrjetit inovativ</w:t>
      </w:r>
      <w:r>
        <w:t xml:space="preserve"> do të vlerësohen brenda dy viteve të ardhshme për të inkurajuar </w:t>
      </w:r>
      <w:r>
        <w:rPr>
          <w:b/>
          <w:i/>
        </w:rPr>
        <w:t>digjitalizimin dhe përdorimin njehsorëve inteligjentë.</w:t>
      </w:r>
      <w:r>
        <w:t xml:space="preserve"> Kjo siguron që Kosova do të shfrytëzojë potencialin e </w:t>
      </w:r>
      <w:r>
        <w:rPr>
          <w:b/>
          <w:i/>
        </w:rPr>
        <w:t>përgjigjes ndaj kërkesës dhe menaxhimit të kërkesës</w:t>
      </w:r>
      <w:r>
        <w:t xml:space="preserve"> në një të ardhme të afërt.</w:t>
      </w:r>
    </w:p>
    <w:p w14:paraId="13F57C75" w14:textId="0E480F44" w:rsidR="00463FC6" w:rsidRPr="00976D33" w:rsidRDefault="00463FC6" w:rsidP="00AF7BBF">
      <w:pPr>
        <w:pStyle w:val="ListParagraph"/>
        <w:numPr>
          <w:ilvl w:val="1"/>
          <w:numId w:val="25"/>
        </w:numPr>
        <w:spacing w:after="160" w:line="259" w:lineRule="auto"/>
        <w:ind w:left="567"/>
        <w:rPr>
          <w:rFonts w:cstheme="minorHAnsi"/>
        </w:rPr>
      </w:pPr>
      <w:r>
        <w:t xml:space="preserve">Problemi i urbanizimit të shpejtë është ende duke rritur kostot e operatorëve të rrjetit (veçanërisht të distribuim). Intervistat me palët e interesit nga sektori i ndërtimit tregojnë se shumica e ndërtesave të reja banesore në bashkëpronësi dhe ndërtesat afariste janë konceptuar gjithashtu për të përdorur energjinë elektrike për qëllime të ngrohjes. Ka katër probleme në zhvillim si rezultat i kësaj çështjeje: (1) rritja e paqëndrueshmërisë së furnizimit të tensionit; (2) investimet e paplanifikuara për të përmirësuar rrjetin; (3) rritja e kërkesës në një rrjet energjetik të mbingarkuar; dhe (4) humbjet më të larta të rrjetit.  Prandaj, studimet do të duhet të përdorin të dhëna historike për të njohur modelet e kërkesës së energjisë elektrike në nyje të ndryshme të rrjetit. Kjo i ndihmon operatorit të sistemit të shpërndarjes të fitojë njohuri të vlefshme për shpërndarjen kohore dhe hapësinore të ngarkesës në rrjetin elektrik, humbjet e rrjetit dhe çështjet të tjera të ndërlidhura. Të gjitha kostot shoqëruese duhet të llogariten në terma monetarë për të bërë të dukshme kostot e urbanizimit të paplanifikuar për të gjithë shoqërinë. Për të kryer një studim të kësaj fushe, një numër i madh i palëve të interesit, duke përfshirë KEDS-in, KOSTT-in, ZRRE-në, ministritë përgjegjëse, universitetet, shoqatat e ndërtimit dhe shoqatat qytetare, do të duhet të bashkëpunojnë. Përfundimisht, Kosova do të jetë në gjendje të zbatojë </w:t>
      </w:r>
      <w:r>
        <w:rPr>
          <w:b/>
          <w:i/>
        </w:rPr>
        <w:t>politika të koordinuara mirë të planifikimit hapësinor, urbanistik dhe rregullativ në lehtësimin e zgjidhjeve të përshtatshme dhe efikase për urbanizimin e pakontrolluar</w:t>
      </w:r>
      <w:r>
        <w:t>. Kjo qasje integrale mundëson zhvillimin e një menaxhimi efikas, më të lehtë, të planifikuar dhe produktiv të rrjetit, i cili nga ana tjetër reflektohet në çmime më të ulëta të energjisë elektrike për konsumatorët.</w:t>
      </w:r>
    </w:p>
    <w:p w14:paraId="4BB458D7" w14:textId="77777777" w:rsidR="00463FC6" w:rsidRPr="00976D33" w:rsidRDefault="00463FC6" w:rsidP="00463FC6">
      <w:pPr>
        <w:rPr>
          <w:rFonts w:cstheme="minorHAnsi"/>
          <w:b/>
          <w:iCs/>
        </w:rPr>
      </w:pPr>
      <w:r>
        <w:rPr>
          <w:b/>
        </w:rPr>
        <w:t>Dekarbonizimi</w:t>
      </w:r>
    </w:p>
    <w:p w14:paraId="60C0FCC1" w14:textId="77777777" w:rsidR="00463FC6" w:rsidRPr="00976D33" w:rsidRDefault="00463FC6" w:rsidP="00463FC6">
      <w:pPr>
        <w:rPr>
          <w:rFonts w:cstheme="minorHAnsi"/>
        </w:rPr>
      </w:pPr>
      <w:r>
        <w:t>Në zhvillimin e strategjive dhe zgjidhjeve inovative në lidhje me mbrojtjen e mjedisit, mobilitetin, menaxhimin e ujit, menaxhimin e mbeturinave, menaxhimin e pyjeve dhe bujqësisë, një theks i veçantë do të vihet në identifikimin e ideve inovative për (1) reduktimin e ndotjes; (2) sjelljen e teknologjive të reja në rigjallërimin e mbulesave pyjore dhe pyjeve, (3) përmirësimin e bujqësisë, ujit dhe menaxhimit të pyjeve në arritjen e qëllimeve klimatike dhe inkurajimin e turizmit.</w:t>
      </w:r>
    </w:p>
    <w:p w14:paraId="66AD7158" w14:textId="77777777" w:rsidR="00463FC6" w:rsidRPr="00976D33" w:rsidRDefault="00463FC6" w:rsidP="00AF7BBF">
      <w:pPr>
        <w:pStyle w:val="ListParagraph"/>
        <w:numPr>
          <w:ilvl w:val="0"/>
          <w:numId w:val="28"/>
        </w:numPr>
        <w:spacing w:after="160" w:line="259" w:lineRule="auto"/>
        <w:ind w:left="567"/>
        <w:rPr>
          <w:rFonts w:cstheme="minorHAnsi"/>
        </w:rPr>
      </w:pPr>
      <w:r>
        <w:lastRenderedPageBreak/>
        <w:t xml:space="preserve">Sa i përket mobilitetit dhe infrastrukturës, Kosova ka ndjekur objektivin e përmirësimit të cilësisë dhe ndërtimit të infrastrukturës së re. Shtylla e katërt e Strategjisë Kombëtare për Zhvillim fokusohet kryesisht në rëndësinë e </w:t>
      </w:r>
      <w:r>
        <w:rPr>
          <w:b/>
          <w:i/>
        </w:rPr>
        <w:t>modernizimit të infrastrukturës hekurudhore</w:t>
      </w:r>
      <w:r>
        <w:t>. Ka filluar puna për modernizimin e linjës hekurudhore ndërkombëtare, linjës 10 (me gjatësi prej 148 km) nga Fushë Kosova në Maqedoninë e Veriut (linja jugore) dhe nga Fushë Kosova në Serbi (linja veriore). Kjo do të rrisë ndjeshëm cilësinë e shërbimeve hekurudhore për transportin e udhëtarëve dhe mallrave. Potenciali i këtij projekti në përmirësimin e gjurmës së karbonit të rajonit në sektorin e transportit është shumë i madh.</w:t>
      </w:r>
    </w:p>
    <w:p w14:paraId="26E23920" w14:textId="77777777" w:rsidR="00463FC6" w:rsidRPr="00976D33" w:rsidRDefault="00463FC6" w:rsidP="00AF7BBF">
      <w:pPr>
        <w:pStyle w:val="ListParagraph"/>
        <w:numPr>
          <w:ilvl w:val="0"/>
          <w:numId w:val="28"/>
        </w:numPr>
        <w:spacing w:after="160" w:line="259" w:lineRule="auto"/>
        <w:ind w:left="567"/>
        <w:rPr>
          <w:rFonts w:cstheme="minorHAnsi"/>
        </w:rPr>
      </w:pPr>
      <w:r>
        <w:t xml:space="preserve">Studimet do të kryhen në frymën e një </w:t>
      </w:r>
      <w:r>
        <w:rPr>
          <w:b/>
          <w:i/>
        </w:rPr>
        <w:t>pilot</w:t>
      </w:r>
      <w:r>
        <w:t xml:space="preserve"> </w:t>
      </w:r>
      <w:r>
        <w:rPr>
          <w:b/>
          <w:i/>
        </w:rPr>
        <w:t>projekti për të identifikuar të gjitha mundësitë në maksimizimin e përdorimit të segmenteve të modernizuara të infrastrukturës hekurudhore</w:t>
      </w:r>
      <w:r>
        <w:t>. Në pilot projekt, hulumtuesit, me anë të një studimi shumë gjithëpërfshirës, do të ndihmojnë në ofrimin e zgjidhjeve se cilat shërbimet ndihmëse (komunale dhe rajonale) me theks të veçantë në transportin publik duhet të zhvillohen në mënyrë që udhëtarët (studentët dhe punëtorët) nga Ferizaj në Prishtinë</w:t>
      </w:r>
      <w:r w:rsidRPr="00976D33">
        <w:rPr>
          <w:rStyle w:val="FootnoteReference"/>
          <w:rFonts w:cstheme="minorHAnsi"/>
        </w:rPr>
        <w:footnoteReference w:id="21"/>
      </w:r>
      <w:r>
        <w:t xml:space="preserve"> dhe anasjelltas do të vendosin ta përdorin transportin hekurudhor, në vend të autobusëve dhe veturave. Ky studim do të ofrojë zgjidhje optimale për rrugët e udhëtimit përmes transportit publik, me kusht që të maksimizohet mirëqenia publike dhe të minimizohet ndotja. Ajo që është më e rëndësishme, duke përdorur metoda moderne të hulumtimit, ky studim do të ofrojë një analizë të thellë të dimensioneve të tjera të vendimit për udhëtarët, si për shembull se për çfarë kombinimi të çmimeve të biletave dhe çmimeve të karburantit njerëzit do të vendosin të kalojnë në transportin hekurudhor. Kryerja e një studimi të kësaj natyre kërkon koordinim të ngushtë ndërmjet hulumtuesve të universiteteve dhe temave të ndryshme, komunave të Ferizajt dhe Prishtinës, Trainkos dhe palëve të tjera publike dhe private.</w:t>
      </w:r>
    </w:p>
    <w:p w14:paraId="4FB659A4" w14:textId="77777777" w:rsidR="00463FC6" w:rsidRPr="00976D33" w:rsidRDefault="00463FC6" w:rsidP="00AF7BBF">
      <w:pPr>
        <w:pStyle w:val="ListParagraph"/>
        <w:numPr>
          <w:ilvl w:val="0"/>
          <w:numId w:val="28"/>
        </w:numPr>
        <w:spacing w:after="160" w:line="259" w:lineRule="auto"/>
        <w:ind w:left="567"/>
        <w:rPr>
          <w:rFonts w:cstheme="minorHAnsi"/>
        </w:rPr>
      </w:pPr>
      <w:r>
        <w:t xml:space="preserve">Projektimi i transportit publik do të jetë në llupën e hulumtimit. Arkitektura e qyteteve, për fat të keq, nuk po e mbështet zhvillimin e qëndrueshëm të transportit publik. Prandaj, aktivitetet hulumtuese do të përqendrohen në gjetjen e </w:t>
      </w:r>
      <w:r>
        <w:rPr>
          <w:b/>
          <w:i/>
        </w:rPr>
        <w:t>ideve inovative që mundësojnë një zhvillim efikas, produktiv dhe neutral ndaj klimës të transportit publik</w:t>
      </w:r>
      <w:r>
        <w:t>. Vënia në funksion e tramvajit është shumë e kushtueshme dhe kërkon shumë kohë. Prandaj, përvojat nga qytete të ndryshme anembanë globit kanë treguar se përdorimi i teleferikut është një alternativë e mirë.</w:t>
      </w:r>
    </w:p>
    <w:p w14:paraId="2199BA54" w14:textId="77777777" w:rsidR="00463FC6" w:rsidRPr="00976D33" w:rsidRDefault="00463FC6" w:rsidP="00AF7BBF">
      <w:pPr>
        <w:pStyle w:val="ListParagraph"/>
        <w:numPr>
          <w:ilvl w:val="0"/>
          <w:numId w:val="28"/>
        </w:numPr>
        <w:spacing w:after="160" w:line="259" w:lineRule="auto"/>
        <w:ind w:left="567"/>
        <w:rPr>
          <w:rFonts w:cstheme="minorHAnsi"/>
        </w:rPr>
      </w:pPr>
      <w:r>
        <w:t xml:space="preserve">Kosova do të rishikojë ligjet për regjistrimin e veturave të vjetra dhe të reja të importuara nga jashtë. Numri i madh i veturave dhe kamionëve të vjetër në trafik po shton jo vetëm numrin e aksidenteve, por edhe po përkeqëson gjurmën e karbonit në sektorin e transportit. Prandaj, ligji i rishikuar do të sigurojë që të përcaktojë </w:t>
      </w:r>
      <w:r>
        <w:rPr>
          <w:b/>
          <w:i/>
        </w:rPr>
        <w:t>stimujt e duhur në importimin e veturave dhe kamionëve</w:t>
      </w:r>
      <w:r>
        <w:t xml:space="preserve"> që do të ndihmojë Kosovën që të ketë një trafik më të sigurt dhe në të njëjtën kohë të ulë gazrat serrë.</w:t>
      </w:r>
    </w:p>
    <w:p w14:paraId="218DE283" w14:textId="77777777" w:rsidR="00463FC6" w:rsidRPr="00976D33" w:rsidRDefault="00463FC6" w:rsidP="00AF7BBF">
      <w:pPr>
        <w:pStyle w:val="ListParagraph"/>
        <w:numPr>
          <w:ilvl w:val="0"/>
          <w:numId w:val="28"/>
        </w:numPr>
        <w:spacing w:after="160" w:line="259" w:lineRule="auto"/>
        <w:ind w:left="567"/>
        <w:rPr>
          <w:rFonts w:cstheme="minorHAnsi"/>
        </w:rPr>
      </w:pPr>
      <w:r>
        <w:t xml:space="preserve">Brenda 2 viteve të ardhshme, Kosova do të kryejë studime për të analizuar </w:t>
      </w:r>
      <w:r>
        <w:rPr>
          <w:b/>
          <w:i/>
        </w:rPr>
        <w:t>potencialin e zhvillimit të shtigjeve për biçikleta</w:t>
      </w:r>
      <w:r>
        <w:t xml:space="preserve"> duke ndihmuar njerëzit që të shkojnë në punë me biçikletë në vend të përdorimit të veturës ose transportit publik. Kjo përmirëson jo vetëm gjurmën e karbonit të Kosovës, por gjithashtu ka efekte anësore pozitive shtesë në gjendjen shëndetësore dhe financiare të çiklistëve. Qeveria e Kosovës do t’i inkurajojë njerëzit që të përdorin mundësitë që ofron Parku i Inovacionit dhe Trajnimit në Prizren dhe Qendra e Inovacionit të Kosovës për të zhvilluar ide inovative të biznesit që i shtyjnë njerëzit të përdorin më shumë biçikleta për të udhëtuar në distanca të shkurtra.</w:t>
      </w:r>
    </w:p>
    <w:p w14:paraId="5B3785B1" w14:textId="77777777" w:rsidR="00463FC6" w:rsidRPr="00976D33" w:rsidRDefault="00463FC6" w:rsidP="00AF7BBF">
      <w:pPr>
        <w:pStyle w:val="ListParagraph"/>
        <w:numPr>
          <w:ilvl w:val="0"/>
          <w:numId w:val="28"/>
        </w:numPr>
        <w:spacing w:after="160" w:line="259" w:lineRule="auto"/>
        <w:ind w:left="567"/>
        <w:rPr>
          <w:rFonts w:cstheme="minorHAnsi"/>
        </w:rPr>
      </w:pPr>
      <w:r>
        <w:t xml:space="preserve">Në përputhje me Strategjinë e Ndryshimeve Klimatike 2019-2028, aktivitetet hulumtuese do të përqendrohen në arritjen e </w:t>
      </w:r>
      <w:r>
        <w:rPr>
          <w:b/>
          <w:i/>
        </w:rPr>
        <w:t>zgjidhjeve më të mira inovative dhe të personalizuara që i hapin rrugën masave të përshtatjes ndaj ndryshimeve klimatike</w:t>
      </w:r>
      <w:r>
        <w:t>, siç janë:</w:t>
      </w:r>
    </w:p>
    <w:p w14:paraId="7C10C9CA" w14:textId="77777777" w:rsidR="00463FC6" w:rsidRPr="00976D33" w:rsidRDefault="00463FC6" w:rsidP="00AF7BBF">
      <w:pPr>
        <w:pStyle w:val="ListParagraph"/>
        <w:numPr>
          <w:ilvl w:val="0"/>
          <w:numId w:val="27"/>
        </w:numPr>
        <w:spacing w:after="160" w:line="259" w:lineRule="auto"/>
        <w:ind w:left="1134"/>
        <w:rPr>
          <w:rFonts w:cstheme="minorHAnsi"/>
        </w:rPr>
      </w:pPr>
      <w:r>
        <w:t>përdorimi efiçient i burimeve të pakta ujore</w:t>
      </w:r>
    </w:p>
    <w:p w14:paraId="2B1A3934" w14:textId="77777777" w:rsidR="00463FC6" w:rsidRPr="00976D33" w:rsidRDefault="00463FC6" w:rsidP="00AF7BBF">
      <w:pPr>
        <w:pStyle w:val="ListParagraph"/>
        <w:numPr>
          <w:ilvl w:val="0"/>
          <w:numId w:val="27"/>
        </w:numPr>
        <w:spacing w:after="160" w:line="259" w:lineRule="auto"/>
        <w:ind w:left="1134"/>
        <w:rPr>
          <w:rFonts w:cstheme="minorHAnsi"/>
        </w:rPr>
      </w:pPr>
      <w:r>
        <w:t>përshtatja e kodeve të ndërtimit me kushtet e ardhshme klimatike dhe ngjarjet ekstreme të motit – nevojitet një koordinim me masat e efiçiencës së energjisë,</w:t>
      </w:r>
    </w:p>
    <w:p w14:paraId="28114C3F" w14:textId="77777777" w:rsidR="00463FC6" w:rsidRPr="00976D33" w:rsidRDefault="00463FC6" w:rsidP="00AF7BBF">
      <w:pPr>
        <w:pStyle w:val="ListParagraph"/>
        <w:numPr>
          <w:ilvl w:val="0"/>
          <w:numId w:val="27"/>
        </w:numPr>
        <w:spacing w:after="160" w:line="259" w:lineRule="auto"/>
        <w:ind w:left="1134"/>
        <w:rPr>
          <w:rFonts w:cstheme="minorHAnsi"/>
        </w:rPr>
      </w:pPr>
      <w:r>
        <w:t>ndërtimi i mbrojtjeve nga përmbytjet dhe ngritja e niveleve të digave,</w:t>
      </w:r>
    </w:p>
    <w:p w14:paraId="3AA6C3E2" w14:textId="77777777" w:rsidR="00463FC6" w:rsidRPr="00976D33" w:rsidRDefault="00463FC6" w:rsidP="00AF7BBF">
      <w:pPr>
        <w:pStyle w:val="ListParagraph"/>
        <w:numPr>
          <w:ilvl w:val="0"/>
          <w:numId w:val="27"/>
        </w:numPr>
        <w:spacing w:after="160" w:line="259" w:lineRule="auto"/>
        <w:ind w:left="1134"/>
        <w:rPr>
          <w:rFonts w:cstheme="minorHAnsi"/>
        </w:rPr>
      </w:pPr>
      <w:r>
        <w:t>zhvillimi i kulturave tolerante ndaj thatësirës,</w:t>
      </w:r>
    </w:p>
    <w:p w14:paraId="2AB59B61" w14:textId="77777777" w:rsidR="00463FC6" w:rsidRPr="00976D33" w:rsidRDefault="00463FC6" w:rsidP="00AF7BBF">
      <w:pPr>
        <w:pStyle w:val="ListParagraph"/>
        <w:numPr>
          <w:ilvl w:val="0"/>
          <w:numId w:val="27"/>
        </w:numPr>
        <w:spacing w:after="160" w:line="259" w:lineRule="auto"/>
        <w:ind w:left="1134"/>
        <w:rPr>
          <w:rFonts w:cstheme="minorHAnsi"/>
        </w:rPr>
      </w:pPr>
      <w:r>
        <w:t>zgjedhja e llojeve të pemëve dhe praktikave pyjore më pak të ndjeshme ndaj stuhive dhe zjarreve,</w:t>
      </w:r>
    </w:p>
    <w:p w14:paraId="1416AFC2" w14:textId="77777777" w:rsidR="00463FC6" w:rsidRPr="00976D33" w:rsidRDefault="00463FC6" w:rsidP="00AF7BBF">
      <w:pPr>
        <w:pStyle w:val="ListParagraph"/>
        <w:numPr>
          <w:ilvl w:val="0"/>
          <w:numId w:val="27"/>
        </w:numPr>
        <w:spacing w:after="160" w:line="259" w:lineRule="auto"/>
        <w:ind w:left="1134"/>
        <w:rPr>
          <w:rFonts w:cstheme="minorHAnsi"/>
        </w:rPr>
      </w:pPr>
      <w:r>
        <w:t>lënia mënjanë e korridoreve tokësore për të ndihmuar speciet të migrojnë.</w:t>
      </w:r>
    </w:p>
    <w:p w14:paraId="45615EF2" w14:textId="77777777" w:rsidR="00463FC6" w:rsidRPr="00976D33" w:rsidRDefault="00463FC6" w:rsidP="00AF7BBF">
      <w:pPr>
        <w:pStyle w:val="ListParagraph"/>
        <w:numPr>
          <w:ilvl w:val="0"/>
          <w:numId w:val="28"/>
        </w:numPr>
        <w:spacing w:after="160" w:line="259" w:lineRule="auto"/>
        <w:ind w:left="567"/>
        <w:rPr>
          <w:rFonts w:cstheme="minorHAnsi"/>
        </w:rPr>
      </w:pPr>
      <w:r>
        <w:t xml:space="preserve">Studime gjithëpërfshirëse do të ndërmerren për të ofruar një përshkrim të mirë rreth </w:t>
      </w:r>
      <w:r>
        <w:rPr>
          <w:b/>
          <w:i/>
        </w:rPr>
        <w:t xml:space="preserve">opsioneve më të mira të mundshme për të siguruar furnizim të besueshëm, të përballueshëm dhe të </w:t>
      </w:r>
      <w:r>
        <w:rPr>
          <w:b/>
          <w:i/>
        </w:rPr>
        <w:lastRenderedPageBreak/>
        <w:t>qëndrueshëm me energji elektrike dhe ngrohje</w:t>
      </w:r>
      <w:r>
        <w:t>. Kjo kërkon një analizë të thellë të të gjitha teknologjive të mundshme që Kosova duhet të përdorë në të ardhmen drejt dekarbonizimit të sektorit energjetik – përgjegjës për pjesën më të madhe të emetimeve.</w:t>
      </w:r>
    </w:p>
    <w:p w14:paraId="43844FF7" w14:textId="77777777" w:rsidR="00463FC6" w:rsidRPr="00976D33" w:rsidRDefault="00463FC6" w:rsidP="00AF7BBF">
      <w:pPr>
        <w:pStyle w:val="ListParagraph"/>
        <w:numPr>
          <w:ilvl w:val="0"/>
          <w:numId w:val="28"/>
        </w:numPr>
        <w:spacing w:after="160" w:line="259" w:lineRule="auto"/>
        <w:ind w:left="567"/>
        <w:rPr>
          <w:rFonts w:cstheme="minorHAnsi"/>
        </w:rPr>
      </w:pPr>
      <w:r>
        <w:t xml:space="preserve">Kosova përfundimisht do të sjellë në diskutim </w:t>
      </w:r>
      <w:r>
        <w:rPr>
          <w:b/>
          <w:i/>
        </w:rPr>
        <w:t>prezantimin e çmimit të karbonit</w:t>
      </w:r>
      <w:r>
        <w:t>. Një numër i madh i palëve të interesit nga akademia, shoqëria civile, industritë dhe qeveria do të inkurajohen të hulumtojnë:</w:t>
      </w:r>
    </w:p>
    <w:p w14:paraId="45FC9FB4" w14:textId="77777777" w:rsidR="00463FC6" w:rsidRPr="00976D33" w:rsidRDefault="00463FC6" w:rsidP="00AF7BBF">
      <w:pPr>
        <w:pStyle w:val="ListParagraph"/>
        <w:numPr>
          <w:ilvl w:val="0"/>
          <w:numId w:val="27"/>
        </w:numPr>
        <w:spacing w:after="160" w:line="259" w:lineRule="auto"/>
        <w:ind w:left="1134"/>
        <w:rPr>
          <w:rFonts w:cstheme="minorHAnsi"/>
        </w:rPr>
      </w:pPr>
      <w:r>
        <w:t>cilat industri do të preken më shumë,</w:t>
      </w:r>
    </w:p>
    <w:p w14:paraId="0787A897" w14:textId="77777777" w:rsidR="00463FC6" w:rsidRPr="00976D33" w:rsidRDefault="00463FC6" w:rsidP="00AF7BBF">
      <w:pPr>
        <w:pStyle w:val="ListParagraph"/>
        <w:numPr>
          <w:ilvl w:val="0"/>
          <w:numId w:val="27"/>
        </w:numPr>
        <w:spacing w:after="160" w:line="259" w:lineRule="auto"/>
        <w:ind w:left="1134"/>
        <w:rPr>
          <w:rFonts w:cstheme="minorHAnsi"/>
        </w:rPr>
      </w:pPr>
      <w:r>
        <w:t>nivelin optimal zë çmimit të karbonit,</w:t>
      </w:r>
    </w:p>
    <w:p w14:paraId="7A5B676B" w14:textId="77777777" w:rsidR="00463FC6" w:rsidRPr="00976D33" w:rsidRDefault="00463FC6" w:rsidP="00AF7BBF">
      <w:pPr>
        <w:pStyle w:val="ListParagraph"/>
        <w:numPr>
          <w:ilvl w:val="0"/>
          <w:numId w:val="27"/>
        </w:numPr>
        <w:spacing w:after="160" w:line="259" w:lineRule="auto"/>
        <w:ind w:left="1134"/>
        <w:rPr>
          <w:rFonts w:cstheme="minorHAnsi"/>
        </w:rPr>
      </w:pPr>
      <w:r>
        <w:t>domosdoshmërinë për të prezantuar një kufi çmimi nëse skema e tregtimit të emetimeve (STE) në frymën e sistemit kap dhe shes është opsion,</w:t>
      </w:r>
    </w:p>
    <w:p w14:paraId="1F9B676A" w14:textId="77777777" w:rsidR="00463FC6" w:rsidRPr="00976D33" w:rsidRDefault="00463FC6" w:rsidP="00AF7BBF">
      <w:pPr>
        <w:pStyle w:val="ListParagraph"/>
        <w:numPr>
          <w:ilvl w:val="0"/>
          <w:numId w:val="27"/>
        </w:numPr>
        <w:spacing w:after="160" w:line="259" w:lineRule="auto"/>
        <w:ind w:left="1134"/>
        <w:rPr>
          <w:rFonts w:cstheme="minorHAnsi"/>
        </w:rPr>
      </w:pPr>
      <w:r>
        <w:t>vlerësimin e efektivitetit të tij afatshkurtër dhe afatgjatë në lidhje me reduktimin e emetimeve,</w:t>
      </w:r>
    </w:p>
    <w:p w14:paraId="27DB0495" w14:textId="77777777" w:rsidR="00463FC6" w:rsidRPr="00976D33" w:rsidRDefault="00463FC6" w:rsidP="00AF7BBF">
      <w:pPr>
        <w:pStyle w:val="ListParagraph"/>
        <w:numPr>
          <w:ilvl w:val="0"/>
          <w:numId w:val="27"/>
        </w:numPr>
        <w:spacing w:after="160" w:line="259" w:lineRule="auto"/>
        <w:ind w:left="1134"/>
        <w:rPr>
          <w:rFonts w:cstheme="minorHAnsi"/>
        </w:rPr>
      </w:pPr>
      <w:r>
        <w:t>për çfarë qëllimesh do të përdoren fondet e mbledhura,</w:t>
      </w:r>
    </w:p>
    <w:p w14:paraId="184B8F04" w14:textId="77777777" w:rsidR="00463FC6" w:rsidRPr="00976D33" w:rsidRDefault="00463FC6" w:rsidP="00AF7BBF">
      <w:pPr>
        <w:pStyle w:val="ListParagraph"/>
        <w:numPr>
          <w:ilvl w:val="0"/>
          <w:numId w:val="27"/>
        </w:numPr>
        <w:spacing w:after="160" w:line="259" w:lineRule="auto"/>
        <w:ind w:left="1134"/>
        <w:rPr>
          <w:rFonts w:cstheme="minorHAnsi"/>
        </w:rPr>
      </w:pPr>
      <w:r>
        <w:t>inflacionin e çmimeve të energjisë dhe industrive të tjera intensive të karbonit,</w:t>
      </w:r>
    </w:p>
    <w:p w14:paraId="25BA397D" w14:textId="77777777" w:rsidR="00463FC6" w:rsidRPr="00976D33" w:rsidRDefault="00463FC6" w:rsidP="00AF7BBF">
      <w:pPr>
        <w:pStyle w:val="ListParagraph"/>
        <w:numPr>
          <w:ilvl w:val="0"/>
          <w:numId w:val="27"/>
        </w:numPr>
        <w:spacing w:after="160" w:line="259" w:lineRule="auto"/>
        <w:ind w:left="1134"/>
        <w:rPr>
          <w:rFonts w:cstheme="minorHAnsi"/>
        </w:rPr>
      </w:pPr>
      <w:r>
        <w:t>rrezikun e rrjedhjes së karbonit,</w:t>
      </w:r>
    </w:p>
    <w:p w14:paraId="743C2A40" w14:textId="77777777" w:rsidR="00463FC6" w:rsidRPr="00976D33" w:rsidRDefault="00463FC6" w:rsidP="00AF7BBF">
      <w:pPr>
        <w:pStyle w:val="ListParagraph"/>
        <w:numPr>
          <w:ilvl w:val="0"/>
          <w:numId w:val="27"/>
        </w:numPr>
        <w:spacing w:after="160" w:line="259" w:lineRule="auto"/>
        <w:ind w:left="1134"/>
        <w:rPr>
          <w:rFonts w:cstheme="minorHAnsi"/>
        </w:rPr>
      </w:pPr>
      <w:r>
        <w:t>efektet e zhvillimit ekonomik dhe social.</w:t>
      </w:r>
    </w:p>
    <w:p w14:paraId="432DE225" w14:textId="77777777" w:rsidR="00463FC6" w:rsidRPr="00976D33" w:rsidRDefault="00463FC6" w:rsidP="00463FC6">
      <w:pPr>
        <w:rPr>
          <w:rFonts w:cstheme="minorHAnsi"/>
          <w:b/>
          <w:iCs/>
        </w:rPr>
      </w:pPr>
      <w:r>
        <w:rPr>
          <w:b/>
        </w:rPr>
        <w:t>Efiçienca e energjisë</w:t>
      </w:r>
    </w:p>
    <w:p w14:paraId="524979E3" w14:textId="18BA3F0B" w:rsidR="00463FC6" w:rsidRPr="00976D33" w:rsidRDefault="00463FC6" w:rsidP="00463FC6">
      <w:pPr>
        <w:rPr>
          <w:rFonts w:cstheme="minorHAnsi"/>
        </w:rPr>
      </w:pPr>
      <w:r>
        <w:t>Efiçienca e energjisë konsiderohet si një çelës për optimizimin e konsumit të energjisë nga ana e kërkesës, në sigurimin e faturave më të ulëta për industrinë dhe familjet, emetimet e ulëta të gazrave serrë dhe rritjen e sigurisë së furnizimit. Ekziston një potencial i madh për të rritur efiçiencën e energjisë, pasi që sektori i ndërtimit në Kosovë konsumon dy herë më shumë energji për metër katror sesa mesatarja e BE-së.</w:t>
      </w:r>
    </w:p>
    <w:p w14:paraId="67D5C823" w14:textId="40100C95" w:rsidR="00463FC6" w:rsidRPr="00976D33" w:rsidRDefault="00463FC6" w:rsidP="00AF7BBF">
      <w:pPr>
        <w:pStyle w:val="ListParagraph"/>
        <w:numPr>
          <w:ilvl w:val="0"/>
          <w:numId w:val="29"/>
        </w:numPr>
        <w:spacing w:after="160" w:line="259" w:lineRule="auto"/>
        <w:ind w:left="567"/>
        <w:rPr>
          <w:rFonts w:cstheme="minorHAnsi"/>
        </w:rPr>
      </w:pPr>
      <w:r>
        <w:t xml:space="preserve">Qeveria e Kosovës do të mbështesë menjëherë </w:t>
      </w:r>
      <w:r>
        <w:rPr>
          <w:b/>
          <w:i/>
        </w:rPr>
        <w:t>studimet për të marrë informacion rreth moshës mesatare të shumicës së pajisjeve shtëpiake me energji intensive</w:t>
      </w:r>
      <w:r>
        <w:t>. Gjithashtu do të mblidhen të dhëna demografike për ekonomitë familjare. Regjistrimi i popullsinë në vazhdim pritet të ofrojë informacion më të besueshëm në këto aspekte. Studimet e kësaj natyre mbështesin procesin e vendimmarrjes për prezantimin e politikave të dizajnuara jo vetëm për të rritur efiçiencën e energjisë, por edhe për të ulur varfërinë energjetike.</w:t>
      </w:r>
    </w:p>
    <w:p w14:paraId="0F6BDC48" w14:textId="362AD317" w:rsidR="00463FC6" w:rsidRPr="00976D33" w:rsidRDefault="00463FC6" w:rsidP="00AF7BBF">
      <w:pPr>
        <w:pStyle w:val="ListParagraph"/>
        <w:numPr>
          <w:ilvl w:val="0"/>
          <w:numId w:val="29"/>
        </w:numPr>
        <w:spacing w:after="160" w:line="259" w:lineRule="auto"/>
        <w:ind w:left="567"/>
        <w:rPr>
          <w:rFonts w:cstheme="minorHAnsi"/>
        </w:rPr>
      </w:pPr>
      <w:r>
        <w:t xml:space="preserve">Në të njëjtën kohë, Qeveria e Kosovës do të mbështesë </w:t>
      </w:r>
      <w:r>
        <w:rPr>
          <w:b/>
          <w:i/>
        </w:rPr>
        <w:t>studimet për të marrë informacione rreth moshës mesatare dhe intensitetit të energjisë së makinerive dhe objekteve të tjera prodhuese të përdorura në proceset e prodhimit në industri të ndryshme.</w:t>
      </w:r>
      <w:r>
        <w:t xml:space="preserve"> Këto studime do të ndihmojnë Qeverinë e Kosovës që të hartojë programe të ndryshme të politikave klimatike për të lehtësuar sektorët industrialë dhe për të modernizuar fabrikat e tyre në aspektin e optimizimit të procesit të prodhimit dhe rritjes së nivelit të rehatisë. Kjo do të zvogëlojë emetimet e gazrave serrë si dhe do të rrisë produktivitetin, efiçiencën dhe rrjedhimisht konkurrencën e industrive vendore.</w:t>
      </w:r>
    </w:p>
    <w:p w14:paraId="37EE6968" w14:textId="77777777" w:rsidR="00463FC6" w:rsidRPr="00976D33" w:rsidRDefault="00463FC6" w:rsidP="00AF7BBF">
      <w:pPr>
        <w:pStyle w:val="ListParagraph"/>
        <w:numPr>
          <w:ilvl w:val="0"/>
          <w:numId w:val="29"/>
        </w:numPr>
        <w:spacing w:after="160" w:line="259" w:lineRule="auto"/>
        <w:ind w:left="567"/>
        <w:rPr>
          <w:rFonts w:cstheme="minorHAnsi"/>
        </w:rPr>
      </w:pPr>
      <w:r>
        <w:t xml:space="preserve">Zbatimi i </w:t>
      </w:r>
      <w:r>
        <w:rPr>
          <w:b/>
          <w:i/>
        </w:rPr>
        <w:t>politikave inovative që hapin rrugën për menaxhimin efikas të investimeve për efiçiencën e energjisë</w:t>
      </w:r>
      <w:r>
        <w:t xml:space="preserve"> dhe të inkurajojnë sektorin privat dhe publik që të angazhohet në reduktimin e intensitetit të energjisë.</w:t>
      </w:r>
    </w:p>
    <w:p w14:paraId="504E9DE9" w14:textId="77777777" w:rsidR="00463FC6" w:rsidRPr="00976D33" w:rsidRDefault="00463FC6" w:rsidP="00AF7BBF">
      <w:pPr>
        <w:pStyle w:val="ListParagraph"/>
        <w:numPr>
          <w:ilvl w:val="0"/>
          <w:numId w:val="29"/>
        </w:numPr>
        <w:spacing w:after="160" w:line="259" w:lineRule="auto"/>
        <w:ind w:left="567"/>
        <w:rPr>
          <w:rFonts w:cstheme="minorHAnsi"/>
          <w:b/>
        </w:rPr>
      </w:pPr>
      <w:r>
        <w:t xml:space="preserve">Studiuesit së bashku me një numër të madh firmash do të angazhohen në kryerjen e </w:t>
      </w:r>
      <w:r>
        <w:rPr>
          <w:b/>
          <w:i/>
        </w:rPr>
        <w:t>studimeve për identifikimin e materialeve ndërtimore inovative dhe efiçiente në energji</w:t>
      </w:r>
      <w:r>
        <w:t>. Kjo duhet të mundësojë zhvillimin e sistemeve termoizoluese të ndërtesave me performancë më të lartë termike.</w:t>
      </w:r>
    </w:p>
    <w:p w14:paraId="730CD965" w14:textId="30B2D09E" w:rsidR="00463FC6" w:rsidRPr="00976D33" w:rsidRDefault="00463FC6" w:rsidP="00463FC6">
      <w:pPr>
        <w:rPr>
          <w:rFonts w:cstheme="minorHAnsi"/>
          <w:b/>
          <w:iCs/>
        </w:rPr>
      </w:pPr>
      <w:r>
        <w:rPr>
          <w:b/>
        </w:rPr>
        <w:t>Energjia e ripërtëritshme</w:t>
      </w:r>
    </w:p>
    <w:p w14:paraId="4EFCEB28" w14:textId="77777777" w:rsidR="00463FC6" w:rsidRPr="00976D33" w:rsidRDefault="00463FC6" w:rsidP="00463FC6">
      <w:pPr>
        <w:rPr>
          <w:rFonts w:cstheme="minorHAnsi"/>
        </w:rPr>
      </w:pPr>
      <w:r>
        <w:t>Kosova do të angazhohet në mbështetjen e zhvillimit të sistemeve inovative energjetike dhe zbatimin e mekanizmit të bazuar në stimuj për të nxitur integrimin e energjive të ripërtëritshme intermitente dhe jointermitente. Kjo do të hapë rrugën për të dalë nga prodhimi i energjisë nga thëngjilli. Fokusi do të jetë në integrimin e teknologjive të informacionit dhe komunikimit në sistemet e energjisë për të identifikuar teknologjitë inovative që mundësojnë një bashkëjetesë efikase afatshkurtër të thëngjillit dhe energjive të ripërtëritshme intermitente në drejtim të menaxhimit efektiv të çekuilibrave të sistemit. Për më tepër, potenciali i integrimit të njehsimit inteligjente, menaxhimit të kërkesës nga ana e konsumatorit dhe përgjigjes ndaj kërkesës do të jetë i një rëndësie të veçantë.</w:t>
      </w:r>
    </w:p>
    <w:p w14:paraId="57D633EC" w14:textId="77777777" w:rsidR="00463FC6" w:rsidRPr="00976D33" w:rsidRDefault="00463FC6" w:rsidP="00AF7BBF">
      <w:pPr>
        <w:pStyle w:val="ListParagraph"/>
        <w:numPr>
          <w:ilvl w:val="0"/>
          <w:numId w:val="40"/>
        </w:numPr>
        <w:spacing w:after="160" w:line="259" w:lineRule="auto"/>
        <w:ind w:left="567"/>
        <w:rPr>
          <w:rFonts w:cstheme="minorHAnsi"/>
        </w:rPr>
      </w:pPr>
      <w:r>
        <w:t xml:space="preserve">Digjitalizimi i sistemit energjetik do të sigurojë integrimin e pajisjeve digjitale që lehtësojnë </w:t>
      </w:r>
      <w:r>
        <w:rPr>
          <w:b/>
          <w:i/>
        </w:rPr>
        <w:t>menaxhimin shumë efikas dhe inteligjent të sistemit energjetik</w:t>
      </w:r>
      <w:r>
        <w:t xml:space="preserve">. Për shembull, njehsorët inteligjentë u mundësojnë konsumatorëve industrialë të Kosovës të paguajnë çmime të ndryshme varësisht nga koha kur konsumojnë. Kjo inkurajon prezantimin e masave që mundësojnë përgjigjen ndaj kërkesës dhe menaxhimin e kërkesës nga ana e konsumatorëve. Aktivitetet hulumtuese do të ndihmojnë në përcaktimin sasior të qëndrueshmërisë së kërkesës për energji elektrike për të parë potencialin e </w:t>
      </w:r>
      <w:r>
        <w:lastRenderedPageBreak/>
        <w:t>përgjigjes ndaj kërkesës. Kjo ua mundëson operatorëve të rrjetit që të prezantojnë jo vetëm një menaxhim efektiv dhe efikas të çekuilibrit, por edhe një përputhje më të mirë të kërkesës dhe ofertës për energji elektrike dhe rritje të efiçiencës së energjisë. Rezultati është menaxhimi i energjisë së përshtatshme ndaj mjedisit ku konsumatorët paguajnë çmime të ulëta dhe gëzojnë sigurinë e furnizimit.</w:t>
      </w:r>
    </w:p>
    <w:p w14:paraId="4F92CF22" w14:textId="77777777" w:rsidR="00463FC6" w:rsidRPr="00976D33" w:rsidRDefault="00463FC6" w:rsidP="00AF7BBF">
      <w:pPr>
        <w:pStyle w:val="ListParagraph"/>
        <w:numPr>
          <w:ilvl w:val="0"/>
          <w:numId w:val="40"/>
        </w:numPr>
        <w:spacing w:after="160" w:line="259" w:lineRule="auto"/>
        <w:ind w:left="567"/>
        <w:rPr>
          <w:rFonts w:cstheme="minorHAnsi"/>
        </w:rPr>
      </w:pPr>
      <w:r>
        <w:t xml:space="preserve">Shpërndarja gjeografike e </w:t>
      </w:r>
      <w:r>
        <w:rPr>
          <w:b/>
          <w:i/>
        </w:rPr>
        <w:t>burimeve të decentralizuara të energjisë së ripërtëritshme</w:t>
      </w:r>
      <w:r>
        <w:t xml:space="preserve"> do të analizohet tërësisht në mënyrë që të kontrollohen më mirë shpenzimet kapitale për zgjerimet e rrjetit. Prandaj, është e një rëndësie të veçantë gjetja e lokacioneve më të mira për investime në kapacitete shtesë të energjisë së ripërtëritshme duke marrë parasysh kufizimet e kapacitetit të transmisionit dhe distribuimit.</w:t>
      </w:r>
    </w:p>
    <w:p w14:paraId="4E21227E" w14:textId="39BA86FB" w:rsidR="00463FC6" w:rsidRPr="00976D33" w:rsidRDefault="00463FC6" w:rsidP="00463FC6">
      <w:pPr>
        <w:spacing w:after="40" w:line="240" w:lineRule="auto"/>
        <w:rPr>
          <w:rFonts w:cstheme="minorHAnsi"/>
        </w:rPr>
      </w:pPr>
      <w:r>
        <w:t xml:space="preserve">Madhësia e tregut të energjisë ende ofron terren të përshtatshëm për investimet e huaja në Kosovë. Prandaj, Kosova do të inkurajojë aktivitetet hulumtuese për </w:t>
      </w:r>
      <w:r>
        <w:rPr>
          <w:b/>
          <w:i/>
        </w:rPr>
        <w:t>identifikimin e projekteve specifike që mund të jenë interesante për investitorët e diasporës</w:t>
      </w:r>
      <w:r>
        <w:t>. Kjo do të jetë gjithashtu mundësi e mirë për të marrë njohuritë dhe për të kanalizuar potencialin financiar në rritje të diasporës. Një tjetër mundësi e vlefshme është potenciali nga linja e interkoneksionit të tensionit të lartë me Shqipërinë, ku qeveritë e të dy vendeve mund të shfrytëzojnë mundësinë për të zhvilluar projekte të përbashkëta në integrimin e sasive më të mëdha të energjisë të ripërtëritshme.</w:t>
      </w:r>
    </w:p>
    <w:tbl>
      <w:tblPr>
        <w:tblStyle w:val="GridTable5DarkAccent10"/>
        <w:tblpPr w:leftFromText="141" w:rightFromText="141" w:vertAnchor="text" w:horzAnchor="margin" w:tblpY="225"/>
        <w:tblW w:w="5000" w:type="pct"/>
        <w:tblLook w:val="04A0" w:firstRow="1" w:lastRow="0" w:firstColumn="1" w:lastColumn="0" w:noHBand="0" w:noVBand="1"/>
      </w:tblPr>
      <w:tblGrid>
        <w:gridCol w:w="2607"/>
        <w:gridCol w:w="6957"/>
      </w:tblGrid>
      <w:tr w:rsidR="00463FC6" w:rsidRPr="004A64EF" w14:paraId="275C196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3E88F642" w14:textId="37999107" w:rsidR="00463FC6" w:rsidRPr="004A64EF" w:rsidRDefault="00463FC6">
            <w:pPr>
              <w:spacing w:before="20" w:after="20" w:line="240" w:lineRule="auto"/>
              <w:contextualSpacing/>
              <w:rPr>
                <w:rFonts w:asciiTheme="majorHAnsi" w:hAnsiTheme="majorHAnsi" w:cstheme="majorHAnsi"/>
                <w:color w:val="FFFFFF" w:themeColor="background1"/>
                <w:sz w:val="18"/>
                <w:szCs w:val="18"/>
              </w:rPr>
            </w:pPr>
            <w:bookmarkStart w:id="344" w:name="_Toc138210201"/>
            <w:bookmarkStart w:id="345" w:name="_Toc138998502"/>
            <w:r>
              <w:rPr>
                <w:rFonts w:asciiTheme="majorHAnsi" w:hAnsiTheme="majorHAnsi"/>
                <w:color w:val="FFFFFF" w:themeColor="background1"/>
                <w:sz w:val="18"/>
              </w:rPr>
              <w:t>PM 68: Studimi analitik lidhur me potencialin e hidrogjenit për dekarbonizimin e sektorit të industrisë dhe transportit</w:t>
            </w:r>
          </w:p>
        </w:tc>
      </w:tr>
      <w:tr w:rsidR="00463FC6" w:rsidRPr="004A64EF" w14:paraId="4AD1747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1347F6BD" w14:textId="09A5FAA2" w:rsidR="00463FC6" w:rsidRPr="004A64EF" w:rsidRDefault="00913758">
            <w:pPr>
              <w:spacing w:before="20" w:after="20" w:line="240" w:lineRule="auto"/>
              <w:contextualSpacing/>
              <w:rPr>
                <w:rFonts w:asciiTheme="majorHAnsi" w:hAnsiTheme="majorHAnsi" w:cstheme="majorHAnsi"/>
                <w:b w:val="0"/>
                <w:color w:val="FFFFFF" w:themeColor="background1"/>
                <w:sz w:val="18"/>
                <w:szCs w:val="18"/>
              </w:rPr>
            </w:pPr>
            <w:r>
              <w:rPr>
                <w:color w:val="FFFFFF" w:themeColor="background1"/>
                <w:sz w:val="18"/>
              </w:rPr>
              <w:t xml:space="preserve">Përshkrimi i shkurtër dhe objektivi: </w:t>
            </w:r>
            <w:r>
              <w:rPr>
                <w:rFonts w:asciiTheme="majorHAnsi" w:hAnsiTheme="majorHAnsi"/>
                <w:color w:val="FFFFFF" w:themeColor="background1"/>
                <w:sz w:val="18"/>
              </w:rPr>
              <w:t xml:space="preserve">  </w:t>
            </w:r>
            <w:r>
              <w:rPr>
                <w:rFonts w:asciiTheme="majorHAnsi" w:hAnsiTheme="majorHAnsi"/>
                <w:b w:val="0"/>
                <w:color w:val="FFFFFF" w:themeColor="background1"/>
                <w:sz w:val="18"/>
              </w:rPr>
              <w:t xml:space="preserve">Qëllimi është të analizohen mundësitë për përdorimin e hidrogjenit në industri si furnizues i lëndës së parë (p.sh., prodhimi i plehrave) ose si karburant për procese industriale me temperatura të larta dhe sektorin e transportit. </w:t>
            </w:r>
          </w:p>
        </w:tc>
      </w:tr>
      <w:tr w:rsidR="00463FC6" w:rsidRPr="004A64EF" w14:paraId="5E54D47C" w14:textId="77777777">
        <w:tc>
          <w:tcPr>
            <w:cnfStyle w:val="001000000000" w:firstRow="0" w:lastRow="0" w:firstColumn="1" w:lastColumn="0" w:oddVBand="0" w:evenVBand="0" w:oddHBand="0" w:evenHBand="0" w:firstRowFirstColumn="0" w:firstRowLastColumn="0" w:lastRowFirstColumn="0" w:lastRowLastColumn="0"/>
            <w:tcW w:w="1363" w:type="pct"/>
            <w:hideMark/>
          </w:tcPr>
          <w:p w14:paraId="606E0831" w14:textId="77777777" w:rsidR="00463FC6" w:rsidRPr="004A64EF" w:rsidRDefault="00463FC6">
            <w:pPr>
              <w:spacing w:before="20" w:after="20" w:line="240" w:lineRule="auto"/>
              <w:contextualSpacing/>
              <w:jc w:val="left"/>
              <w:rPr>
                <w:color w:val="FFFFFF" w:themeColor="background1"/>
                <w:sz w:val="18"/>
                <w:szCs w:val="18"/>
              </w:rPr>
            </w:pPr>
            <w:r>
              <w:rPr>
                <w:color w:val="FFFFFF" w:themeColor="background1"/>
                <w:sz w:val="18"/>
              </w:rPr>
              <w:t>Sektori/lloji</w:t>
            </w:r>
          </w:p>
        </w:tc>
        <w:tc>
          <w:tcPr>
            <w:tcW w:w="3637" w:type="pct"/>
            <w:hideMark/>
          </w:tcPr>
          <w:p w14:paraId="783D2F84" w14:textId="77777777" w:rsidR="00463FC6" w:rsidRPr="004A64EF" w:rsidRDefault="00463FC6">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Hulumtues</w:t>
            </w:r>
          </w:p>
        </w:tc>
      </w:tr>
      <w:tr w:rsidR="00463FC6" w:rsidRPr="004A64EF" w14:paraId="3209B544" w14:textId="77777777" w:rsidTr="006E6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77688ADC" w14:textId="77777777" w:rsidR="00463FC6" w:rsidRPr="004A64EF" w:rsidRDefault="00463FC6">
            <w:pPr>
              <w:spacing w:before="20" w:after="20" w:line="240" w:lineRule="auto"/>
              <w:contextualSpacing/>
              <w:jc w:val="left"/>
              <w:rPr>
                <w:color w:val="FFFFFF" w:themeColor="background1"/>
                <w:sz w:val="18"/>
              </w:rPr>
            </w:pPr>
            <w:r>
              <w:rPr>
                <w:color w:val="FFFFFF" w:themeColor="background1"/>
                <w:sz w:val="18"/>
              </w:rPr>
              <w:t>Statusi i implementimit</w:t>
            </w:r>
          </w:p>
        </w:tc>
        <w:tc>
          <w:tcPr>
            <w:tcW w:w="0" w:type="pct"/>
          </w:tcPr>
          <w:p w14:paraId="00A416C2" w14:textId="77777777" w:rsidR="00463FC6" w:rsidRPr="004A64EF" w:rsidRDefault="00463FC6">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Planifikuar</w:t>
            </w:r>
          </w:p>
        </w:tc>
      </w:tr>
      <w:tr w:rsidR="00463FC6" w:rsidRPr="004A64EF" w14:paraId="5EDC83CF" w14:textId="77777777" w:rsidTr="006E6E51">
        <w:tc>
          <w:tcPr>
            <w:cnfStyle w:val="001000000000" w:firstRow="0" w:lastRow="0" w:firstColumn="1" w:lastColumn="0" w:oddVBand="0" w:evenVBand="0" w:oddHBand="0" w:evenHBand="0" w:firstRowFirstColumn="0" w:firstRowLastColumn="0" w:lastRowFirstColumn="0" w:lastRowLastColumn="0"/>
            <w:tcW w:w="0" w:type="pct"/>
            <w:hideMark/>
          </w:tcPr>
          <w:p w14:paraId="397BD2AA" w14:textId="77777777" w:rsidR="00463FC6" w:rsidRPr="004A64EF" w:rsidRDefault="00463FC6">
            <w:pPr>
              <w:spacing w:before="20" w:after="20" w:line="240" w:lineRule="auto"/>
              <w:contextualSpacing/>
              <w:jc w:val="left"/>
              <w:rPr>
                <w:color w:val="FFFFFF" w:themeColor="background1"/>
                <w:sz w:val="18"/>
              </w:rPr>
            </w:pPr>
            <w:r>
              <w:rPr>
                <w:color w:val="FFFFFF" w:themeColor="background1"/>
                <w:sz w:val="18"/>
              </w:rPr>
              <w:t>Efektet kuantitative</w:t>
            </w:r>
          </w:p>
        </w:tc>
        <w:tc>
          <w:tcPr>
            <w:tcW w:w="0" w:type="pct"/>
          </w:tcPr>
          <w:p w14:paraId="5E4D8462" w14:textId="77777777" w:rsidR="00463FC6" w:rsidRPr="004A64EF" w:rsidRDefault="00463FC6">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n/a</w:t>
            </w:r>
          </w:p>
        </w:tc>
      </w:tr>
      <w:tr w:rsidR="00463FC6" w:rsidRPr="004A64EF" w14:paraId="3AF5980B" w14:textId="77777777" w:rsidTr="006E6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4CB97EBB" w14:textId="77777777" w:rsidR="00463FC6" w:rsidRPr="004A64EF" w:rsidRDefault="00463FC6">
            <w:pPr>
              <w:spacing w:before="20" w:after="20" w:line="240" w:lineRule="auto"/>
              <w:contextualSpacing/>
              <w:jc w:val="left"/>
              <w:rPr>
                <w:color w:val="FFFFFF" w:themeColor="background1"/>
                <w:sz w:val="18"/>
              </w:rPr>
            </w:pPr>
            <w:r>
              <w:rPr>
                <w:color w:val="FFFFFF" w:themeColor="background1"/>
                <w:sz w:val="18"/>
              </w:rPr>
              <w:t>Investimet</w:t>
            </w:r>
          </w:p>
        </w:tc>
        <w:tc>
          <w:tcPr>
            <w:tcW w:w="0" w:type="pct"/>
          </w:tcPr>
          <w:p w14:paraId="033FA04F" w14:textId="7F462B87" w:rsidR="00463FC6" w:rsidRPr="004A64EF" w:rsidRDefault="0091484E" w:rsidP="006E6E51">
            <w:pPr>
              <w:spacing w:before="20" w:after="20" w:line="240" w:lineRule="auto"/>
              <w:contextualSpacing/>
              <w:jc w:val="left"/>
              <w:cnfStyle w:val="000000100000" w:firstRow="0" w:lastRow="0" w:firstColumn="0" w:lastColumn="0" w:oddVBand="0" w:evenVBand="0" w:oddHBand="1" w:evenHBand="0" w:firstRowFirstColumn="0" w:firstRowLastColumn="0" w:lastRowFirstColumn="0" w:lastRowLastColumn="0"/>
              <w:rPr>
                <w:sz w:val="18"/>
              </w:rPr>
            </w:pPr>
            <w:r>
              <w:rPr>
                <w:sz w:val="18"/>
              </w:rPr>
              <w:t>Rreth 0.15 mil. euro për kryerjen e studimit të fizibilitetit (Burimi: Vlerësimi i ekspertëve)</w:t>
            </w:r>
          </w:p>
        </w:tc>
      </w:tr>
      <w:tr w:rsidR="00463FC6" w:rsidRPr="004A64EF" w14:paraId="2E525DDC" w14:textId="77777777" w:rsidTr="006E6E51">
        <w:tc>
          <w:tcPr>
            <w:cnfStyle w:val="001000000000" w:firstRow="0" w:lastRow="0" w:firstColumn="1" w:lastColumn="0" w:oddVBand="0" w:evenVBand="0" w:oddHBand="0" w:evenHBand="0" w:firstRowFirstColumn="0" w:firstRowLastColumn="0" w:lastRowFirstColumn="0" w:lastRowLastColumn="0"/>
            <w:tcW w:w="0" w:type="pct"/>
            <w:hideMark/>
          </w:tcPr>
          <w:p w14:paraId="7AD6B151" w14:textId="77777777" w:rsidR="00463FC6" w:rsidRPr="004A64EF" w:rsidRDefault="00463FC6">
            <w:pPr>
              <w:spacing w:before="20" w:after="20" w:line="240" w:lineRule="auto"/>
              <w:contextualSpacing/>
              <w:jc w:val="left"/>
              <w:rPr>
                <w:color w:val="FFFFFF" w:themeColor="background1"/>
                <w:sz w:val="18"/>
              </w:rPr>
            </w:pPr>
            <w:r>
              <w:rPr>
                <w:color w:val="FFFFFF" w:themeColor="background1"/>
                <w:sz w:val="18"/>
              </w:rPr>
              <w:t>Institucioni përgjegjës</w:t>
            </w:r>
          </w:p>
        </w:tc>
        <w:tc>
          <w:tcPr>
            <w:tcW w:w="0" w:type="pct"/>
          </w:tcPr>
          <w:p w14:paraId="195D60AC" w14:textId="77777777" w:rsidR="00463FC6" w:rsidRPr="004A64EF" w:rsidRDefault="00463FC6">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Universitetet, MASHT</w:t>
            </w:r>
          </w:p>
        </w:tc>
      </w:tr>
      <w:tr w:rsidR="00463FC6" w:rsidRPr="004A64EF" w14:paraId="6D5377F2" w14:textId="77777777" w:rsidTr="006E6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28E77D51" w14:textId="77777777" w:rsidR="00463FC6" w:rsidRPr="004A64EF" w:rsidRDefault="00463FC6">
            <w:pPr>
              <w:spacing w:before="20" w:after="20" w:line="240" w:lineRule="auto"/>
              <w:contextualSpacing/>
              <w:jc w:val="left"/>
              <w:rPr>
                <w:color w:val="FFFFFF" w:themeColor="background1"/>
                <w:sz w:val="18"/>
              </w:rPr>
            </w:pPr>
            <w:r>
              <w:rPr>
                <w:color w:val="FFFFFF" w:themeColor="background1"/>
                <w:sz w:val="18"/>
              </w:rPr>
              <w:t>Treguesit e progresit</w:t>
            </w:r>
          </w:p>
        </w:tc>
        <w:tc>
          <w:tcPr>
            <w:tcW w:w="0" w:type="pct"/>
          </w:tcPr>
          <w:p w14:paraId="53BF4F56" w14:textId="77777777" w:rsidR="00463FC6" w:rsidRPr="004A64EF" w:rsidRDefault="00463FC6">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n/a</w:t>
            </w:r>
          </w:p>
        </w:tc>
      </w:tr>
      <w:tr w:rsidR="00463FC6" w:rsidRPr="00976D33" w14:paraId="5FFD992B" w14:textId="77777777">
        <w:tc>
          <w:tcPr>
            <w:cnfStyle w:val="001000000000" w:firstRow="0" w:lastRow="0" w:firstColumn="1" w:lastColumn="0" w:oddVBand="0" w:evenVBand="0" w:oddHBand="0" w:evenHBand="0" w:firstRowFirstColumn="0" w:firstRowLastColumn="0" w:lastRowFirstColumn="0" w:lastRowLastColumn="0"/>
            <w:tcW w:w="1363" w:type="pct"/>
          </w:tcPr>
          <w:p w14:paraId="362D79B9" w14:textId="23F92CF3" w:rsidR="00463FC6" w:rsidRPr="004A64EF" w:rsidRDefault="00463FC6">
            <w:pPr>
              <w:spacing w:before="20" w:after="20" w:line="240" w:lineRule="auto"/>
              <w:contextualSpacing/>
              <w:jc w:val="left"/>
              <w:rPr>
                <w:color w:val="FFFFFF" w:themeColor="background1"/>
                <w:sz w:val="18"/>
              </w:rPr>
            </w:pPr>
            <w:r>
              <w:rPr>
                <w:color w:val="FFFFFF" w:themeColor="background1"/>
                <w:sz w:val="18"/>
              </w:rPr>
              <w:t>Lidhja me dimension</w:t>
            </w:r>
            <w:r w:rsidR="0037748E">
              <w:rPr>
                <w:color w:val="FFFFFF" w:themeColor="background1"/>
                <w:sz w:val="18"/>
              </w:rPr>
              <w:t>et e tjera</w:t>
            </w:r>
          </w:p>
        </w:tc>
        <w:tc>
          <w:tcPr>
            <w:tcW w:w="3637" w:type="pct"/>
          </w:tcPr>
          <w:p w14:paraId="09A37CF6" w14:textId="77777777" w:rsidR="00463FC6" w:rsidRPr="00976D33" w:rsidRDefault="00463FC6">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Dekarbonizimi</w:t>
            </w:r>
          </w:p>
        </w:tc>
      </w:tr>
      <w:bookmarkEnd w:id="344"/>
      <w:bookmarkEnd w:id="345"/>
    </w:tbl>
    <w:p w14:paraId="1D16B1E3" w14:textId="2A6888BD" w:rsidR="00463FC6" w:rsidRPr="00976D33" w:rsidRDefault="00463FC6" w:rsidP="006E6E51">
      <w:pPr>
        <w:spacing w:after="0" w:line="240" w:lineRule="auto"/>
      </w:pPr>
    </w:p>
    <w:tbl>
      <w:tblPr>
        <w:tblStyle w:val="GridTable5DarkAccent10"/>
        <w:tblpPr w:leftFromText="141" w:rightFromText="141" w:vertAnchor="text" w:horzAnchor="margin" w:tblpY="225"/>
        <w:tblW w:w="5000" w:type="pct"/>
        <w:tblLook w:val="04A0" w:firstRow="1" w:lastRow="0" w:firstColumn="1" w:lastColumn="0" w:noHBand="0" w:noVBand="1"/>
      </w:tblPr>
      <w:tblGrid>
        <w:gridCol w:w="2607"/>
        <w:gridCol w:w="6957"/>
      </w:tblGrid>
      <w:tr w:rsidR="00463FC6" w:rsidRPr="004A64EF" w14:paraId="4E30AC2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232499E5" w14:textId="35B82A9A" w:rsidR="00463FC6" w:rsidRPr="004A64EF" w:rsidRDefault="00463FC6">
            <w:pPr>
              <w:spacing w:before="20" w:after="20" w:line="240" w:lineRule="auto"/>
              <w:contextualSpacing/>
              <w:rPr>
                <w:rFonts w:eastAsiaTheme="minorHAnsi"/>
                <w:color w:val="FFFFFF" w:themeColor="background1"/>
                <w:sz w:val="18"/>
              </w:rPr>
            </w:pPr>
            <w:r>
              <w:rPr>
                <w:color w:val="FFFFFF" w:themeColor="background1"/>
                <w:sz w:val="18"/>
              </w:rPr>
              <w:t>PM 69: Edukim dhe aftësimi i punëtorëve të kualifikuar në aplikimin e teknologjive të energjisë së qëndrueshme</w:t>
            </w:r>
          </w:p>
        </w:tc>
      </w:tr>
      <w:tr w:rsidR="00463FC6" w:rsidRPr="004A64EF" w14:paraId="7EF59E2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3C4A06DA" w14:textId="1E77CFD9" w:rsidR="00463FC6" w:rsidRPr="004A64EF" w:rsidRDefault="00913758" w:rsidP="006E6E51">
            <w:pPr>
              <w:spacing w:after="160" w:line="259" w:lineRule="auto"/>
              <w:rPr>
                <w:b w:val="0"/>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Kjo PM ombrellë përfshin masa të caktuara për promovimin e edukimit të punëtorëve të kualifikuar për rinovimin e ndërtesave, instalimin e dhe qendrore ngrohjes qendrore, instalimin e paneleve PV dhe pompave termike etj. Kjo masë është e një rëndësie vendimtare, është një mundësi për pothuajse të gjitha masat në dimensionin e efiçiencës së energjisë, veçanërisht ato që kanë të bëjnë me rinovimin e ndërtesave. Për më tepër, përmes qasjeve të shumta të ndërlidhura dhe politikave plotësuese, parashikohet t’i jepet përparësi skemave arsimore gjithëpërfshirëse dhe të adresohet mungesa e aftësive, duke siguruar një fuqi punëtore të larmishme dhe të pajisur mirë për kalimin në energjinë e pastër.</w:t>
            </w:r>
          </w:p>
        </w:tc>
      </w:tr>
      <w:tr w:rsidR="00463FC6" w:rsidRPr="004A64EF" w14:paraId="291B3A14" w14:textId="77777777">
        <w:tc>
          <w:tcPr>
            <w:cnfStyle w:val="001000000000" w:firstRow="0" w:lastRow="0" w:firstColumn="1" w:lastColumn="0" w:oddVBand="0" w:evenVBand="0" w:oddHBand="0" w:evenHBand="0" w:firstRowFirstColumn="0" w:firstRowLastColumn="0" w:lastRowFirstColumn="0" w:lastRowLastColumn="0"/>
            <w:tcW w:w="1363" w:type="pct"/>
            <w:hideMark/>
          </w:tcPr>
          <w:p w14:paraId="2FC03606" w14:textId="77777777" w:rsidR="00463FC6" w:rsidRPr="004A64EF" w:rsidRDefault="00463FC6">
            <w:pPr>
              <w:spacing w:before="20" w:after="20" w:line="240" w:lineRule="auto"/>
              <w:contextualSpacing/>
              <w:jc w:val="left"/>
              <w:rPr>
                <w:color w:val="FFFFFF" w:themeColor="background1"/>
                <w:sz w:val="18"/>
                <w:szCs w:val="18"/>
              </w:rPr>
            </w:pPr>
            <w:r>
              <w:rPr>
                <w:color w:val="FFFFFF" w:themeColor="background1"/>
                <w:sz w:val="18"/>
              </w:rPr>
              <w:t>Sektori/lloji</w:t>
            </w:r>
          </w:p>
        </w:tc>
        <w:tc>
          <w:tcPr>
            <w:tcW w:w="3637" w:type="pct"/>
            <w:hideMark/>
          </w:tcPr>
          <w:p w14:paraId="7BE55C84" w14:textId="77777777" w:rsidR="00463FC6" w:rsidRPr="004A64EF" w:rsidRDefault="00463FC6">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Hulumtues dhe arsimor</w:t>
            </w:r>
          </w:p>
        </w:tc>
      </w:tr>
      <w:tr w:rsidR="00463FC6" w:rsidRPr="004A64EF" w14:paraId="2286142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pct"/>
            <w:hideMark/>
          </w:tcPr>
          <w:p w14:paraId="148FCA24" w14:textId="77777777" w:rsidR="00463FC6" w:rsidRPr="004A64EF" w:rsidRDefault="00463FC6">
            <w:pPr>
              <w:spacing w:before="20" w:after="20" w:line="240" w:lineRule="auto"/>
              <w:contextualSpacing/>
              <w:jc w:val="left"/>
              <w:rPr>
                <w:color w:val="FFFFFF" w:themeColor="background1"/>
                <w:sz w:val="18"/>
              </w:rPr>
            </w:pPr>
            <w:r>
              <w:rPr>
                <w:color w:val="FFFFFF" w:themeColor="background1"/>
                <w:sz w:val="18"/>
              </w:rPr>
              <w:t>Statusi i implementimit</w:t>
            </w:r>
          </w:p>
        </w:tc>
        <w:tc>
          <w:tcPr>
            <w:tcW w:w="3637" w:type="pct"/>
          </w:tcPr>
          <w:p w14:paraId="6B4A7562" w14:textId="77777777" w:rsidR="00463FC6" w:rsidRPr="004A64EF" w:rsidRDefault="00463FC6">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Planifikuar</w:t>
            </w:r>
          </w:p>
        </w:tc>
      </w:tr>
      <w:tr w:rsidR="00463FC6" w:rsidRPr="004A64EF" w14:paraId="3D1DDC0F" w14:textId="77777777">
        <w:tc>
          <w:tcPr>
            <w:cnfStyle w:val="001000000000" w:firstRow="0" w:lastRow="0" w:firstColumn="1" w:lastColumn="0" w:oddVBand="0" w:evenVBand="0" w:oddHBand="0" w:evenHBand="0" w:firstRowFirstColumn="0" w:firstRowLastColumn="0" w:lastRowFirstColumn="0" w:lastRowLastColumn="0"/>
            <w:tcW w:w="1363" w:type="pct"/>
            <w:hideMark/>
          </w:tcPr>
          <w:p w14:paraId="0CC111FD" w14:textId="77777777" w:rsidR="00463FC6" w:rsidRPr="004A64EF" w:rsidRDefault="00463FC6">
            <w:pPr>
              <w:spacing w:before="20" w:after="20" w:line="240" w:lineRule="auto"/>
              <w:contextualSpacing/>
              <w:jc w:val="left"/>
              <w:rPr>
                <w:color w:val="FFFFFF" w:themeColor="background1"/>
                <w:sz w:val="18"/>
              </w:rPr>
            </w:pPr>
            <w:r>
              <w:rPr>
                <w:color w:val="FFFFFF" w:themeColor="background1"/>
                <w:sz w:val="18"/>
              </w:rPr>
              <w:t>Efektet kuantitative</w:t>
            </w:r>
          </w:p>
        </w:tc>
        <w:tc>
          <w:tcPr>
            <w:tcW w:w="3637" w:type="pct"/>
          </w:tcPr>
          <w:p w14:paraId="65DBD240" w14:textId="77777777" w:rsidR="00463FC6" w:rsidRPr="004A64EF" w:rsidRDefault="00463FC6">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n/a</w:t>
            </w:r>
          </w:p>
        </w:tc>
      </w:tr>
      <w:tr w:rsidR="00463FC6" w:rsidRPr="004A64EF" w14:paraId="350AB44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pct"/>
            <w:hideMark/>
          </w:tcPr>
          <w:p w14:paraId="3D8FFA20" w14:textId="77777777" w:rsidR="00463FC6" w:rsidRPr="004A64EF" w:rsidRDefault="00463FC6">
            <w:pPr>
              <w:spacing w:before="20" w:after="20" w:line="240" w:lineRule="auto"/>
              <w:contextualSpacing/>
              <w:jc w:val="left"/>
              <w:rPr>
                <w:color w:val="FFFFFF" w:themeColor="background1"/>
                <w:sz w:val="18"/>
              </w:rPr>
            </w:pPr>
            <w:r>
              <w:rPr>
                <w:color w:val="FFFFFF" w:themeColor="background1"/>
                <w:sz w:val="18"/>
              </w:rPr>
              <w:t>Investimet</w:t>
            </w:r>
          </w:p>
        </w:tc>
        <w:tc>
          <w:tcPr>
            <w:tcW w:w="3637" w:type="pct"/>
          </w:tcPr>
          <w:p w14:paraId="577B6CD3" w14:textId="1BE0B84B" w:rsidR="00463FC6" w:rsidRPr="004A64EF" w:rsidRDefault="00960303">
            <w:pPr>
              <w:spacing w:before="20" w:after="20" w:line="240" w:lineRule="auto"/>
              <w:contextualSpacing/>
              <w:jc w:val="left"/>
              <w:cnfStyle w:val="000000100000" w:firstRow="0" w:lastRow="0" w:firstColumn="0" w:lastColumn="0" w:oddVBand="0" w:evenVBand="0" w:oddHBand="1" w:evenHBand="0" w:firstRowFirstColumn="0" w:firstRowLastColumn="0" w:lastRowFirstColumn="0" w:lastRowLastColumn="0"/>
              <w:rPr>
                <w:sz w:val="18"/>
              </w:rPr>
            </w:pPr>
            <w:r>
              <w:rPr>
                <w:sz w:val="18"/>
              </w:rPr>
              <w:t>n/a</w:t>
            </w:r>
          </w:p>
        </w:tc>
      </w:tr>
      <w:tr w:rsidR="00463FC6" w:rsidRPr="000A65E6" w14:paraId="5E5A419A" w14:textId="77777777">
        <w:tc>
          <w:tcPr>
            <w:cnfStyle w:val="001000000000" w:firstRow="0" w:lastRow="0" w:firstColumn="1" w:lastColumn="0" w:oddVBand="0" w:evenVBand="0" w:oddHBand="0" w:evenHBand="0" w:firstRowFirstColumn="0" w:firstRowLastColumn="0" w:lastRowFirstColumn="0" w:lastRowLastColumn="0"/>
            <w:tcW w:w="1363" w:type="pct"/>
            <w:hideMark/>
          </w:tcPr>
          <w:p w14:paraId="76B277D5" w14:textId="77777777" w:rsidR="00463FC6" w:rsidRPr="004A64EF" w:rsidRDefault="00463FC6">
            <w:pPr>
              <w:spacing w:before="20" w:after="20" w:line="240" w:lineRule="auto"/>
              <w:contextualSpacing/>
              <w:jc w:val="left"/>
              <w:rPr>
                <w:color w:val="FFFFFF" w:themeColor="background1"/>
                <w:sz w:val="18"/>
              </w:rPr>
            </w:pPr>
            <w:r>
              <w:rPr>
                <w:color w:val="FFFFFF" w:themeColor="background1"/>
                <w:sz w:val="18"/>
              </w:rPr>
              <w:t>Institucioni përgjegjës</w:t>
            </w:r>
          </w:p>
        </w:tc>
        <w:tc>
          <w:tcPr>
            <w:tcW w:w="3637" w:type="pct"/>
          </w:tcPr>
          <w:p w14:paraId="37AC0C22" w14:textId="77777777" w:rsidR="00463FC6" w:rsidRPr="004A64EF" w:rsidRDefault="00463FC6">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Universitete, MASHT, ME, NVM, instaluesit</w:t>
            </w:r>
          </w:p>
        </w:tc>
      </w:tr>
      <w:tr w:rsidR="00463FC6" w:rsidRPr="004A64EF" w14:paraId="4F55687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pct"/>
            <w:hideMark/>
          </w:tcPr>
          <w:p w14:paraId="47939533" w14:textId="77777777" w:rsidR="00463FC6" w:rsidRPr="004A64EF" w:rsidRDefault="00463FC6">
            <w:pPr>
              <w:spacing w:before="20" w:after="20" w:line="240" w:lineRule="auto"/>
              <w:contextualSpacing/>
              <w:jc w:val="left"/>
              <w:rPr>
                <w:color w:val="FFFFFF" w:themeColor="background1"/>
                <w:sz w:val="18"/>
              </w:rPr>
            </w:pPr>
            <w:r>
              <w:rPr>
                <w:color w:val="FFFFFF" w:themeColor="background1"/>
                <w:sz w:val="18"/>
              </w:rPr>
              <w:t>Treguesit e progresit</w:t>
            </w:r>
          </w:p>
        </w:tc>
        <w:tc>
          <w:tcPr>
            <w:tcW w:w="3637" w:type="pct"/>
          </w:tcPr>
          <w:p w14:paraId="03CFA0B8" w14:textId="77777777" w:rsidR="00463FC6" w:rsidRPr="004A64EF" w:rsidRDefault="00463FC6">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n/a</w:t>
            </w:r>
          </w:p>
        </w:tc>
      </w:tr>
      <w:tr w:rsidR="00463FC6" w:rsidRPr="00976D33" w14:paraId="28036115" w14:textId="77777777">
        <w:tc>
          <w:tcPr>
            <w:cnfStyle w:val="001000000000" w:firstRow="0" w:lastRow="0" w:firstColumn="1" w:lastColumn="0" w:oddVBand="0" w:evenVBand="0" w:oddHBand="0" w:evenHBand="0" w:firstRowFirstColumn="0" w:firstRowLastColumn="0" w:lastRowFirstColumn="0" w:lastRowLastColumn="0"/>
            <w:tcW w:w="1363" w:type="pct"/>
          </w:tcPr>
          <w:p w14:paraId="1A9685B7" w14:textId="329B1A7F" w:rsidR="00463FC6" w:rsidRPr="004A64EF" w:rsidRDefault="00463FC6">
            <w:pPr>
              <w:spacing w:before="20" w:after="20" w:line="240" w:lineRule="auto"/>
              <w:contextualSpacing/>
              <w:jc w:val="left"/>
              <w:rPr>
                <w:color w:val="FFFFFF" w:themeColor="background1"/>
                <w:sz w:val="18"/>
              </w:rPr>
            </w:pPr>
            <w:r>
              <w:rPr>
                <w:color w:val="FFFFFF" w:themeColor="background1"/>
                <w:sz w:val="18"/>
              </w:rPr>
              <w:t>Lidhja me dimension</w:t>
            </w:r>
            <w:r w:rsidR="0037748E">
              <w:rPr>
                <w:color w:val="FFFFFF" w:themeColor="background1"/>
                <w:sz w:val="18"/>
              </w:rPr>
              <w:t>et e tjera</w:t>
            </w:r>
          </w:p>
        </w:tc>
        <w:tc>
          <w:tcPr>
            <w:tcW w:w="3637" w:type="pct"/>
          </w:tcPr>
          <w:p w14:paraId="1B946C17" w14:textId="6F6DFF1B" w:rsidR="00463FC6" w:rsidRPr="00976D33" w:rsidRDefault="00463FC6">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Dekarbonizimi, EE</w:t>
            </w:r>
          </w:p>
        </w:tc>
      </w:tr>
    </w:tbl>
    <w:p w14:paraId="17E17B35" w14:textId="4D145566" w:rsidR="00463FC6" w:rsidRPr="00976D33" w:rsidRDefault="00463FC6" w:rsidP="006E6E51">
      <w:pPr>
        <w:spacing w:after="0" w:line="240" w:lineRule="auto"/>
      </w:pPr>
    </w:p>
    <w:tbl>
      <w:tblPr>
        <w:tblStyle w:val="GridTable5DarkAccent10"/>
        <w:tblpPr w:leftFromText="141" w:rightFromText="141" w:vertAnchor="text" w:horzAnchor="margin" w:tblpY="225"/>
        <w:tblW w:w="5000" w:type="pct"/>
        <w:tblLook w:val="04A0" w:firstRow="1" w:lastRow="0" w:firstColumn="1" w:lastColumn="0" w:noHBand="0" w:noVBand="1"/>
      </w:tblPr>
      <w:tblGrid>
        <w:gridCol w:w="2607"/>
        <w:gridCol w:w="6957"/>
      </w:tblGrid>
      <w:tr w:rsidR="00463FC6" w:rsidRPr="004A64EF" w14:paraId="464B44A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147E2482" w14:textId="08AA6A29" w:rsidR="00463FC6" w:rsidRPr="004A64EF" w:rsidRDefault="00463FC6">
            <w:pPr>
              <w:spacing w:before="20" w:after="20" w:line="240" w:lineRule="auto"/>
              <w:contextualSpacing/>
              <w:rPr>
                <w:color w:val="FFFFFF" w:themeColor="background1"/>
                <w:sz w:val="18"/>
              </w:rPr>
            </w:pPr>
            <w:r>
              <w:rPr>
                <w:color w:val="FFFFFF" w:themeColor="background1"/>
                <w:sz w:val="18"/>
              </w:rPr>
              <w:t>PM 70: Krijimi i aleancave industriale për të nxitur inovacionin</w:t>
            </w:r>
          </w:p>
        </w:tc>
      </w:tr>
      <w:tr w:rsidR="00463FC6" w:rsidRPr="004A64EF" w14:paraId="129D915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509581B3" w14:textId="5782E19B" w:rsidR="00463FC6" w:rsidRPr="004A64EF" w:rsidRDefault="00913758">
            <w:pPr>
              <w:spacing w:after="160" w:line="259" w:lineRule="auto"/>
              <w:rPr>
                <w:b w:val="0"/>
                <w:color w:val="FFFFFF" w:themeColor="background1"/>
                <w:sz w:val="18"/>
                <w:szCs w:val="18"/>
              </w:rPr>
            </w:pPr>
            <w:r>
              <w:rPr>
                <w:color w:val="FFFFFF" w:themeColor="background1"/>
                <w:sz w:val="18"/>
              </w:rPr>
              <w:t xml:space="preserve">Përshkrimi i shkurtër dhe objektivi: </w:t>
            </w:r>
            <w:r>
              <w:rPr>
                <w:b w:val="0"/>
                <w:color w:val="FFFFFF" w:themeColor="background1"/>
                <w:sz w:val="18"/>
              </w:rPr>
              <w:t xml:space="preserve">Qeveria e Kosovës do të mbështesë rrjetëzimin e ndërmarrjeve në aleanca të ngjashme industriale. Kjo do të ndihmojë në forcimin e lidhjeve ndërmjet industrive, krijimin e ndërmarrjeve të reja të mbështetura nga ato ekzistuese dhe inovacionin përmes lidhjes me përpjekjet hulumtuese. PKEK gjithashtu do të intensifikojë një bashkëpunim të shëndetshëm ndërmjet universiteteve dhe aleancave industriale. Kjo do të fuqizojë identifikimin e mundësive më të mira të mundshme në modernizimin e industrive drejt dekarbonizimit. Një bashkëpunim i ngushtë ndërmjet organeve të ndryshme qeveritare, universiteteve dhe bizneseve do t’i hapë rrugë transferimit të teknologjisë dhe njohurive për nxitjen e ideve inovative, të cilat nga ana e tyre do të forcojnë konkurrencën kombëtare </w:t>
            </w:r>
            <w:r>
              <w:rPr>
                <w:b w:val="0"/>
                <w:color w:val="FFFFFF" w:themeColor="background1"/>
                <w:sz w:val="18"/>
              </w:rPr>
              <w:lastRenderedPageBreak/>
              <w:t>dhe ndërkombëtare të industrive vendore. Për të siguruar gjithëpërfshirjen dhe barazinë, zbatimi i këtij PM do të udhëhiqet nga katër qasje: qasja e barabartë në mundësi, dizajne gjithëpërfshirëse të iniciativave, shpërndarje e drejtë e burimeve dhe përpjekje të synuara.</w:t>
            </w:r>
          </w:p>
        </w:tc>
      </w:tr>
      <w:tr w:rsidR="00463FC6" w:rsidRPr="004A64EF" w14:paraId="1ABFB137" w14:textId="77777777">
        <w:tc>
          <w:tcPr>
            <w:cnfStyle w:val="001000000000" w:firstRow="0" w:lastRow="0" w:firstColumn="1" w:lastColumn="0" w:oddVBand="0" w:evenVBand="0" w:oddHBand="0" w:evenHBand="0" w:firstRowFirstColumn="0" w:firstRowLastColumn="0" w:lastRowFirstColumn="0" w:lastRowLastColumn="0"/>
            <w:tcW w:w="1363" w:type="pct"/>
            <w:hideMark/>
          </w:tcPr>
          <w:p w14:paraId="41DE4E63" w14:textId="77777777" w:rsidR="00463FC6" w:rsidRPr="004A64EF" w:rsidRDefault="00463FC6">
            <w:pPr>
              <w:spacing w:before="20" w:after="20" w:line="240" w:lineRule="auto"/>
              <w:contextualSpacing/>
              <w:jc w:val="left"/>
              <w:rPr>
                <w:color w:val="FFFFFF" w:themeColor="background1"/>
                <w:sz w:val="18"/>
                <w:szCs w:val="18"/>
              </w:rPr>
            </w:pPr>
            <w:r>
              <w:rPr>
                <w:color w:val="FFFFFF" w:themeColor="background1"/>
                <w:sz w:val="18"/>
              </w:rPr>
              <w:lastRenderedPageBreak/>
              <w:t>Sektori/lloji</w:t>
            </w:r>
          </w:p>
        </w:tc>
        <w:tc>
          <w:tcPr>
            <w:tcW w:w="3637" w:type="pct"/>
            <w:hideMark/>
          </w:tcPr>
          <w:p w14:paraId="08720F40" w14:textId="77777777" w:rsidR="00463FC6" w:rsidRPr="004A64EF" w:rsidRDefault="00463FC6">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Hulumtues dhe inovativ</w:t>
            </w:r>
          </w:p>
        </w:tc>
      </w:tr>
      <w:tr w:rsidR="00463FC6" w:rsidRPr="004A64EF" w14:paraId="19AAEE6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pct"/>
            <w:hideMark/>
          </w:tcPr>
          <w:p w14:paraId="46FE4FD7" w14:textId="77777777" w:rsidR="00463FC6" w:rsidRPr="004A64EF" w:rsidRDefault="00463FC6">
            <w:pPr>
              <w:spacing w:before="20" w:after="20" w:line="240" w:lineRule="auto"/>
              <w:contextualSpacing/>
              <w:jc w:val="left"/>
              <w:rPr>
                <w:color w:val="FFFFFF" w:themeColor="background1"/>
                <w:sz w:val="18"/>
              </w:rPr>
            </w:pPr>
            <w:r>
              <w:rPr>
                <w:color w:val="FFFFFF" w:themeColor="background1"/>
                <w:sz w:val="18"/>
              </w:rPr>
              <w:t>Statusi i implementimit</w:t>
            </w:r>
          </w:p>
        </w:tc>
        <w:tc>
          <w:tcPr>
            <w:tcW w:w="3637" w:type="pct"/>
          </w:tcPr>
          <w:p w14:paraId="2549C22D" w14:textId="77777777" w:rsidR="00463FC6" w:rsidRPr="004A64EF" w:rsidRDefault="00463FC6">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Planifikuar</w:t>
            </w:r>
          </w:p>
        </w:tc>
      </w:tr>
      <w:tr w:rsidR="00463FC6" w:rsidRPr="004A64EF" w14:paraId="11CC559E" w14:textId="77777777">
        <w:tc>
          <w:tcPr>
            <w:cnfStyle w:val="001000000000" w:firstRow="0" w:lastRow="0" w:firstColumn="1" w:lastColumn="0" w:oddVBand="0" w:evenVBand="0" w:oddHBand="0" w:evenHBand="0" w:firstRowFirstColumn="0" w:firstRowLastColumn="0" w:lastRowFirstColumn="0" w:lastRowLastColumn="0"/>
            <w:tcW w:w="1363" w:type="pct"/>
            <w:hideMark/>
          </w:tcPr>
          <w:p w14:paraId="4D878AED" w14:textId="77777777" w:rsidR="00463FC6" w:rsidRPr="004A64EF" w:rsidRDefault="00463FC6">
            <w:pPr>
              <w:spacing w:before="20" w:after="20" w:line="240" w:lineRule="auto"/>
              <w:contextualSpacing/>
              <w:jc w:val="left"/>
              <w:rPr>
                <w:color w:val="FFFFFF" w:themeColor="background1"/>
                <w:sz w:val="18"/>
              </w:rPr>
            </w:pPr>
            <w:r>
              <w:rPr>
                <w:color w:val="FFFFFF" w:themeColor="background1"/>
                <w:sz w:val="18"/>
              </w:rPr>
              <w:t>Efektet kuantitative</w:t>
            </w:r>
          </w:p>
        </w:tc>
        <w:tc>
          <w:tcPr>
            <w:tcW w:w="3637" w:type="pct"/>
          </w:tcPr>
          <w:p w14:paraId="63E98CD3" w14:textId="77777777" w:rsidR="00463FC6" w:rsidRPr="004A64EF" w:rsidRDefault="00463FC6">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n/a</w:t>
            </w:r>
          </w:p>
        </w:tc>
      </w:tr>
      <w:tr w:rsidR="00463FC6" w:rsidRPr="004A64EF" w14:paraId="0E80051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pct"/>
            <w:hideMark/>
          </w:tcPr>
          <w:p w14:paraId="66FD5581" w14:textId="77777777" w:rsidR="00463FC6" w:rsidRPr="004A64EF" w:rsidRDefault="00463FC6">
            <w:pPr>
              <w:spacing w:before="20" w:after="20" w:line="240" w:lineRule="auto"/>
              <w:contextualSpacing/>
              <w:jc w:val="left"/>
              <w:rPr>
                <w:color w:val="FFFFFF" w:themeColor="background1"/>
                <w:sz w:val="18"/>
              </w:rPr>
            </w:pPr>
            <w:r>
              <w:rPr>
                <w:color w:val="FFFFFF" w:themeColor="background1"/>
                <w:sz w:val="18"/>
              </w:rPr>
              <w:t>Investimet</w:t>
            </w:r>
          </w:p>
        </w:tc>
        <w:tc>
          <w:tcPr>
            <w:tcW w:w="3637" w:type="pct"/>
          </w:tcPr>
          <w:p w14:paraId="1FC61E2A" w14:textId="77777777" w:rsidR="00463FC6" w:rsidRPr="004A64EF" w:rsidRDefault="00463FC6">
            <w:pPr>
              <w:spacing w:before="20" w:after="20" w:line="240" w:lineRule="auto"/>
              <w:contextualSpacing/>
              <w:jc w:val="left"/>
              <w:cnfStyle w:val="000000100000" w:firstRow="0" w:lastRow="0" w:firstColumn="0" w:lastColumn="0" w:oddVBand="0" w:evenVBand="0" w:oddHBand="1" w:evenHBand="0" w:firstRowFirstColumn="0" w:firstRowLastColumn="0" w:lastRowFirstColumn="0" w:lastRowLastColumn="0"/>
              <w:rPr>
                <w:sz w:val="18"/>
              </w:rPr>
            </w:pPr>
            <w:r>
              <w:rPr>
                <w:sz w:val="18"/>
              </w:rPr>
              <w:t>n/a</w:t>
            </w:r>
          </w:p>
        </w:tc>
      </w:tr>
      <w:tr w:rsidR="00463FC6" w:rsidRPr="004A64EF" w14:paraId="711AEADD" w14:textId="77777777">
        <w:tc>
          <w:tcPr>
            <w:cnfStyle w:val="001000000000" w:firstRow="0" w:lastRow="0" w:firstColumn="1" w:lastColumn="0" w:oddVBand="0" w:evenVBand="0" w:oddHBand="0" w:evenHBand="0" w:firstRowFirstColumn="0" w:firstRowLastColumn="0" w:lastRowFirstColumn="0" w:lastRowLastColumn="0"/>
            <w:tcW w:w="1363" w:type="pct"/>
            <w:hideMark/>
          </w:tcPr>
          <w:p w14:paraId="60509A19" w14:textId="77777777" w:rsidR="00463FC6" w:rsidRPr="004A64EF" w:rsidRDefault="00463FC6">
            <w:pPr>
              <w:spacing w:before="20" w:after="20" w:line="240" w:lineRule="auto"/>
              <w:contextualSpacing/>
              <w:jc w:val="left"/>
              <w:rPr>
                <w:color w:val="FFFFFF" w:themeColor="background1"/>
                <w:sz w:val="18"/>
              </w:rPr>
            </w:pPr>
            <w:r>
              <w:rPr>
                <w:color w:val="FFFFFF" w:themeColor="background1"/>
                <w:sz w:val="18"/>
              </w:rPr>
              <w:t>Institucioni përgjegjës</w:t>
            </w:r>
          </w:p>
        </w:tc>
        <w:tc>
          <w:tcPr>
            <w:tcW w:w="3637" w:type="pct"/>
          </w:tcPr>
          <w:p w14:paraId="0F34A141" w14:textId="77777777" w:rsidR="00463FC6" w:rsidRPr="004A64EF" w:rsidRDefault="00463FC6">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Industritë, NVM-të, universitetet, ME, Oda Ekonomike e Kosovës (OEK)</w:t>
            </w:r>
          </w:p>
        </w:tc>
      </w:tr>
      <w:tr w:rsidR="00463FC6" w:rsidRPr="004A64EF" w14:paraId="58DC413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pct"/>
            <w:hideMark/>
          </w:tcPr>
          <w:p w14:paraId="30B11F97" w14:textId="77777777" w:rsidR="00463FC6" w:rsidRPr="004A64EF" w:rsidRDefault="00463FC6">
            <w:pPr>
              <w:spacing w:before="20" w:after="20" w:line="240" w:lineRule="auto"/>
              <w:contextualSpacing/>
              <w:jc w:val="left"/>
              <w:rPr>
                <w:color w:val="FFFFFF" w:themeColor="background1"/>
                <w:sz w:val="18"/>
              </w:rPr>
            </w:pPr>
            <w:r>
              <w:rPr>
                <w:color w:val="FFFFFF" w:themeColor="background1"/>
                <w:sz w:val="18"/>
              </w:rPr>
              <w:t>Treguesit e progresit</w:t>
            </w:r>
          </w:p>
        </w:tc>
        <w:tc>
          <w:tcPr>
            <w:tcW w:w="3637" w:type="pct"/>
          </w:tcPr>
          <w:p w14:paraId="1615AEB6" w14:textId="77777777" w:rsidR="00463FC6" w:rsidRPr="004A64EF" w:rsidRDefault="00463FC6">
            <w:pPr>
              <w:spacing w:before="20" w:after="20" w:line="240" w:lineRule="auto"/>
              <w:contextualSpacing/>
              <w:cnfStyle w:val="000000100000" w:firstRow="0" w:lastRow="0" w:firstColumn="0" w:lastColumn="0" w:oddVBand="0" w:evenVBand="0" w:oddHBand="1" w:evenHBand="0" w:firstRowFirstColumn="0" w:firstRowLastColumn="0" w:lastRowFirstColumn="0" w:lastRowLastColumn="0"/>
              <w:rPr>
                <w:sz w:val="18"/>
              </w:rPr>
            </w:pPr>
            <w:r>
              <w:rPr>
                <w:sz w:val="18"/>
              </w:rPr>
              <w:t>n/a</w:t>
            </w:r>
          </w:p>
        </w:tc>
      </w:tr>
      <w:tr w:rsidR="00463FC6" w:rsidRPr="00976D33" w14:paraId="78FE8937" w14:textId="77777777">
        <w:tc>
          <w:tcPr>
            <w:cnfStyle w:val="001000000000" w:firstRow="0" w:lastRow="0" w:firstColumn="1" w:lastColumn="0" w:oddVBand="0" w:evenVBand="0" w:oddHBand="0" w:evenHBand="0" w:firstRowFirstColumn="0" w:firstRowLastColumn="0" w:lastRowFirstColumn="0" w:lastRowLastColumn="0"/>
            <w:tcW w:w="1363" w:type="pct"/>
          </w:tcPr>
          <w:p w14:paraId="14BE2D81" w14:textId="55996A51" w:rsidR="00463FC6" w:rsidRPr="004A64EF" w:rsidRDefault="00463FC6">
            <w:pPr>
              <w:spacing w:before="20" w:after="20" w:line="240" w:lineRule="auto"/>
              <w:contextualSpacing/>
              <w:jc w:val="left"/>
              <w:rPr>
                <w:color w:val="FFFFFF" w:themeColor="background1"/>
                <w:sz w:val="18"/>
              </w:rPr>
            </w:pPr>
            <w:r>
              <w:rPr>
                <w:color w:val="FFFFFF" w:themeColor="background1"/>
                <w:sz w:val="18"/>
              </w:rPr>
              <w:t>Lidhja me dimension</w:t>
            </w:r>
            <w:r w:rsidR="0037748E">
              <w:rPr>
                <w:color w:val="FFFFFF" w:themeColor="background1"/>
                <w:sz w:val="18"/>
              </w:rPr>
              <w:t>et e tjera</w:t>
            </w:r>
          </w:p>
        </w:tc>
        <w:tc>
          <w:tcPr>
            <w:tcW w:w="3637" w:type="pct"/>
          </w:tcPr>
          <w:p w14:paraId="5EE45786" w14:textId="77777777" w:rsidR="00463FC6" w:rsidRPr="00976D33" w:rsidRDefault="00463FC6">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sz w:val="18"/>
              </w:rPr>
            </w:pPr>
            <w:r>
              <w:rPr>
                <w:sz w:val="18"/>
              </w:rPr>
              <w:t>Dekarbonizimi, EE</w:t>
            </w:r>
          </w:p>
        </w:tc>
      </w:tr>
    </w:tbl>
    <w:p w14:paraId="16095222" w14:textId="681E3FE1" w:rsidR="00463FC6" w:rsidRPr="00976D33" w:rsidRDefault="002D4126" w:rsidP="00463FC6">
      <w:pPr>
        <w:pStyle w:val="Heading3"/>
      </w:pPr>
      <w:bookmarkStart w:id="346" w:name="_Toc182302308"/>
      <w:r>
        <w:t>Bashkëpunimi me palët e tjera kontraktuese dhe/ose shtetet anëtare të Bashkimit Evropian në këtë fushë</w:t>
      </w:r>
      <w:bookmarkEnd w:id="346"/>
      <w:r>
        <w:t xml:space="preserve"> </w:t>
      </w:r>
    </w:p>
    <w:p w14:paraId="2ADBD0BA" w14:textId="0B732EFA" w:rsidR="00463FC6" w:rsidRPr="00976D33" w:rsidRDefault="00463FC6" w:rsidP="00463FC6">
      <w:pPr>
        <w:rPr>
          <w:rFonts w:cstheme="minorHAnsi"/>
        </w:rPr>
      </w:pPr>
      <w:r>
        <w:t>Nuk ka barriera gjuhësore me universitetet dhe institutet hulumtuese nga Shqipëria dhe Maqedonia e Veriut, gjë që e bën shumë të lehtë çdo formë bashkëpunimi. Kosova do të iniciojë projekte të përbashkëta për të shfrytëzuar këtë potencial për të ulur kostot e politikave klimatike dhe energjetike. Kosova inkurajohet shumë të zhvillojë PKEK-në së bashku me Shqipërinë dhe Maqedoninë e Veriut, ku universitetet e tri vendeve me palët qeveritare dhe industriale të interesit së bashku kryejnë studime hulumtuese në eksplorimin e zgjidhjeve inovative në lidhje me çështjet e energjisë dhe klimës lokale dhe rajonale.</w:t>
      </w:r>
    </w:p>
    <w:p w14:paraId="706485E9" w14:textId="64DF5149" w:rsidR="00463FC6" w:rsidRPr="00976D33" w:rsidRDefault="00463FC6" w:rsidP="00463FC6">
      <w:r>
        <w:t>Përveç kësaj, ekziston një potencial i madh për të zhvilluar programe të përbashkëta universitare baçelor, master dhe doktoraturë në lidhje me çështjet e energjisë dhe mjedisit. Kosova është shumë e interesuar dhe e motivuar që t’i prezantojë këto iniciativa rajonale para autoriteteve nga Shqipëria dhe Maqedonia. Kjo i ndihmon të gjitha vendet pjesëmarrëse të ndajnë kostot e zhvillimit të këtyre programeve të përbashkëta.</w:t>
      </w:r>
    </w:p>
    <w:p w14:paraId="5B72345A" w14:textId="6774B05C" w:rsidR="00463FC6" w:rsidRPr="00976D33" w:rsidRDefault="006E0618" w:rsidP="00463FC6">
      <w:pPr>
        <w:pStyle w:val="Heading3"/>
      </w:pPr>
      <w:bookmarkStart w:id="347" w:name="_Toc182302309"/>
      <w:r>
        <w:t>Masat financuese në këtë fushë</w:t>
      </w:r>
      <w:bookmarkEnd w:id="347"/>
    </w:p>
    <w:p w14:paraId="0C360AC3" w14:textId="4122E47C" w:rsidR="00463FC6" w:rsidRPr="00976D33" w:rsidRDefault="00463FC6" w:rsidP="00463FC6">
      <w:r>
        <w:t>Do të krijohet një skemë e mbështetjes së inovacionit për të rritur stimujt e investimeve të NVM-ve në hulumtime dhe zhvillim shkencor. Kjo skemë është planifikuar të jetë pjesë e Fondit për Punësim dhe Zhvillim. Përveç kësaj, Kosova do të vendosë edhe lirime tatimore për blerjen e teknologjisë së re dhe do të inkurajojë lidhjen me institucionet hulumtuese jashtë vendit. PM-të e tjera nga ky sektor mund të mbështeten plotësisht ose pjesërisht përmes Horizon Europe, marrëveshjeve bilaterale të bashkëpunimit hulumtues, IPA III (prioritetet tematike: “Agjenda e gjelbër dhe lidhja e qëndrueshme” dhe “Konkurrueshmëria dhe rritja gjithëpërfshirëse”), Fondi i Investimeve të BB-së (Nisma kryesore 4 – Energjia e ripërtëritshme, Nisma kryesore 5 – Tranzicioni nga thëngjilli, Nisma kryesore 6 – Vala e rinovimit, si dhe Nisma kryesore 9 – Investimi në konkurrencën e sektori privat), programi gjerman EUKI, dhe të tjerë.</w:t>
      </w:r>
    </w:p>
    <w:p w14:paraId="25B55962" w14:textId="77777777" w:rsidR="00463FC6" w:rsidRPr="00976D33" w:rsidRDefault="00463FC6" w:rsidP="00463FC6"/>
    <w:p w14:paraId="6B5C36F5" w14:textId="77777777" w:rsidR="00463FC6" w:rsidRPr="00976D33" w:rsidRDefault="00463FC6" w:rsidP="00463FC6"/>
    <w:p w14:paraId="468AE7E9" w14:textId="77777777" w:rsidR="00FD3BFB" w:rsidRPr="00976D33" w:rsidRDefault="00FD3BFB" w:rsidP="00DF027C">
      <w:pPr>
        <w:sectPr w:rsidR="00FD3BFB" w:rsidRPr="00976D33" w:rsidSect="007E6A8A">
          <w:headerReference w:type="default" r:id="rId62"/>
          <w:footerReference w:type="default" r:id="rId63"/>
          <w:footnotePr>
            <w:numRestart w:val="eachSect"/>
          </w:footnotePr>
          <w:type w:val="continuous"/>
          <w:pgSz w:w="11906" w:h="16838" w:code="9"/>
          <w:pgMar w:top="1469" w:right="1022" w:bottom="1138" w:left="1310" w:header="0" w:footer="288" w:gutter="0"/>
          <w:cols w:space="720"/>
          <w:docGrid w:linePitch="382"/>
        </w:sectPr>
      </w:pPr>
    </w:p>
    <w:p w14:paraId="59EFC01E" w14:textId="77777777" w:rsidR="00FD3BFB" w:rsidRPr="00976D33" w:rsidRDefault="00FD3BFB" w:rsidP="009B74DF">
      <w:pPr>
        <w:pStyle w:val="Heading1"/>
        <w:rPr>
          <w:sz w:val="40"/>
          <w:szCs w:val="22"/>
        </w:rPr>
      </w:pPr>
      <w:bookmarkStart w:id="348" w:name="_Toc182302310"/>
      <w:r>
        <w:rPr>
          <w:sz w:val="40"/>
        </w:rPr>
        <w:lastRenderedPageBreak/>
        <w:t>SITUATA AKTUALE DHE PROJEKSIONET ME POLITIKAT DHE MASAT EKZISTUESE</w:t>
      </w:r>
      <w:bookmarkEnd w:id="348"/>
      <w:r>
        <w:rPr>
          <w:sz w:val="40"/>
        </w:rPr>
        <w:t xml:space="preserve"> </w:t>
      </w:r>
    </w:p>
    <w:p w14:paraId="5DAA1D02" w14:textId="77777777" w:rsidR="00FD3BFB" w:rsidRPr="00976D33" w:rsidRDefault="00FD3BFB" w:rsidP="009B74DF">
      <w:pPr>
        <w:pStyle w:val="Heading2"/>
      </w:pPr>
      <w:bookmarkStart w:id="349" w:name="_Toc182302311"/>
      <w:r>
        <w:t>Evoluimi i parashikuar i faktorëve kryesorë ekzogjenë që ndikojnë në sistemin energjetik dhe zhvillimet e emetimeve të GS-ve</w:t>
      </w:r>
      <w:bookmarkEnd w:id="349"/>
      <w:r>
        <w:t xml:space="preserve"> </w:t>
      </w:r>
    </w:p>
    <w:p w14:paraId="6227B4F5" w14:textId="666B2E0E" w:rsidR="00FD3BFB" w:rsidRPr="00976D33" w:rsidRDefault="00FD3BFB" w:rsidP="00FD3BFB">
      <w:r>
        <w:t>Puna dhe analiza e modelimit mbështetet nga të dhënat më të rëndësishme për të projektuar zhvillimet e ardhshme të sistemit energjetik, si dhe emetimet dhe rezervuarët e GS-ve. Seksionet e mëposhtme paraqesin treguesit kryesorë të të dhënave dhe supozimet e përdorura.</w:t>
      </w:r>
    </w:p>
    <w:p w14:paraId="7778F86D" w14:textId="77777777" w:rsidR="00AD0B60" w:rsidRPr="00976D33" w:rsidRDefault="00AD0B60" w:rsidP="00AF7BBF">
      <w:pPr>
        <w:pStyle w:val="Heading3"/>
        <w:numPr>
          <w:ilvl w:val="0"/>
          <w:numId w:val="111"/>
        </w:numPr>
      </w:pPr>
      <w:bookmarkStart w:id="350" w:name="_Toc182302312"/>
      <w:r>
        <w:t>Projeksionet makroekonomike (BPV dhe rritja e popullsisë)</w:t>
      </w:r>
      <w:bookmarkEnd w:id="350"/>
    </w:p>
    <w:p w14:paraId="76DF7105" w14:textId="321C8AF8" w:rsidR="00AD0B60" w:rsidRPr="00976D33" w:rsidRDefault="00AD0B60" w:rsidP="00AD0B60">
      <w:r>
        <w:t>Drejtuesit makroekonomikë që mbështesin analizën dhe modelimin janë marrë nga projeksionet dhe vlerësimet më të përditësuara. Bruto Produkti Vendor (BPV) real është një nga treguesit më të rëndësishëm, duke pasur parasysh lidhjen e fortë ndërmjet BPV-së dhe kërkesës për energji të dobishme ose nevojave për energji si nevojat për ngrohje, ftohje, gatim etj. Të dhënat e përdorura janë marrë nga Perspektiva Ekonomike Botërore e fundit e Fondit Monetar Ndërkombëtar nga prilli i vitit 2023, që përfshijnë të dhënat historike dhe projeksionet, duke përfshirë normat e pritshme të rritjes reale deri në vitin 2028 dhe normat e rritjes konstante të supozuara më pas.</w:t>
      </w:r>
      <w:r w:rsidRPr="00976D33">
        <w:rPr>
          <w:rStyle w:val="FootnoteReference"/>
        </w:rPr>
        <w:footnoteReference w:id="22"/>
      </w:r>
      <w:r>
        <w:t xml:space="preserve"> Të gjitha të dhënat janë të shprehura në terma realë me bazën në euro 2016.</w:t>
      </w:r>
      <w:r w:rsidRPr="00976D33">
        <w:rPr>
          <w:rStyle w:val="FootnoteReference"/>
        </w:rPr>
        <w:footnoteReference w:id="23"/>
      </w:r>
      <w:r>
        <w:t xml:space="preserve"> Në vitin 2021, BPV i Kosovës arriti në 7.2 miliardë euro me normë reale të rritjes prej 10.7% që rrjedh nga rimëkëmbja e mprehtë pas rënieve në vitin 2020 të shkaktuara nga pandemia globale COVID-19. Rritja e parashikuar e BPV-së real pas vitit 2023 mbetet mbi 3.5% çdo vit deri në vitin 2028 dhe parashikohet të rritet me një normë të qëndrueshme prej 3.5% çdo vit deri në vitin 2040. Pritja e rritjes së vazhdueshme nënkupton që deri në vitin 2030, BPV i Kosovës të jetë mbi 36% më e lartë se në vitin 2021, duke arritur mbi 9.8 miliardë euro. Supozimi i rritjes deri në vitin 2040 është një rritje e vazhdueshme e BPV-së real prej 3.5% në vit, duke çuar në një BPV prej 13.83 miliardë euro deri në vitin 2040 (</w:t>
      </w:r>
      <w:r w:rsidRPr="00976D33">
        <w:fldChar w:fldCharType="begin"/>
      </w:r>
      <w:r w:rsidRPr="00976D33">
        <w:instrText xml:space="preserve"> REF _Ref138077496 \h </w:instrText>
      </w:r>
      <w:r w:rsidR="004A7007" w:rsidRPr="00976D33">
        <w:instrText xml:space="preserve"> \* MERGEFORMAT </w:instrText>
      </w:r>
      <w:r w:rsidRPr="00976D33">
        <w:fldChar w:fldCharType="separate"/>
      </w:r>
      <w:r w:rsidR="003B7FFA">
        <w:t>Figura 24</w:t>
      </w:r>
      <w:r w:rsidRPr="00976D33">
        <w:fldChar w:fldCharType="end"/>
      </w:r>
      <w:r>
        <w:t>).</w:t>
      </w:r>
    </w:p>
    <w:p w14:paraId="74FFD4A9" w14:textId="084BEDA5" w:rsidR="00AD0B60" w:rsidRPr="00976D33" w:rsidRDefault="00AD0B60" w:rsidP="00AD0B60">
      <w:pPr>
        <w:pStyle w:val="Caption"/>
      </w:pPr>
      <w:bookmarkStart w:id="351" w:name="_Ref138077496"/>
      <w:bookmarkStart w:id="352" w:name="_Toc181867227"/>
      <w:r>
        <w:t xml:space="preserve">Figura </w:t>
      </w:r>
      <w:r w:rsidRPr="00976D33">
        <w:fldChar w:fldCharType="begin"/>
      </w:r>
      <w:r w:rsidRPr="00976D33">
        <w:instrText>SEQ Figure \* ARABIC</w:instrText>
      </w:r>
      <w:r w:rsidRPr="00976D33">
        <w:fldChar w:fldCharType="separate"/>
      </w:r>
      <w:r w:rsidR="003B7FFA">
        <w:rPr>
          <w:noProof/>
        </w:rPr>
        <w:t>24</w:t>
      </w:r>
      <w:r w:rsidRPr="00976D33">
        <w:fldChar w:fldCharType="end"/>
      </w:r>
      <w:bookmarkEnd w:id="351"/>
      <w:r>
        <w:t>. BPV real dhe rritja reale e BPV-së 2012-2030</w:t>
      </w:r>
      <w:bookmarkEnd w:id="352"/>
      <w:r>
        <w:t xml:space="preserve"> </w:t>
      </w:r>
    </w:p>
    <w:p w14:paraId="158E3D60" w14:textId="2999793B" w:rsidR="00AD0B60" w:rsidRPr="00976D33" w:rsidRDefault="00AD0B60" w:rsidP="006E6E51">
      <w:pPr>
        <w:spacing w:after="0"/>
        <w:jc w:val="left"/>
      </w:pPr>
      <w:r>
        <w:rPr>
          <w:noProof/>
          <w:lang w:val="en-US"/>
        </w:rPr>
        <w:drawing>
          <wp:inline distT="0" distB="0" distL="0" distR="0" wp14:anchorId="5E726255" wp14:editId="5B725FD1">
            <wp:extent cx="5165403" cy="2381459"/>
            <wp:effectExtent l="0" t="0" r="0" b="0"/>
            <wp:docPr id="608406041" name="Grafik 60840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82488" cy="2389336"/>
                    </a:xfrm>
                    <a:prstGeom prst="rect">
                      <a:avLst/>
                    </a:prstGeom>
                    <a:noFill/>
                    <a:ln>
                      <a:noFill/>
                    </a:ln>
                  </pic:spPr>
                </pic:pic>
              </a:graphicData>
            </a:graphic>
          </wp:inline>
        </w:drawing>
      </w:r>
    </w:p>
    <w:p w14:paraId="0CD54799" w14:textId="77777777" w:rsidR="00AD0B60" w:rsidRPr="00976D33" w:rsidRDefault="00AD0B60" w:rsidP="00AD0B60">
      <w:pPr>
        <w:rPr>
          <w:i/>
          <w:sz w:val="16"/>
          <w:szCs w:val="16"/>
        </w:rPr>
      </w:pPr>
      <w:r>
        <w:rPr>
          <w:i/>
          <w:sz w:val="16"/>
        </w:rPr>
        <w:t>Burimi: FMN, Perspektiva Ekonomike Botërore, prill 2023, llogaritjet vetanake</w:t>
      </w:r>
    </w:p>
    <w:p w14:paraId="6D286324" w14:textId="72218B07" w:rsidR="00AD0B60" w:rsidRPr="00976D33" w:rsidRDefault="00AD0B60" w:rsidP="00AD0B60">
      <w:r>
        <w:t xml:space="preserve">Popullsia është thelbësore pasi ushtron ndikim të rëndësishëm në shkallën e konsumit të energjisë. Analiza dhe modelimi marrin në konsideratë jo vetëm madhësinë totale të popullsisë, por edhe banorët për ekonomi familjare dhe në bazë të këtyre dy variablave llogaritet numri i ekonomive familjare. Në vitin 2021, Kosova </w:t>
      </w:r>
      <w:r>
        <w:lastRenderedPageBreak/>
        <w:t>kishte 1.81 milionë banorë (</w:t>
      </w:r>
      <w:r w:rsidRPr="00976D33">
        <w:fldChar w:fldCharType="begin"/>
      </w:r>
      <w:r w:rsidRPr="00976D33">
        <w:instrText xml:space="preserve"> REF _Ref138077470 \h  \* MERGEFORMAT </w:instrText>
      </w:r>
      <w:r w:rsidRPr="00976D33">
        <w:fldChar w:fldCharType="separate"/>
      </w:r>
      <w:r w:rsidR="003B7FFA">
        <w:t>Figura 25</w:t>
      </w:r>
      <w:r w:rsidRPr="00976D33">
        <w:fldChar w:fldCharType="end"/>
      </w:r>
      <w:r>
        <w:t xml:space="preserve">) në afërsisht 373,000 ekonomi familjare – një normë mesatare prej 4.85 banorë për ekonomi familjare. Të dhënat e marra nga Agjencia e Statistikave të Kosovës </w:t>
      </w:r>
      <w:r>
        <w:rPr>
          <w:i/>
        </w:rPr>
        <w:t>“Parashikimi i Popullsisë së Kosovës”</w:t>
      </w:r>
      <w:r>
        <w:t xml:space="preserve"> u përdor, duke përzgjedhur projeksionin e variantit të mesëm, i cili parashikon një rritje prej 0,66% mes viteve 2021 dhe 2030, me një popullsi prej 1,82 milion deri në vitin 2030.</w:t>
      </w:r>
      <w:r w:rsidRPr="00976D33">
        <w:rPr>
          <w:rStyle w:val="FootnoteReference"/>
        </w:rPr>
        <w:footnoteReference w:id="24"/>
      </w:r>
      <w:r>
        <w:t xml:space="preserve"> Ndërmjet viteve 2030 dhe 2040, një normë e përbërë e rritjes vjetore prej 0.074% është përdorur në modelim, duke reflektuar qëndrueshmëri relative të madhësisë së parashikuar të popullsisë së Kosovës, duke çuar në një numër të përgjithshëm të popullsisë prej mbi 1.83 milionë banorë deri në vitin 2040.</w:t>
      </w:r>
    </w:p>
    <w:p w14:paraId="41703C83" w14:textId="26F095C0" w:rsidR="00AD0B60" w:rsidRPr="00976D33" w:rsidRDefault="00AD0B60" w:rsidP="00AD0B60">
      <w:pPr>
        <w:pStyle w:val="Caption"/>
      </w:pPr>
      <w:bookmarkStart w:id="353" w:name="_Ref138077470"/>
      <w:bookmarkStart w:id="354" w:name="_Toc181867228"/>
      <w:r>
        <w:t xml:space="preserve">Figura </w:t>
      </w:r>
      <w:r w:rsidRPr="00976D33">
        <w:fldChar w:fldCharType="begin"/>
      </w:r>
      <w:r w:rsidRPr="00976D33">
        <w:instrText>SEQ Figure \* ARABIC</w:instrText>
      </w:r>
      <w:r w:rsidRPr="00976D33">
        <w:fldChar w:fldCharType="separate"/>
      </w:r>
      <w:r w:rsidR="003B7FFA">
        <w:rPr>
          <w:noProof/>
        </w:rPr>
        <w:t>25</w:t>
      </w:r>
      <w:r w:rsidRPr="00976D33">
        <w:fldChar w:fldCharType="end"/>
      </w:r>
      <w:bookmarkEnd w:id="353"/>
      <w:r>
        <w:t>. Popullsia 2017-2030</w:t>
      </w:r>
      <w:bookmarkEnd w:id="354"/>
      <w:r>
        <w:t xml:space="preserve"> </w:t>
      </w:r>
    </w:p>
    <w:p w14:paraId="09CE3EBE" w14:textId="77777777" w:rsidR="00AD0B60" w:rsidRPr="00976D33" w:rsidRDefault="00AD0B60" w:rsidP="00AD0B60">
      <w:r>
        <w:rPr>
          <w:noProof/>
          <w:lang w:val="en-US"/>
        </w:rPr>
        <w:drawing>
          <wp:inline distT="0" distB="0" distL="0" distR="0" wp14:anchorId="77BE5610" wp14:editId="061A1704">
            <wp:extent cx="5546690" cy="2167345"/>
            <wp:effectExtent l="0" t="0" r="0" b="0"/>
            <wp:docPr id="118961333" name="Grafik 11896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61269" cy="2173042"/>
                    </a:xfrm>
                    <a:prstGeom prst="rect">
                      <a:avLst/>
                    </a:prstGeom>
                    <a:noFill/>
                    <a:ln>
                      <a:noFill/>
                    </a:ln>
                  </pic:spPr>
                </pic:pic>
              </a:graphicData>
            </a:graphic>
          </wp:inline>
        </w:drawing>
      </w:r>
    </w:p>
    <w:p w14:paraId="4849A7A2" w14:textId="77777777" w:rsidR="00AD0B60" w:rsidRPr="00976D33" w:rsidRDefault="00AD0B60" w:rsidP="00AD0B60">
      <w:pPr>
        <w:rPr>
          <w:i/>
          <w:sz w:val="16"/>
          <w:szCs w:val="16"/>
        </w:rPr>
      </w:pPr>
      <w:r>
        <w:rPr>
          <w:i/>
          <w:sz w:val="16"/>
        </w:rPr>
        <w:t>Burimi: Parashikimi i Popullsisë së Kosovës, llogaritjet vetanake</w:t>
      </w:r>
    </w:p>
    <w:p w14:paraId="4CB0DCEC" w14:textId="26580A59" w:rsidR="00AD0B60" w:rsidRPr="00976D33" w:rsidRDefault="00AD0B60" w:rsidP="00AD0B60">
      <w:r>
        <w:t>Njëkohësisht, numri i ekonomive familjare në Kosovë pritet të rritet, duke rezultuar në një numër më të ulët të banorëve për ekonomi familjare. Deri në vitin 2030, pritet të ketë mbi 448,000 ekonomi familjare me një normë mesatare prej 4.06 banorë për ekonomi familjare. Kjo tregon një rritje prej 20,2% të numrit të ekonomive familjare, ndërsa numri i banorëve për ekonomi familjare zvogëlohet për rreth 16,3%. Ky trend vazhdon më pas deri në vitin 2040, me numrin e pritshëm të ekonomive familjare që qëndron në mbi 498,000 me një normë mesatare të banorëve prej 3.7 për familje deri në vitin 2040 (</w:t>
      </w:r>
      <w:r w:rsidRPr="00976D33">
        <w:fldChar w:fldCharType="begin"/>
      </w:r>
      <w:r w:rsidRPr="00976D33">
        <w:instrText xml:space="preserve"> REF _Ref138125657 \h </w:instrText>
      </w:r>
      <w:r w:rsidR="004A7007" w:rsidRPr="00976D33">
        <w:instrText xml:space="preserve"> \* MERGEFORMAT </w:instrText>
      </w:r>
      <w:r w:rsidRPr="00976D33">
        <w:fldChar w:fldCharType="separate"/>
      </w:r>
      <w:r w:rsidR="003B7FFA">
        <w:t>Figura 26</w:t>
      </w:r>
      <w:r w:rsidRPr="00976D33">
        <w:fldChar w:fldCharType="end"/>
      </w:r>
      <w:r>
        <w:t>).</w:t>
      </w:r>
    </w:p>
    <w:p w14:paraId="3818393A" w14:textId="126815CA" w:rsidR="00AD0B60" w:rsidRPr="00976D33" w:rsidRDefault="00AD0B60" w:rsidP="00AD0B60">
      <w:pPr>
        <w:pStyle w:val="Caption"/>
      </w:pPr>
      <w:bookmarkStart w:id="355" w:name="_Ref138125657"/>
      <w:bookmarkStart w:id="356" w:name="_Toc181867229"/>
      <w:r>
        <w:t xml:space="preserve">Figura </w:t>
      </w:r>
      <w:r w:rsidRPr="00976D33">
        <w:fldChar w:fldCharType="begin"/>
      </w:r>
      <w:r w:rsidRPr="00976D33">
        <w:instrText>SEQ Figure \* ARABIC</w:instrText>
      </w:r>
      <w:r w:rsidRPr="00976D33">
        <w:fldChar w:fldCharType="separate"/>
      </w:r>
      <w:r w:rsidR="003B7FFA">
        <w:rPr>
          <w:noProof/>
        </w:rPr>
        <w:t>26</w:t>
      </w:r>
      <w:r w:rsidRPr="00976D33">
        <w:fldChar w:fldCharType="end"/>
      </w:r>
      <w:bookmarkEnd w:id="355"/>
      <w:r>
        <w:t>. Numri i ekonomive familjare dhe banorëve për ekonomi familjare 2017-2030</w:t>
      </w:r>
      <w:bookmarkEnd w:id="356"/>
      <w:r>
        <w:t xml:space="preserve"> </w:t>
      </w:r>
    </w:p>
    <w:p w14:paraId="1A368CB2" w14:textId="591FFB5B" w:rsidR="00AD0B60" w:rsidRPr="00976D33" w:rsidRDefault="00AD0B60" w:rsidP="00AD0B60">
      <w:r>
        <w:rPr>
          <w:noProof/>
          <w:lang w:val="en-US"/>
        </w:rPr>
        <w:drawing>
          <wp:inline distT="0" distB="0" distL="0" distR="0" wp14:anchorId="0412765E" wp14:editId="3FFDA4B8">
            <wp:extent cx="5981238" cy="2150347"/>
            <wp:effectExtent l="0" t="0" r="0" b="0"/>
            <wp:docPr id="11793298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99732" cy="2156996"/>
                    </a:xfrm>
                    <a:prstGeom prst="rect">
                      <a:avLst/>
                    </a:prstGeom>
                    <a:noFill/>
                    <a:ln>
                      <a:noFill/>
                    </a:ln>
                  </pic:spPr>
                </pic:pic>
              </a:graphicData>
            </a:graphic>
          </wp:inline>
        </w:drawing>
      </w:r>
    </w:p>
    <w:p w14:paraId="39C05012" w14:textId="77777777" w:rsidR="00AD0B60" w:rsidRPr="00976D33" w:rsidRDefault="00AD0B60" w:rsidP="00AD0B60">
      <w:pPr>
        <w:spacing w:before="0"/>
        <w:rPr>
          <w:i/>
          <w:sz w:val="16"/>
          <w:szCs w:val="16"/>
        </w:rPr>
      </w:pPr>
      <w:r>
        <w:rPr>
          <w:i/>
          <w:sz w:val="16"/>
        </w:rPr>
        <w:t>Burimi: Agjencia e Statistikave të Kosovës, Parashikimi i Popullsisë së Kosovës, llogaritjet vetanake</w:t>
      </w:r>
    </w:p>
    <w:p w14:paraId="21CCA05A" w14:textId="77777777" w:rsidR="00AD0B60" w:rsidRPr="00976D33" w:rsidRDefault="00AD0B60" w:rsidP="00925441">
      <w:pPr>
        <w:pStyle w:val="Heading3"/>
      </w:pPr>
      <w:bookmarkStart w:id="357" w:name="_Toc182302313"/>
      <w:r>
        <w:t>Ndryshimet sektoriale pritet të ndikojnë në sistemin energjetik dhe emetimet e GS-ve</w:t>
      </w:r>
      <w:bookmarkEnd w:id="357"/>
      <w:r>
        <w:t xml:space="preserve"> </w:t>
      </w:r>
    </w:p>
    <w:p w14:paraId="4230600E" w14:textId="3B68CE99" w:rsidR="00AD0B60" w:rsidRPr="00976D33" w:rsidRDefault="00AD0B60" w:rsidP="00AD0B60">
      <w:r>
        <w:t>Përveç zhvillimeve makroekonomike dhe ndryshimeve në strukturën e popullsisë, ndryshim</w:t>
      </w:r>
      <w:r w:rsidR="0037748E">
        <w:t>et e tjera</w:t>
      </w:r>
      <w:r>
        <w:t xml:space="preserve"> strukturore ndikojnë në sistemin energjetik dhe emetimet në nivel sektorial. Efektet më të rëndësishme janë paraqitur më poshtë sipas sektorëve. </w:t>
      </w:r>
    </w:p>
    <w:p w14:paraId="54E1DE3D" w14:textId="77777777" w:rsidR="00AD0B60" w:rsidRPr="00976D33" w:rsidRDefault="00AD0B60" w:rsidP="00AD0B60">
      <w:pPr>
        <w:pStyle w:val="Heading3"/>
        <w:numPr>
          <w:ilvl w:val="0"/>
          <w:numId w:val="0"/>
        </w:numPr>
        <w:ind w:left="720" w:hanging="720"/>
        <w:rPr>
          <w:b/>
          <w:bCs/>
          <w:i/>
          <w:iCs/>
          <w:szCs w:val="22"/>
        </w:rPr>
      </w:pPr>
      <w:bookmarkStart w:id="358" w:name="_Toc182302314"/>
      <w:r>
        <w:rPr>
          <w:b/>
          <w:i/>
        </w:rPr>
        <w:lastRenderedPageBreak/>
        <w:t>Sektori rezidencial</w:t>
      </w:r>
      <w:bookmarkEnd w:id="358"/>
    </w:p>
    <w:p w14:paraId="7817AC3D" w14:textId="42B32BCA" w:rsidR="00AD0B60" w:rsidRPr="00976D33" w:rsidRDefault="00AD0B60" w:rsidP="00AD0B60">
      <w:r>
        <w:t>Sektori rezidencial është konsumatori më i madh i energjisë, si dhe i energjisë elektrike në Kosovë. Sipas Eurostat (2021), ky sektor ishte përgjegjës për 57.6% të konsumit total të energjisë elektrike në vitin 2021.</w:t>
      </w:r>
      <w:r w:rsidRPr="00976D33">
        <w:rPr>
          <w:rStyle w:val="FootnoteReference"/>
          <w:lang w:eastAsia="ja-JP"/>
        </w:rPr>
        <w:footnoteReference w:id="25"/>
      </w:r>
      <w:r>
        <w:t xml:space="preserve"> </w:t>
      </w:r>
    </w:p>
    <w:p w14:paraId="52B9D0D9" w14:textId="13D61EAF" w:rsidR="00AD0B60" w:rsidRPr="00976D33" w:rsidRDefault="00AD0B60" w:rsidP="00AD0B60">
      <w:r>
        <w:t>Në skenarin WEM, pjesëmarrja e energjisë elektrike në konsumin e energjisë në sektorin rezidencial parashikohet të rritet për 10 pikë përqindje (nga 44% në 54%) gjatë periudhës 2021-2040 (</w:t>
      </w:r>
      <w:r w:rsidRPr="00976D33">
        <w:fldChar w:fldCharType="begin"/>
      </w:r>
      <w:r w:rsidRPr="00976D33">
        <w:instrText xml:space="preserve"> REF _Ref138125770 \h </w:instrText>
      </w:r>
      <w:r w:rsidR="004A7007" w:rsidRPr="00976D33">
        <w:instrText xml:space="preserve"> \* MERGEFORMAT </w:instrText>
      </w:r>
      <w:r w:rsidRPr="00976D33">
        <w:fldChar w:fldCharType="separate"/>
      </w:r>
      <w:r w:rsidR="003B7FFA">
        <w:t>Figura 27</w:t>
      </w:r>
      <w:r w:rsidRPr="00976D33">
        <w:fldChar w:fldCharType="end"/>
      </w:r>
      <w:r>
        <w:t>). Ky trend mund t’i atribuohet urbanizimit në rritje të ekonomive familjare: Rënia e numrit të ekonomive familjare rurale do të zvogëlojë gradualisht konsumin total të biomasës për ngrohjen e ambienteve, duke u zëvendësuar kryesisht me energji elektrike.</w:t>
      </w:r>
      <w:r w:rsidRPr="00976D33">
        <w:rPr>
          <w:rStyle w:val="FootnoteReference"/>
          <w:lang w:eastAsia="ja-JP"/>
        </w:rPr>
        <w:footnoteReference w:id="26"/>
      </w:r>
      <w:r>
        <w:t xml:space="preserve"> Përveç kësaj, zgjerimi i sistemeve të ngrohjes qendrore në Prishtinë dhe Gjakovë do të rrisë pjesën e ngrohjes në sektorin e amvisërisë. Rrjedhimisht, pjesa e biomasës në konsumin e energjisë në sektorin rezidencial zvogëlohet ndjeshëm nga 52% në 37% ndërmjet viteve 2021-2040. Pritet një rritje për ngrohjen qendrore, e cila pritet të arrijë një pjesëmarrje prej 7% në vitin 2040, nga 2% në vitin 2021. Pjesëmarrja e karburanteve të tjera është e papërfillshme dhe mbetet relativisht konstante me kalimin e kohës.</w:t>
      </w:r>
    </w:p>
    <w:p w14:paraId="3D8DE5E8" w14:textId="2A531459" w:rsidR="00AD0B60" w:rsidRPr="00976D33" w:rsidRDefault="00AD0B60" w:rsidP="00AD0B60">
      <w:pPr>
        <w:pStyle w:val="Caption"/>
        <w:spacing w:after="0"/>
      </w:pPr>
      <w:bookmarkStart w:id="359" w:name="_Ref138125770"/>
      <w:bookmarkStart w:id="360" w:name="_Toc181867230"/>
      <w:r>
        <w:t xml:space="preserve">Figura </w:t>
      </w:r>
      <w:r w:rsidRPr="00976D33">
        <w:fldChar w:fldCharType="begin"/>
      </w:r>
      <w:r w:rsidRPr="00976D33">
        <w:instrText>SEQ Figure \* ARABIC</w:instrText>
      </w:r>
      <w:r w:rsidRPr="00976D33">
        <w:fldChar w:fldCharType="separate"/>
      </w:r>
      <w:r w:rsidR="003B7FFA">
        <w:rPr>
          <w:noProof/>
        </w:rPr>
        <w:t>27</w:t>
      </w:r>
      <w:r w:rsidRPr="00976D33">
        <w:fldChar w:fldCharType="end"/>
      </w:r>
      <w:bookmarkEnd w:id="359"/>
      <w:r>
        <w:t>. Pjesëmarrja e lëndëve djegëse në sektorin rezidencial</w:t>
      </w:r>
      <w:bookmarkEnd w:id="360"/>
    </w:p>
    <w:p w14:paraId="7B9F88B6" w14:textId="77777777" w:rsidR="00AD0B60" w:rsidRPr="00976D33" w:rsidRDefault="00AD0B60" w:rsidP="00AD0B60">
      <w:r>
        <w:rPr>
          <w:noProof/>
          <w:lang w:val="en-US"/>
        </w:rPr>
        <w:drawing>
          <wp:inline distT="0" distB="0" distL="0" distR="0" wp14:anchorId="63B988F8" wp14:editId="5FC86F27">
            <wp:extent cx="6079490" cy="2846705"/>
            <wp:effectExtent l="0" t="0" r="0" b="0"/>
            <wp:docPr id="459351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79490" cy="2846705"/>
                    </a:xfrm>
                    <a:prstGeom prst="rect">
                      <a:avLst/>
                    </a:prstGeom>
                    <a:noFill/>
                    <a:ln>
                      <a:noFill/>
                    </a:ln>
                  </pic:spPr>
                </pic:pic>
              </a:graphicData>
            </a:graphic>
          </wp:inline>
        </w:drawing>
      </w:r>
    </w:p>
    <w:p w14:paraId="324C9D3D" w14:textId="77777777" w:rsidR="00AD0B60" w:rsidRPr="00976D33" w:rsidRDefault="00AD0B60" w:rsidP="00AD0B60">
      <w:pPr>
        <w:rPr>
          <w:i/>
          <w:sz w:val="16"/>
          <w:szCs w:val="16"/>
        </w:rPr>
      </w:pPr>
      <w:r>
        <w:rPr>
          <w:i/>
          <w:sz w:val="16"/>
        </w:rPr>
        <w:t>Burimi: llogaritjet vetanake</w:t>
      </w:r>
    </w:p>
    <w:p w14:paraId="4038EF06" w14:textId="77777777" w:rsidR="00AD0B60" w:rsidRPr="00976D33" w:rsidRDefault="00AD0B60" w:rsidP="00AD0B60">
      <w:r>
        <w:t>Trajektorja e konsumit të energjisë në sektorin rezidencial bazohet në trendët historike për vitet 2015-2020 të përshtatura në rënie për të pasqyruar ndryshimet në standardet demografike, ekonomike dhe ndërtimore për të llogaritur ndikimin e Ndërtesave me konsum afër zero energji (NKAZE)</w:t>
      </w:r>
      <w:r w:rsidRPr="00976D33">
        <w:rPr>
          <w:rStyle w:val="FootnoteReference"/>
          <w:lang w:eastAsia="ja-JP"/>
        </w:rPr>
        <w:footnoteReference w:id="27"/>
      </w:r>
      <w:r>
        <w:t>. Përveç kësaj, skenari WEM inkorporon kursimet e energjisë të parapara me Strategjinë e miratuar të Energjisë të Republikës së Kosovës (2022-2031). Kursimet e energjisë janë rezultat i masave të tilla si përmirësimi i izolimit dhe ndërrimi i dritareve në rreth 1% të shtëpive njëfamiljarëshe, shtëpive me tarraca dhe ndërtesave shumëfamiljareshe në vit, si dhe ndërtimi i një numri të vogël NKAZE. Për më tepër, Strategjia e Energjisë parashikon instalimin e kolektorëve termikë solarë, zhvillimin e tregut të Kompanive të Shërbimeve të Energjisë (KSHE) dhe zhvillimin e skemës së certifikimit energjetik të ndërtesave.</w:t>
      </w:r>
    </w:p>
    <w:p w14:paraId="6336860E" w14:textId="77777777" w:rsidR="00AD0B60" w:rsidRPr="00976D33" w:rsidRDefault="00AD0B60" w:rsidP="00AD0B60">
      <w:r>
        <w:t>Në model parashikohet që sipërfaqja totale e bazës në sektorin rezidencial të rritet për 1.2% në vit. Pjesëmarrja në sipërfaqen bazës sipas llojit të ndërtesës në vitin 2021 është paraqitur më poshtë.</w:t>
      </w:r>
    </w:p>
    <w:p w14:paraId="6F6A5058" w14:textId="77777777" w:rsidR="00AA7CDF" w:rsidRDefault="00AA7CDF" w:rsidP="00AD0B60">
      <w:pPr>
        <w:rPr>
          <w:lang w:eastAsia="ja-JP"/>
        </w:rPr>
      </w:pPr>
    </w:p>
    <w:p w14:paraId="098FFA92" w14:textId="77777777" w:rsidR="00AA7CDF" w:rsidRPr="00976D33" w:rsidRDefault="00AA7CDF" w:rsidP="00FE486A">
      <w:pPr>
        <w:spacing w:before="0" w:after="0"/>
        <w:rPr>
          <w:lang w:eastAsia="ja-JP"/>
        </w:rPr>
      </w:pPr>
    </w:p>
    <w:p w14:paraId="3DC1AEDD" w14:textId="70DC439D" w:rsidR="00AD0B60" w:rsidRPr="00976D33" w:rsidRDefault="00AD0B60" w:rsidP="00AD0B60">
      <w:pPr>
        <w:pStyle w:val="Caption"/>
      </w:pPr>
      <w:bookmarkStart w:id="361" w:name="_Toc181867301"/>
      <w:r>
        <w:lastRenderedPageBreak/>
        <w:t xml:space="preserve">Tabela </w:t>
      </w:r>
      <w:r w:rsidRPr="00976D33">
        <w:fldChar w:fldCharType="begin"/>
      </w:r>
      <w:r w:rsidRPr="00976D33">
        <w:instrText>SEQ Table \* ARABIC</w:instrText>
      </w:r>
      <w:r w:rsidRPr="00976D33">
        <w:fldChar w:fldCharType="separate"/>
      </w:r>
      <w:r w:rsidR="003B7FFA">
        <w:rPr>
          <w:noProof/>
        </w:rPr>
        <w:t>8</w:t>
      </w:r>
      <w:r w:rsidRPr="00976D33">
        <w:fldChar w:fldCharType="end"/>
      </w:r>
      <w:r>
        <w:t>. Pjesëmarrja në sipërfaqen e katit të stokut total të ndërtesave sipas llojit të ndërtesës në vitin 2021</w:t>
      </w:r>
      <w:bookmarkEnd w:id="361"/>
    </w:p>
    <w:tbl>
      <w:tblPr>
        <w:tblStyle w:val="GridTable4-Accent1"/>
        <w:tblW w:w="5000" w:type="pct"/>
        <w:tblLook w:val="04A0" w:firstRow="1" w:lastRow="0" w:firstColumn="1" w:lastColumn="0" w:noHBand="0" w:noVBand="1"/>
      </w:tblPr>
      <w:tblGrid>
        <w:gridCol w:w="2505"/>
        <w:gridCol w:w="1883"/>
        <w:gridCol w:w="2666"/>
        <w:gridCol w:w="2510"/>
      </w:tblGrid>
      <w:tr w:rsidR="00AD0B60" w:rsidRPr="00976D33" w14:paraId="642E9916" w14:textId="77777777">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09" w:type="pct"/>
          </w:tcPr>
          <w:p w14:paraId="4A5E1DB7" w14:textId="4ECC80B9" w:rsidR="00AD0B60" w:rsidRPr="00976D33" w:rsidRDefault="00AD0B60">
            <w:pPr>
              <w:spacing w:before="0" w:after="0"/>
              <w:rPr>
                <w:color w:val="FFFFFF" w:themeColor="background1"/>
                <w:sz w:val="18"/>
                <w:szCs w:val="18"/>
              </w:rPr>
            </w:pPr>
            <w:r>
              <w:rPr>
                <w:color w:val="FFFFFF" w:themeColor="background1"/>
                <w:sz w:val="18"/>
              </w:rPr>
              <w:t>Shtëpitë njëshe</w:t>
            </w:r>
          </w:p>
        </w:tc>
        <w:tc>
          <w:tcPr>
            <w:tcW w:w="984" w:type="pct"/>
          </w:tcPr>
          <w:p w14:paraId="17A6CF9F" w14:textId="73B79BF8" w:rsidR="00AD0B60" w:rsidRPr="00976D33" w:rsidRDefault="00AD0B60">
            <w:pPr>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color w:val="FFFFFF" w:themeColor="background1"/>
                <w:sz w:val="18"/>
              </w:rPr>
              <w:t xml:space="preserve">Shtëpitë </w:t>
            </w:r>
            <w:r w:rsidR="00774BF1">
              <w:rPr>
                <w:color w:val="FFFFFF" w:themeColor="background1"/>
                <w:sz w:val="18"/>
              </w:rPr>
              <w:t>n</w:t>
            </w:r>
            <w:r>
              <w:rPr>
                <w:color w:val="FFFFFF" w:themeColor="background1"/>
                <w:sz w:val="18"/>
              </w:rPr>
              <w:t>ë</w:t>
            </w:r>
            <w:r w:rsidR="00774BF1">
              <w:rPr>
                <w:color w:val="FFFFFF" w:themeColor="background1"/>
                <w:sz w:val="18"/>
              </w:rPr>
              <w:t xml:space="preserve"> varg</w:t>
            </w:r>
          </w:p>
        </w:tc>
        <w:tc>
          <w:tcPr>
            <w:tcW w:w="1394" w:type="pct"/>
          </w:tcPr>
          <w:p w14:paraId="7577CDF1" w14:textId="101CDBBC" w:rsidR="00AD0B60" w:rsidRPr="00976D33" w:rsidRDefault="00314B44">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color w:val="FFFFFF" w:themeColor="background1"/>
                <w:sz w:val="18"/>
              </w:rPr>
              <w:t xml:space="preserve">Ndërtesat e banimit në bashkëpronësi </w:t>
            </w:r>
            <w:r w:rsidR="00312B25">
              <w:rPr>
                <w:color w:val="FFFFFF" w:themeColor="background1"/>
                <w:sz w:val="18"/>
              </w:rPr>
              <w:t>(Ndërtesa shumëbanesore e ul</w:t>
            </w:r>
            <w:r w:rsidR="00955C97">
              <w:rPr>
                <w:color w:val="FFFFFF" w:themeColor="background1"/>
                <w:sz w:val="18"/>
              </w:rPr>
              <w:t>ët)</w:t>
            </w:r>
          </w:p>
        </w:tc>
        <w:tc>
          <w:tcPr>
            <w:tcW w:w="1312" w:type="pct"/>
          </w:tcPr>
          <w:p w14:paraId="102485D3" w14:textId="395F3275" w:rsidR="00AD0B60" w:rsidRPr="00976D33" w:rsidRDefault="00955C97">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color w:val="FFFFFF" w:themeColor="background1"/>
                <w:sz w:val="18"/>
              </w:rPr>
              <w:t>Ndërtesat e banimit në bashkëpronësi (Ndërtesa shumëbanesore e lartë)</w:t>
            </w:r>
          </w:p>
        </w:tc>
      </w:tr>
      <w:tr w:rsidR="00AD0B60" w:rsidRPr="00976D33" w14:paraId="383C3118" w14:textId="77777777">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309" w:type="pct"/>
          </w:tcPr>
          <w:p w14:paraId="6AB3CBFD" w14:textId="77777777" w:rsidR="00AD0B60" w:rsidRPr="00976D33" w:rsidRDefault="00AD0B60">
            <w:pPr>
              <w:spacing w:before="0" w:after="0"/>
              <w:jc w:val="center"/>
              <w:rPr>
                <w:b w:val="0"/>
                <w:sz w:val="18"/>
                <w:szCs w:val="18"/>
              </w:rPr>
            </w:pPr>
            <w:r>
              <w:rPr>
                <w:sz w:val="18"/>
              </w:rPr>
              <w:t>52%</w:t>
            </w:r>
          </w:p>
        </w:tc>
        <w:tc>
          <w:tcPr>
            <w:tcW w:w="984" w:type="pct"/>
          </w:tcPr>
          <w:p w14:paraId="0EA59170" w14:textId="77777777" w:rsidR="00AD0B60" w:rsidRPr="00976D33" w:rsidRDefault="00AD0B60">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rPr>
              <w:t>6%</w:t>
            </w:r>
          </w:p>
        </w:tc>
        <w:tc>
          <w:tcPr>
            <w:tcW w:w="1394" w:type="pct"/>
          </w:tcPr>
          <w:p w14:paraId="00C93814" w14:textId="77777777" w:rsidR="00AD0B60" w:rsidRPr="00976D33" w:rsidRDefault="00AD0B60">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rPr>
              <w:t>6%</w:t>
            </w:r>
          </w:p>
        </w:tc>
        <w:tc>
          <w:tcPr>
            <w:tcW w:w="1312" w:type="pct"/>
          </w:tcPr>
          <w:p w14:paraId="42790832" w14:textId="77777777" w:rsidR="00AD0B60" w:rsidRPr="00976D33" w:rsidRDefault="00AD0B60">
            <w:pPr>
              <w:spacing w:before="0"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rPr>
              <w:t>36%</w:t>
            </w:r>
          </w:p>
        </w:tc>
      </w:tr>
    </w:tbl>
    <w:p w14:paraId="78343D3B" w14:textId="77777777" w:rsidR="00AD0B60" w:rsidRPr="00976D33" w:rsidRDefault="00AD0B60" w:rsidP="00AD0B60">
      <w:pPr>
        <w:rPr>
          <w:i/>
          <w:sz w:val="16"/>
          <w:szCs w:val="16"/>
        </w:rPr>
      </w:pPr>
      <w:r>
        <w:rPr>
          <w:i/>
          <w:sz w:val="16"/>
        </w:rPr>
        <w:t xml:space="preserve">Burimi: Projekt Strategjia për Rinovimin e Ndërtesave </w:t>
      </w:r>
      <w:r w:rsidRPr="00976D33">
        <w:rPr>
          <w:sz w:val="16"/>
          <w:szCs w:val="16"/>
        </w:rPr>
        <w:footnoteReference w:id="28"/>
      </w:r>
    </w:p>
    <w:p w14:paraId="071E06A2" w14:textId="2B629CA8" w:rsidR="00AD0B60" w:rsidRPr="00976D33" w:rsidRDefault="00AD0B60" w:rsidP="00AD0B60">
      <w:r>
        <w:t xml:space="preserve">Kërkesa për energji në sektorin rezidencial zbërthehet në përdorime të ndryshme përfundimtare, të cilat parashikohen të rriten në mënyrë heterogjene në skenarin WEM. Nevoja vjetore për ngrohje të hapësirave në sektorin rezidencial është shumë më e lartë se nevoja vjetore për ftohje të hapësirave.  Megjithatë, për momentin, ftohja e hapësirave nuk është një praktikë e zakonshme në Kosovë, veçanërisht në sektorin rezidencial. Në fakt, sipas Eurostat (2021), ngrohja e hapësirave ka konsumuar njëzet herë më shumë energji sesa ftohja e hapësirave në vitin 2021. Megjithatë, për shkak të rritjes së temperaturës mesatare atmosferike të nxitur nga ndryshimet klimatike dhe rritjes së përballueshmërisë së pajisjeve ftohëse, parashikohet që ftohja e hapësirave do të bëhet një praktikë më e përhapur në kuadër të kornizës kohore të analizuar. </w:t>
      </w:r>
    </w:p>
    <w:p w14:paraId="080A6BB6" w14:textId="77777777" w:rsidR="00506574" w:rsidRPr="00976D33" w:rsidRDefault="00AD0B60" w:rsidP="00506574">
      <w:r>
        <w:t>Përqindja e lartë e ngrohjes së hapësirave në raport me ftohjen e hapësirave për vitin bazë rrjedh kryesisht nga nevoja e lartë për ngrohje gjatë gjithë vitit. Tabela e mëposhtme raporton ditët e shkallës së ngrohjes (HDD) dhe ditët e shkallës së ftohjes (CDD) për Prishtinën, të cilat lidhen me ashpërsinë e temperaturave përkatëse të jashtme gjatë dimrit dhe verës. Zakonisht, kjo matet në ‘ditët e shkallës’ kumulative vjetore të deficitit ose tepricës së temperaturës së jashtme në raport me nivelin e ‘temperaturës bazë’ dhe përdoret për të nxjerrë përfundimin e kërkesës për ngrohje dhe ftohje.</w:t>
      </w:r>
    </w:p>
    <w:p w14:paraId="25F1349E" w14:textId="546E25C9" w:rsidR="00AD0B60" w:rsidRPr="00976D33" w:rsidRDefault="00AD0B60" w:rsidP="00AD0B60">
      <w:pPr>
        <w:pStyle w:val="Caption"/>
      </w:pPr>
      <w:r>
        <w:t xml:space="preserve"> </w:t>
      </w:r>
      <w:r>
        <w:br/>
      </w:r>
      <w:bookmarkStart w:id="362" w:name="_Toc181867302"/>
      <w:r>
        <w:t xml:space="preserve">Tabela </w:t>
      </w:r>
      <w:r w:rsidRPr="00976D33">
        <w:fldChar w:fldCharType="begin"/>
      </w:r>
      <w:r w:rsidRPr="00976D33">
        <w:instrText>SEQ Table \* ARABIC</w:instrText>
      </w:r>
      <w:r w:rsidRPr="00976D33">
        <w:fldChar w:fldCharType="separate"/>
      </w:r>
      <w:r w:rsidR="003B7FFA">
        <w:rPr>
          <w:noProof/>
        </w:rPr>
        <w:t>9</w:t>
      </w:r>
      <w:r w:rsidRPr="00976D33">
        <w:fldChar w:fldCharType="end"/>
      </w:r>
      <w:r>
        <w:t>. Mesatarja 5 vjeçare për HDD dhe CDD (2018-2022) Stacioni i Motit në Aeroportin Ndërkombëtar të Prishtinës</w:t>
      </w:r>
      <w:bookmarkEnd w:id="362"/>
    </w:p>
    <w:tbl>
      <w:tblPr>
        <w:tblStyle w:val="GridTable4Accent10"/>
        <w:tblW w:w="5796" w:type="dxa"/>
        <w:tblLook w:val="04A0" w:firstRow="1" w:lastRow="0" w:firstColumn="1" w:lastColumn="0" w:noHBand="0" w:noVBand="1"/>
      </w:tblPr>
      <w:tblGrid>
        <w:gridCol w:w="1932"/>
        <w:gridCol w:w="1932"/>
        <w:gridCol w:w="1932"/>
      </w:tblGrid>
      <w:tr w:rsidR="00AD0B60" w:rsidRPr="00976D33" w14:paraId="74F9FFCA" w14:textId="77777777">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32" w:type="dxa"/>
            <w:hideMark/>
          </w:tcPr>
          <w:p w14:paraId="317C5AFB" w14:textId="77777777" w:rsidR="00AD0B60" w:rsidRPr="00976D33" w:rsidRDefault="00AD0B60">
            <w:pPr>
              <w:spacing w:before="0" w:line="240" w:lineRule="auto"/>
              <w:rPr>
                <w:rFonts w:asciiTheme="minorHAnsi" w:eastAsia="Times New Roman" w:hAnsiTheme="minorHAnsi" w:cstheme="minorHAnsi"/>
                <w:b w:val="0"/>
                <w:color w:val="FFFFFF"/>
                <w:sz w:val="18"/>
              </w:rPr>
            </w:pPr>
            <w:r>
              <w:rPr>
                <w:rFonts w:asciiTheme="minorHAnsi" w:hAnsiTheme="minorHAnsi"/>
                <w:color w:val="FFFFFF"/>
                <w:sz w:val="18"/>
              </w:rPr>
              <w:t>Temperatura referente</w:t>
            </w:r>
          </w:p>
        </w:tc>
        <w:tc>
          <w:tcPr>
            <w:tcW w:w="1932" w:type="dxa"/>
            <w:hideMark/>
          </w:tcPr>
          <w:p w14:paraId="0ABB10E6" w14:textId="77777777" w:rsidR="00AD0B60" w:rsidRPr="00976D33" w:rsidRDefault="00AD0B6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FFFFFF"/>
                <w:sz w:val="18"/>
              </w:rPr>
            </w:pPr>
            <w:r>
              <w:rPr>
                <w:rFonts w:asciiTheme="minorHAnsi" w:hAnsiTheme="minorHAnsi"/>
                <w:color w:val="FFFFFF"/>
                <w:sz w:val="18"/>
              </w:rPr>
              <w:t>HDD</w:t>
            </w:r>
          </w:p>
        </w:tc>
        <w:tc>
          <w:tcPr>
            <w:tcW w:w="1932" w:type="dxa"/>
            <w:hideMark/>
          </w:tcPr>
          <w:p w14:paraId="4584067F" w14:textId="77777777" w:rsidR="00AD0B60" w:rsidRPr="00976D33" w:rsidRDefault="00AD0B6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FFFFFF"/>
                <w:sz w:val="18"/>
              </w:rPr>
            </w:pPr>
            <w:r>
              <w:rPr>
                <w:rFonts w:asciiTheme="minorHAnsi" w:hAnsiTheme="minorHAnsi"/>
                <w:color w:val="FFFFFF"/>
                <w:sz w:val="18"/>
              </w:rPr>
              <w:t>CDD</w:t>
            </w:r>
          </w:p>
        </w:tc>
      </w:tr>
      <w:tr w:rsidR="00AD0B60" w:rsidRPr="00976D33" w14:paraId="6E000BE0" w14:textId="77777777">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932" w:type="dxa"/>
            <w:vAlign w:val="center"/>
            <w:hideMark/>
          </w:tcPr>
          <w:p w14:paraId="35D6D76D" w14:textId="77777777" w:rsidR="00AD0B60" w:rsidRPr="00976D33" w:rsidRDefault="00AD0B60">
            <w:pPr>
              <w:spacing w:before="0" w:line="240" w:lineRule="auto"/>
              <w:jc w:val="center"/>
              <w:rPr>
                <w:rFonts w:asciiTheme="minorHAnsi" w:eastAsia="Times New Roman" w:hAnsiTheme="minorHAnsi" w:cstheme="minorHAnsi"/>
                <w:color w:val="000000"/>
                <w:sz w:val="18"/>
              </w:rPr>
            </w:pPr>
            <w:r>
              <w:rPr>
                <w:rFonts w:asciiTheme="minorHAnsi" w:hAnsiTheme="minorHAnsi"/>
                <w:color w:val="000000"/>
                <w:sz w:val="18"/>
              </w:rPr>
              <w:t>15.5°C</w:t>
            </w:r>
          </w:p>
        </w:tc>
        <w:tc>
          <w:tcPr>
            <w:tcW w:w="1932" w:type="dxa"/>
            <w:vAlign w:val="center"/>
            <w:hideMark/>
          </w:tcPr>
          <w:p w14:paraId="0E1351EF" w14:textId="77777777" w:rsidR="00AD0B60" w:rsidRPr="00976D33" w:rsidRDefault="00AD0B6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rPr>
            </w:pPr>
            <w:r>
              <w:rPr>
                <w:rFonts w:asciiTheme="minorHAnsi" w:hAnsiTheme="minorHAnsi"/>
                <w:color w:val="000000"/>
                <w:sz w:val="18"/>
              </w:rPr>
              <w:t>2226</w:t>
            </w:r>
          </w:p>
        </w:tc>
        <w:tc>
          <w:tcPr>
            <w:tcW w:w="1932" w:type="dxa"/>
            <w:vAlign w:val="center"/>
            <w:hideMark/>
          </w:tcPr>
          <w:p w14:paraId="163AEF6E" w14:textId="77777777" w:rsidR="00AD0B60" w:rsidRPr="00976D33" w:rsidRDefault="00AD0B6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rPr>
            </w:pPr>
            <w:r>
              <w:rPr>
                <w:rFonts w:asciiTheme="minorHAnsi" w:hAnsiTheme="minorHAnsi"/>
                <w:color w:val="000000"/>
                <w:sz w:val="18"/>
              </w:rPr>
              <w:t>790</w:t>
            </w:r>
          </w:p>
        </w:tc>
      </w:tr>
      <w:tr w:rsidR="00AD0B60" w:rsidRPr="00976D33" w14:paraId="387B5CC8" w14:textId="77777777">
        <w:trPr>
          <w:trHeight w:val="174"/>
        </w:trPr>
        <w:tc>
          <w:tcPr>
            <w:cnfStyle w:val="001000000000" w:firstRow="0" w:lastRow="0" w:firstColumn="1" w:lastColumn="0" w:oddVBand="0" w:evenVBand="0" w:oddHBand="0" w:evenHBand="0" w:firstRowFirstColumn="0" w:firstRowLastColumn="0" w:lastRowFirstColumn="0" w:lastRowLastColumn="0"/>
            <w:tcW w:w="1932" w:type="dxa"/>
            <w:vAlign w:val="center"/>
            <w:hideMark/>
          </w:tcPr>
          <w:p w14:paraId="12D48411" w14:textId="77777777" w:rsidR="00AD0B60" w:rsidRPr="00976D33" w:rsidRDefault="00AD0B60">
            <w:pPr>
              <w:spacing w:before="0" w:line="240" w:lineRule="auto"/>
              <w:jc w:val="center"/>
              <w:rPr>
                <w:rFonts w:asciiTheme="minorHAnsi" w:eastAsia="Times New Roman" w:hAnsiTheme="minorHAnsi" w:cstheme="minorHAnsi"/>
                <w:color w:val="000000"/>
                <w:sz w:val="18"/>
              </w:rPr>
            </w:pPr>
            <w:r>
              <w:rPr>
                <w:rFonts w:asciiTheme="minorHAnsi" w:hAnsiTheme="minorHAnsi"/>
                <w:color w:val="000000"/>
                <w:sz w:val="18"/>
              </w:rPr>
              <w:t>18°C</w:t>
            </w:r>
          </w:p>
        </w:tc>
        <w:tc>
          <w:tcPr>
            <w:tcW w:w="1932" w:type="dxa"/>
            <w:vAlign w:val="center"/>
            <w:hideMark/>
          </w:tcPr>
          <w:p w14:paraId="7DDB4508" w14:textId="77777777" w:rsidR="00AD0B60" w:rsidRPr="00976D33" w:rsidRDefault="00AD0B6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rPr>
            </w:pPr>
            <w:r>
              <w:rPr>
                <w:rFonts w:asciiTheme="minorHAnsi" w:hAnsiTheme="minorHAnsi"/>
                <w:color w:val="000000"/>
                <w:sz w:val="18"/>
              </w:rPr>
              <w:t>2855</w:t>
            </w:r>
          </w:p>
        </w:tc>
        <w:tc>
          <w:tcPr>
            <w:tcW w:w="1932" w:type="dxa"/>
            <w:vAlign w:val="center"/>
            <w:hideMark/>
          </w:tcPr>
          <w:p w14:paraId="5FF44156" w14:textId="77777777" w:rsidR="00AD0B60" w:rsidRPr="00976D33" w:rsidRDefault="00AD0B6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rPr>
            </w:pPr>
            <w:r>
              <w:rPr>
                <w:rFonts w:asciiTheme="minorHAnsi" w:hAnsiTheme="minorHAnsi"/>
                <w:color w:val="000000"/>
                <w:sz w:val="18"/>
              </w:rPr>
              <w:t>502</w:t>
            </w:r>
          </w:p>
        </w:tc>
      </w:tr>
      <w:tr w:rsidR="00AD0B60" w:rsidRPr="00976D33" w14:paraId="12087600" w14:textId="77777777">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932" w:type="dxa"/>
            <w:vAlign w:val="center"/>
            <w:hideMark/>
          </w:tcPr>
          <w:p w14:paraId="6FA324A4" w14:textId="77777777" w:rsidR="00AD0B60" w:rsidRPr="00976D33" w:rsidRDefault="00AD0B60">
            <w:pPr>
              <w:spacing w:before="0" w:line="240" w:lineRule="auto"/>
              <w:jc w:val="center"/>
              <w:rPr>
                <w:rFonts w:asciiTheme="minorHAnsi" w:eastAsia="Times New Roman" w:hAnsiTheme="minorHAnsi" w:cstheme="minorHAnsi"/>
                <w:color w:val="000000"/>
                <w:sz w:val="18"/>
              </w:rPr>
            </w:pPr>
            <w:r>
              <w:rPr>
                <w:rFonts w:asciiTheme="minorHAnsi" w:hAnsiTheme="minorHAnsi"/>
                <w:color w:val="000000"/>
                <w:sz w:val="18"/>
              </w:rPr>
              <w:t>21°C</w:t>
            </w:r>
          </w:p>
        </w:tc>
        <w:tc>
          <w:tcPr>
            <w:tcW w:w="1932" w:type="dxa"/>
            <w:vAlign w:val="center"/>
            <w:hideMark/>
          </w:tcPr>
          <w:p w14:paraId="60C1AC6D" w14:textId="77777777" w:rsidR="00AD0B60" w:rsidRPr="00976D33" w:rsidRDefault="00AD0B6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rPr>
            </w:pPr>
            <w:r>
              <w:rPr>
                <w:rFonts w:asciiTheme="minorHAnsi" w:hAnsiTheme="minorHAnsi"/>
                <w:color w:val="000000"/>
                <w:sz w:val="18"/>
              </w:rPr>
              <w:t>3719</w:t>
            </w:r>
          </w:p>
        </w:tc>
        <w:tc>
          <w:tcPr>
            <w:tcW w:w="1932" w:type="dxa"/>
            <w:vAlign w:val="center"/>
            <w:hideMark/>
          </w:tcPr>
          <w:p w14:paraId="0100AD64" w14:textId="77777777" w:rsidR="00AD0B60" w:rsidRPr="00976D33" w:rsidRDefault="00AD0B6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rPr>
            </w:pPr>
            <w:r>
              <w:rPr>
                <w:rFonts w:asciiTheme="minorHAnsi" w:hAnsiTheme="minorHAnsi"/>
                <w:color w:val="000000"/>
                <w:sz w:val="18"/>
              </w:rPr>
              <w:t>270</w:t>
            </w:r>
          </w:p>
        </w:tc>
      </w:tr>
    </w:tbl>
    <w:p w14:paraId="69A398F8" w14:textId="79F938A7" w:rsidR="00AD0B60" w:rsidRPr="00976D33" w:rsidRDefault="00AD0B60" w:rsidP="00AD0B60">
      <w:pPr>
        <w:rPr>
          <w:i/>
          <w:sz w:val="16"/>
          <w:szCs w:val="16"/>
        </w:rPr>
      </w:pPr>
      <w:r>
        <w:rPr>
          <w:i/>
          <w:sz w:val="16"/>
        </w:rPr>
        <w:t xml:space="preserve">Burimi: </w:t>
      </w:r>
      <w:hyperlink r:id="rId68" w:history="1">
        <w:r>
          <w:rPr>
            <w:i/>
            <w:sz w:val="16"/>
          </w:rPr>
          <w:t>www.degreedays.net</w:t>
        </w:r>
      </w:hyperlink>
    </w:p>
    <w:p w14:paraId="44304590" w14:textId="4FD0C720" w:rsidR="00AD0B60" w:rsidRPr="00976D33" w:rsidRDefault="00AD0B60" w:rsidP="00AD0B60">
      <w:pPr>
        <w:pStyle w:val="Heading3"/>
        <w:numPr>
          <w:ilvl w:val="0"/>
          <w:numId w:val="0"/>
        </w:numPr>
        <w:ind w:left="720" w:hanging="720"/>
        <w:rPr>
          <w:b/>
          <w:bCs/>
          <w:i/>
          <w:iCs/>
          <w:szCs w:val="22"/>
        </w:rPr>
      </w:pPr>
      <w:bookmarkStart w:id="363" w:name="_Toc182302315"/>
      <w:r>
        <w:rPr>
          <w:b/>
          <w:i/>
        </w:rPr>
        <w:t>Sektori i shërbimeve</w:t>
      </w:r>
      <w:bookmarkEnd w:id="363"/>
    </w:p>
    <w:p w14:paraId="0AE970D8" w14:textId="5E87EC89" w:rsidR="00AD0B60" w:rsidRPr="00976D33" w:rsidRDefault="00AD0B60" w:rsidP="00AD0B60">
      <w:r>
        <w:t xml:space="preserve">Sektori i shërbimeve përbëhet nga inventari i ndërtesave të sektorit publik dhe komercial. Së bashku, këto të dyja përbënin rreth 6% të konsumit final të energjisë në vitin 2021. </w:t>
      </w:r>
    </w:p>
    <w:p w14:paraId="389AC58B" w14:textId="77777777" w:rsidR="00AD0B60" w:rsidRPr="00976D33" w:rsidRDefault="00AD0B60" w:rsidP="00AD0B60">
      <w:r>
        <w:t xml:space="preserve">Ngjashëm me modelin rezidencial, trajektorja e konsumit të energjisë në sektorin e shërbimeve pasqyron një kombinim të faktorëve demografikë dhe të rritjes dhe merr parasysh vlerësimet bazë të rinovimit dhe standardet më të larta të ndërtimit për ndërtesat e reja në të ardhmen. </w:t>
      </w:r>
    </w:p>
    <w:p w14:paraId="297D1F10" w14:textId="108D7C1F" w:rsidR="00AD0B60" w:rsidRPr="00976D33" w:rsidRDefault="00AD0B60" w:rsidP="00FE486A">
      <w:pPr>
        <w:spacing w:after="0"/>
      </w:pPr>
      <w:r>
        <w:t>Normat e rinovimit për sektorin e shërbimeve bazohen në vlerësimet nga poshtë lart për kursimet nga rinovimi për metër katror siç tregohet në Strategjinë e Energjisë.</w:t>
      </w:r>
      <w:r w:rsidRPr="00976D33">
        <w:rPr>
          <w:vertAlign w:val="superscript"/>
        </w:rPr>
        <w:footnoteReference w:id="29"/>
      </w:r>
      <w:r>
        <w:t xml:space="preserve"> Parashikohet se rreth 0.3% e sipërfaqes së bazës të rinovohet çdo vit në sektorin tregtar. Stoku i ndërtesave publike do të rinovohet në rreth 0.8% në vit. Për më tepër, 1% dhe 3% e sipërfaqes totale të ndërtesave të Qeverisë Qendrore do të rinovohen në vitet 2021-2023 përkatësisht 2024 e tutje, sipas nenit 5 të Direktivës për Efiçiencën e Energjisë. Sipërfaqja totale parashikohet të rritet me një ritëm të ndryshëm për çdo nënsektor, d.m.th., 1.4% në vit për sektorin komercial dhe 0.5% në vit për sektorin publik, dhe në këtë mënyrë supozohet të rritet në përputhje me trendët bazë të konsumit të energjisë për këta sektorë siç përshkruhet në Projekt Strategjinë për Rinovim të Ndërtesave. </w:t>
      </w:r>
    </w:p>
    <w:p w14:paraId="401D64FB" w14:textId="1EDF7D04" w:rsidR="00AD0B60" w:rsidRPr="00976D33" w:rsidRDefault="00AD0B60" w:rsidP="00AD0B60">
      <w:r>
        <w:lastRenderedPageBreak/>
        <w:t>Në përgjithësi, kursimet në sektorin e shërbimeve rrjedhin nga rinovimi (izolimi dhe ndërrimin e dritareve) dhe masat shtesë siç janë vënia në funksion e tregut të KSHE-ve, certifikatat e performancës energjetike si dhe rinovimi i veçantë për ndërtesat e qeverisë qendrore siç përshkruhet në Strategjinë e Energjisë.</w:t>
      </w:r>
    </w:p>
    <w:p w14:paraId="42B7C58E" w14:textId="382D4E5D" w:rsidR="00AD0B60" w:rsidRPr="00976D33" w:rsidRDefault="00AD0B60" w:rsidP="00AD0B60">
      <w:r>
        <w:t>Në skenarin WEM për sektorin e shërbimeve, pjesëmarrja e lëndës djegëse për energji elektrike pritet të ulet lehtë nga 58% në vitin 2021 në 57% në vitin 2040, ndërsa pjesëmarrja e biomasës zvogëlohet nga 6% në 4% dhe pjesëmarrja e linjitit zvogëlohet nga 5% në 2% në të njëjtën periudhë (</w:t>
      </w:r>
      <w:r w:rsidRPr="00976D33">
        <w:fldChar w:fldCharType="begin"/>
      </w:r>
      <w:r w:rsidRPr="00976D33">
        <w:instrText xml:space="preserve"> REF _Ref139003884 \h </w:instrText>
      </w:r>
      <w:r w:rsidR="004A7007" w:rsidRPr="00976D33">
        <w:instrText xml:space="preserve"> \* MERGEFORMAT </w:instrText>
      </w:r>
      <w:r w:rsidRPr="00976D33">
        <w:fldChar w:fldCharType="separate"/>
      </w:r>
      <w:r w:rsidR="003B7FFA">
        <w:t>Figura 28</w:t>
      </w:r>
      <w:r w:rsidRPr="00976D33">
        <w:fldChar w:fldCharType="end"/>
      </w:r>
      <w:r>
        <w:t>). Më e theksuar se në sektorin rezidencial, pjesëmarrja e ngrohjes qendrore rritet, nga 4% në 15%, ndërsa pjesëmarrja e mbetur e lëndëve djegëse mbetet ende relativisht e qëndrueshme.</w:t>
      </w:r>
    </w:p>
    <w:p w14:paraId="1F22A04B" w14:textId="4D808C89" w:rsidR="00AD0B60" w:rsidRPr="00976D33" w:rsidRDefault="00AD0B60" w:rsidP="00A7174D">
      <w:pPr>
        <w:pStyle w:val="Caption"/>
        <w:spacing w:after="0"/>
      </w:pPr>
      <w:bookmarkStart w:id="364" w:name="_Ref139003884"/>
      <w:bookmarkStart w:id="365" w:name="_Toc181867231"/>
      <w:r>
        <w:t xml:space="preserve">Figura </w:t>
      </w:r>
      <w:r w:rsidRPr="00976D33">
        <w:fldChar w:fldCharType="begin"/>
      </w:r>
      <w:r w:rsidRPr="00976D33">
        <w:instrText>SEQ Figure \* ARABIC</w:instrText>
      </w:r>
      <w:r w:rsidRPr="00976D33">
        <w:fldChar w:fldCharType="separate"/>
      </w:r>
      <w:r w:rsidR="003B7FFA">
        <w:rPr>
          <w:noProof/>
        </w:rPr>
        <w:t>28</w:t>
      </w:r>
      <w:r w:rsidRPr="00976D33">
        <w:fldChar w:fldCharType="end"/>
      </w:r>
      <w:bookmarkEnd w:id="364"/>
      <w:r>
        <w:t>. Pjesëmarrja e lëndëve djegëse në sektorin rezidencial</w:t>
      </w:r>
      <w:bookmarkEnd w:id="365"/>
    </w:p>
    <w:p w14:paraId="0E6C3092" w14:textId="38A5A352" w:rsidR="00AD0B60" w:rsidRPr="00976D33" w:rsidRDefault="00AD0B60" w:rsidP="00AD0B60">
      <w:pPr>
        <w:pStyle w:val="Fliesstext"/>
        <w:spacing w:before="0"/>
        <w:rPr>
          <w:rFonts w:ascii="Calibri" w:hAnsi="Calibri" w:cstheme="minorBidi"/>
          <w:color w:val="0F0D29" w:themeColor="text1"/>
          <w:lang w:eastAsia="ja-JP"/>
        </w:rPr>
      </w:pPr>
    </w:p>
    <w:p w14:paraId="679003EA" w14:textId="77777777" w:rsidR="00AD0B60" w:rsidRPr="00976D33" w:rsidRDefault="00AD0B60" w:rsidP="00AD0B60">
      <w:pPr>
        <w:pStyle w:val="Fliesstext"/>
        <w:spacing w:before="0"/>
        <w:rPr>
          <w:rFonts w:ascii="Calibri" w:hAnsi="Calibri" w:cstheme="minorBidi"/>
          <w:color w:val="0F0D29" w:themeColor="text1"/>
        </w:rPr>
      </w:pPr>
      <w:r>
        <w:rPr>
          <w:noProof/>
          <w:lang w:val="en-US"/>
        </w:rPr>
        <w:drawing>
          <wp:inline distT="0" distB="0" distL="0" distR="0" wp14:anchorId="013887FE" wp14:editId="75D9181F">
            <wp:extent cx="6079490" cy="2562225"/>
            <wp:effectExtent l="0" t="0" r="0" b="0"/>
            <wp:docPr id="6608078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79490" cy="2562225"/>
                    </a:xfrm>
                    <a:prstGeom prst="rect">
                      <a:avLst/>
                    </a:prstGeom>
                    <a:noFill/>
                    <a:ln>
                      <a:noFill/>
                    </a:ln>
                  </pic:spPr>
                </pic:pic>
              </a:graphicData>
            </a:graphic>
          </wp:inline>
        </w:drawing>
      </w:r>
    </w:p>
    <w:p w14:paraId="1AF30EAA" w14:textId="77777777" w:rsidR="00AD0B60" w:rsidRPr="00976D33" w:rsidRDefault="00AD0B60" w:rsidP="00AD0B60">
      <w:pPr>
        <w:rPr>
          <w:i/>
          <w:sz w:val="16"/>
          <w:szCs w:val="16"/>
        </w:rPr>
      </w:pPr>
      <w:r>
        <w:rPr>
          <w:i/>
          <w:sz w:val="16"/>
        </w:rPr>
        <w:t>Burimi: llogaritjet vetanake</w:t>
      </w:r>
    </w:p>
    <w:p w14:paraId="79863D63" w14:textId="77777777" w:rsidR="00AD0B60" w:rsidRPr="00976D33" w:rsidRDefault="00AD0B60" w:rsidP="00A7174D">
      <w:pPr>
        <w:pStyle w:val="Heading3"/>
        <w:numPr>
          <w:ilvl w:val="0"/>
          <w:numId w:val="0"/>
        </w:numPr>
        <w:spacing w:before="0"/>
        <w:ind w:left="720" w:hanging="720"/>
        <w:rPr>
          <w:b/>
          <w:bCs/>
          <w:i/>
          <w:iCs/>
          <w:szCs w:val="22"/>
        </w:rPr>
      </w:pPr>
      <w:bookmarkStart w:id="366" w:name="_Toc182302316"/>
      <w:r>
        <w:rPr>
          <w:b/>
          <w:i/>
        </w:rPr>
        <w:t>Industria</w:t>
      </w:r>
      <w:bookmarkEnd w:id="366"/>
    </w:p>
    <w:p w14:paraId="20ECCC41" w14:textId="59B7CF11" w:rsidR="00AA7CDF" w:rsidRPr="00976D33" w:rsidRDefault="00AD0B60" w:rsidP="00AD0B60">
      <w:r>
        <w:t>Sektori industrial është një sektor i rëndësishëm ekonomik, konsumues dhe emetues i energjisë në Kosovë. Në vitin 2021, vlera e shtuar bruto industriale (VSHB) përbënte pothuajse 29% të VSHB-së totale (</w:t>
      </w:r>
      <w:r w:rsidRPr="00976D33">
        <w:fldChar w:fldCharType="begin"/>
      </w:r>
      <w:r w:rsidRPr="00976D33">
        <w:instrText xml:space="preserve"> REF _Ref139003922 \h </w:instrText>
      </w:r>
      <w:r w:rsidR="004A7007" w:rsidRPr="00976D33">
        <w:instrText xml:space="preserve"> \* MERGEFORMAT </w:instrText>
      </w:r>
      <w:r w:rsidRPr="00976D33">
        <w:fldChar w:fldCharType="separate"/>
      </w:r>
      <w:r w:rsidR="003B7FFA">
        <w:t>Figura 29</w:t>
      </w:r>
      <w:r w:rsidRPr="00976D33">
        <w:fldChar w:fldCharType="end"/>
      </w:r>
      <w:r>
        <w:t>) dhe parashikohet të rritet për 31% në terma realë në periudhën 2021-2030 (</w:t>
      </w:r>
      <w:r w:rsidRPr="00976D33">
        <w:fldChar w:fldCharType="begin"/>
      </w:r>
      <w:r w:rsidRPr="00976D33">
        <w:instrText xml:space="preserve"> REF _Ref139003946 \h </w:instrText>
      </w:r>
      <w:r w:rsidR="004A7007" w:rsidRPr="00976D33">
        <w:instrText xml:space="preserve"> \* MERGEFORMAT </w:instrText>
      </w:r>
      <w:r w:rsidRPr="00976D33">
        <w:fldChar w:fldCharType="separate"/>
      </w:r>
      <w:r w:rsidR="003B7FFA">
        <w:t>Figura 30</w:t>
      </w:r>
      <w:r w:rsidRPr="00976D33">
        <w:fldChar w:fldCharType="end"/>
      </w:r>
      <w:r>
        <w:t>). Nënsektorët industrialë parashikohet të rriten në mënyrë heterogjene sipas trendëve të vërejtura në periudhën e fundit dhjetëvjeçare (2012-2021).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4782"/>
      </w:tblGrid>
      <w:tr w:rsidR="00AD0B60" w:rsidRPr="00976D33" w14:paraId="7C7CB7E6" w14:textId="77777777">
        <w:tc>
          <w:tcPr>
            <w:tcW w:w="4782" w:type="dxa"/>
          </w:tcPr>
          <w:p w14:paraId="1C325F84" w14:textId="4E8D46C4" w:rsidR="00AD0B60" w:rsidRPr="00976D33" w:rsidRDefault="00AD0B60" w:rsidP="00FE486A">
            <w:pPr>
              <w:pStyle w:val="Caption"/>
              <w:rPr>
                <w:szCs w:val="18"/>
              </w:rPr>
            </w:pPr>
            <w:bookmarkStart w:id="367" w:name="_Ref139003922"/>
            <w:bookmarkStart w:id="368" w:name="_Toc181867232"/>
            <w:r>
              <w:t xml:space="preserve">Figura </w:t>
            </w:r>
            <w:r w:rsidRPr="00976D33">
              <w:fldChar w:fldCharType="begin"/>
            </w:r>
            <w:r w:rsidRPr="00976D33">
              <w:instrText>SEQ Figure \* ARABIC</w:instrText>
            </w:r>
            <w:r w:rsidRPr="00976D33">
              <w:fldChar w:fldCharType="separate"/>
            </w:r>
            <w:r w:rsidR="003B7FFA">
              <w:rPr>
                <w:noProof/>
              </w:rPr>
              <w:t>29</w:t>
            </w:r>
            <w:r w:rsidRPr="00976D33">
              <w:fldChar w:fldCharType="end"/>
            </w:r>
            <w:bookmarkEnd w:id="367"/>
            <w:r>
              <w:t>. % e VSHB-së për sektor (2021)</w:t>
            </w:r>
            <w:bookmarkEnd w:id="368"/>
          </w:p>
        </w:tc>
        <w:tc>
          <w:tcPr>
            <w:tcW w:w="4782" w:type="dxa"/>
          </w:tcPr>
          <w:p w14:paraId="5386FBF5" w14:textId="1DD33FC3" w:rsidR="00AD0B60" w:rsidRPr="00976D33" w:rsidRDefault="00AD0B60">
            <w:pPr>
              <w:pStyle w:val="Caption"/>
              <w:rPr>
                <w:szCs w:val="18"/>
              </w:rPr>
            </w:pPr>
            <w:bookmarkStart w:id="369" w:name="_Ref139003946"/>
            <w:bookmarkStart w:id="370" w:name="_Toc181867233"/>
            <w:r>
              <w:t xml:space="preserve">Figura </w:t>
            </w:r>
            <w:r w:rsidRPr="00976D33">
              <w:fldChar w:fldCharType="begin"/>
            </w:r>
            <w:r w:rsidRPr="00976D33">
              <w:instrText>SEQ Figure \* ARABIC</w:instrText>
            </w:r>
            <w:r w:rsidRPr="00976D33">
              <w:fldChar w:fldCharType="separate"/>
            </w:r>
            <w:r w:rsidR="003B7FFA">
              <w:rPr>
                <w:noProof/>
              </w:rPr>
              <w:t>30</w:t>
            </w:r>
            <w:r w:rsidRPr="00976D33">
              <w:fldChar w:fldCharType="end"/>
            </w:r>
            <w:bookmarkEnd w:id="369"/>
            <w:r>
              <w:t>. VSHB industriale e parashikuar (2021-2040)</w:t>
            </w:r>
            <w:bookmarkEnd w:id="370"/>
          </w:p>
        </w:tc>
      </w:tr>
    </w:tbl>
    <w:p w14:paraId="5E69CD0E" w14:textId="77777777" w:rsidR="00AD0B60" w:rsidRPr="00976D33" w:rsidRDefault="00AD0B60" w:rsidP="00FE486A">
      <w:pPr>
        <w:pStyle w:val="Tabellenberschrift"/>
        <w:spacing w:before="0" w:after="0"/>
        <w:rPr>
          <w:rFonts w:cstheme="minorBidi"/>
          <w:sz w:val="18"/>
          <w:szCs w:val="18"/>
        </w:rPr>
      </w:pPr>
      <w:r>
        <w:rPr>
          <w:noProof/>
          <w:lang w:val="en-US" w:eastAsia="en-US"/>
        </w:rPr>
        <w:drawing>
          <wp:inline distT="0" distB="0" distL="0" distR="0" wp14:anchorId="6A8F60BB" wp14:editId="197EE3F7">
            <wp:extent cx="6079490" cy="2680970"/>
            <wp:effectExtent l="0" t="0" r="0" b="0"/>
            <wp:docPr id="1354651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79490" cy="2680970"/>
                    </a:xfrm>
                    <a:prstGeom prst="rect">
                      <a:avLst/>
                    </a:prstGeom>
                    <a:noFill/>
                    <a:ln>
                      <a:noFill/>
                    </a:ln>
                  </pic:spPr>
                </pic:pic>
              </a:graphicData>
            </a:graphic>
          </wp:inline>
        </w:drawing>
      </w:r>
    </w:p>
    <w:p w14:paraId="1BEC8554" w14:textId="56B5CF5C" w:rsidR="00AD0B60" w:rsidRPr="00976D33" w:rsidRDefault="00AD0B60" w:rsidP="00AD0B60">
      <w:pPr>
        <w:rPr>
          <w:i/>
          <w:sz w:val="16"/>
          <w:szCs w:val="16"/>
        </w:rPr>
      </w:pPr>
      <w:r>
        <w:rPr>
          <w:i/>
          <w:sz w:val="16"/>
        </w:rPr>
        <w:t xml:space="preserve">Burimi: Agjencia e Statistikave të Kosovës dhe llogaritjet vetanake </w:t>
      </w:r>
    </w:p>
    <w:p w14:paraId="7C347BE3" w14:textId="308E36A6" w:rsidR="00AD0B60" w:rsidRPr="00976D33" w:rsidRDefault="00AD0B60" w:rsidP="00AD0B60">
      <w:r>
        <w:lastRenderedPageBreak/>
        <w:t>Në model, VSHB shoqërohet me kërkesën sektoriale për energji dhe emetime të GS-ve. Prandaj, në model, rritja e niveleve të aktivitetit do të çojë në konsum më të lartë të energjisë dhe emetimeve të GS-ve gjatë viteve. Megjithatë, rritja e konsumit të energjisë do të zbutet pjesërisht nga rritja e efiçiencës së energjisë në sektor, e cila arrin në 0.7% në vit. Supozimi i rritjes së efiçiencës së energjisë bazohet në trendët historike të vërejtura në Bashkimin Evropian të cilat më pas përshtatën në rënie për të reflektuar përmirësimet e efiçiencës të vërejtura në Kosovë në vitet e fundit.</w:t>
      </w:r>
      <w:r w:rsidRPr="00976D33">
        <w:rPr>
          <w:rStyle w:val="FootnoteReference"/>
          <w:lang w:eastAsia="ja-JP"/>
        </w:rPr>
        <w:footnoteReference w:id="30"/>
      </w:r>
      <w:r>
        <w:t xml:space="preserve"> </w:t>
      </w:r>
    </w:p>
    <w:p w14:paraId="0481B3F9" w14:textId="77777777" w:rsidR="00AD0B60" w:rsidRPr="00976D33" w:rsidRDefault="00AD0B60" w:rsidP="00AD0B60">
      <w:pPr>
        <w:pStyle w:val="Heading3"/>
        <w:numPr>
          <w:ilvl w:val="0"/>
          <w:numId w:val="0"/>
        </w:numPr>
        <w:ind w:left="720" w:hanging="720"/>
        <w:rPr>
          <w:b/>
          <w:bCs/>
          <w:i/>
          <w:iCs/>
          <w:szCs w:val="22"/>
        </w:rPr>
      </w:pPr>
      <w:bookmarkStart w:id="371" w:name="_Toc182302317"/>
      <w:r>
        <w:rPr>
          <w:b/>
          <w:i/>
        </w:rPr>
        <w:t>Proceset industriale dhe përdorimi i produkteve</w:t>
      </w:r>
      <w:bookmarkEnd w:id="371"/>
    </w:p>
    <w:p w14:paraId="7EE1F859" w14:textId="69A62EF0" w:rsidR="00AD0B60" w:rsidRPr="00976D33" w:rsidRDefault="00AD0B60" w:rsidP="00AD0B60">
      <w:r>
        <w:t xml:space="preserve">Proceset industriale janë një tjetër burim jo i papërfillshëm i emetimeve të GS-ve në Kosovë. Emetimet e GS-ve në këtë kategori nuk i atribuohen drejtpërdrejt konsumit të energjisë në sektorin industrial, por rezultojnë nga proceset e ndryshme kimike dhe fizike që ndodhin në aktivitetet industriale. </w:t>
      </w:r>
    </w:p>
    <w:p w14:paraId="3E016492" w14:textId="27639065" w:rsidR="00AD0B60" w:rsidRPr="00976D33" w:rsidRDefault="00AD0B60" w:rsidP="00AD0B60">
      <w:r>
        <w:t xml:space="preserve">Ashtu si në rastin e konsumit të energjisë, emetimet e GS-ve nga proceset industriale janë të lidhura drejtpërdrejt me VSHB-në e nënsektorit përkatës. Emetimet joenergjetike nga kalcinimi i çimentos dhe prodhimi i gëlqeres janë të lidhura me nivelet e aktivitetit ekonomik të industrisë jometalike dhe emetimet joenergjetike në prodhimin e ferronikelit shoqërohen me VSHB-në e industrisë së hekurit dhe çelikut. </w:t>
      </w:r>
    </w:p>
    <w:p w14:paraId="567C00CA" w14:textId="31A7390D" w:rsidR="00AD0B60" w:rsidRPr="00976D33" w:rsidRDefault="00AD0B60" w:rsidP="00AD0B60">
      <w:r>
        <w:t xml:space="preserve">Emetimet e GS-ve nga këta sektorë parashikohen të rriten për shkak të niveleve në rritje të aktivitetit. Burimi më i madh i emetimeve në kategorinë e proceseve industriale është prodhimi i çimentos, i cili përbën rreth 90% të emetimeve totale të proceseve industriale në vitin bazë. Emetimet jo energjike nga përdorimi i parafinave, lubrifikantëve, tretësve, aerosoleve, frigoriferëve dhe kondicionerëve i përkasin kategorisë së përdorimit të produkteve. Në model, nivelet e emetimit të lubrifikantëve, parafinave dhe tretësve janë të lidhura me VSHB-në e sektorit prodhues. Për më tepër, emetimet nga aerosolët, frigoriferët dhe kondicionerët parashikohen të rriten me rritjen e numrit të ekonomive familjare. Për të pasqyruar ndryshimet e Kigalit në protokollin e Montrealit, emetimet e hidrofluorokarbureve (HFCs) nga aerosolet dhe frigoriferët parashikohen të qëndrojnë konstante nga viti 2024 e tutje. </w:t>
      </w:r>
    </w:p>
    <w:p w14:paraId="6E3737B9" w14:textId="77777777" w:rsidR="00AD0B60" w:rsidRPr="00976D33" w:rsidRDefault="00AD0B60" w:rsidP="00AD0B60">
      <w:pPr>
        <w:pStyle w:val="Heading3"/>
        <w:numPr>
          <w:ilvl w:val="0"/>
          <w:numId w:val="0"/>
        </w:numPr>
        <w:ind w:left="720" w:hanging="720"/>
        <w:rPr>
          <w:b/>
          <w:i/>
        </w:rPr>
      </w:pPr>
      <w:bookmarkStart w:id="372" w:name="_Toc182302318"/>
      <w:r>
        <w:rPr>
          <w:b/>
          <w:i/>
        </w:rPr>
        <w:t>Transporti</w:t>
      </w:r>
      <w:bookmarkEnd w:id="372"/>
    </w:p>
    <w:p w14:paraId="2C1DB1E4" w14:textId="1BCEC31E" w:rsidR="00AD0B60" w:rsidRPr="00976D33" w:rsidRDefault="00AD0B60" w:rsidP="00AD0B60">
      <w:r>
        <w:t>Rritja e niveleve të aktivitetit në sektorin e transportit është shkaku kryesor i rritjes së emetimeve të GS-ve dhe konsumit të energjisë, si në segmentin e udhëtarëve ashtu edhe të mallrave. Në model, nivelet e aktivitetit të transportit të udhëtarëve dhe mallrave janë të lidhura me variablat demografikë përkatësisht rritjen e BPV-së. Për më tepër, një parametër i rëndësishëm që parashikohet të ndikojë në kërkesën për energji dhe emetime është norma e pronësisë së automjeteve të lehta (AL), e cila përfaqëson numrin e veturave për kokë banori. Ritmi i rritjes prej 4.8% në vit në periudhën 2021-2030 parashikohet të ketë ndikim të rëndësishëm në kërkesën për energji në degën e transportit të udhëtarëve. Pas vitit 2030, norma e pronësisë së veturave parashikohet të rritet çdo vit për 3%.</w:t>
      </w:r>
    </w:p>
    <w:p w14:paraId="0A3E3ECA" w14:textId="39D253D8" w:rsidR="00AA7CDF" w:rsidRDefault="00AD0B60" w:rsidP="00AD0B60">
      <w:r>
        <w:t>Mënyra kryesore e transportit në segmentin e transportit të udhëtarëve janë AL-të (</w:t>
      </w:r>
      <w:r w:rsidRPr="00976D33">
        <w:fldChar w:fldCharType="begin"/>
      </w:r>
      <w:r w:rsidRPr="00976D33">
        <w:instrText xml:space="preserve"> REF _Ref139004015 \h </w:instrText>
      </w:r>
      <w:r w:rsidR="004A7007" w:rsidRPr="00976D33">
        <w:instrText xml:space="preserve"> \* MERGEFORMAT </w:instrText>
      </w:r>
      <w:r w:rsidRPr="00976D33">
        <w:fldChar w:fldCharType="separate"/>
      </w:r>
      <w:r w:rsidR="003B7FFA">
        <w:t xml:space="preserve">Figura </w:t>
      </w:r>
      <w:r w:rsidR="003B7FFA">
        <w:rPr>
          <w:b/>
          <w:i/>
        </w:rPr>
        <w:t>31</w:t>
      </w:r>
      <w:r w:rsidRPr="00976D33">
        <w:fldChar w:fldCharType="end"/>
      </w:r>
      <w:r>
        <w:t>), ndërsa vetëm një pjesë e vogël mbulohet nga mënyra të tjera të transportit rrugor siç janë autobusët, furgonat dhe motoçikletat. Pavarësisht rritjes së niveleve të aktivitetit të transportit hekurudhor të udhëtarëve, kjo mënyrë transporti mbulon vetëm një pjesë të vogël të kërkesës për transport. Grafiku i mëposhtëm tregon zhvillimin sipas mënyrave të ndarjes në sektorin e transportit të udhëtarëve në periudhën 2021-2030.</w:t>
      </w:r>
    </w:p>
    <w:p w14:paraId="2C43A01C" w14:textId="77777777" w:rsidR="00AD0B60" w:rsidRDefault="00AD0B60" w:rsidP="00AD0B60">
      <w:pPr>
        <w:rPr>
          <w:i/>
          <w:color w:val="auto"/>
          <w:lang w:eastAsia="ja-JP"/>
        </w:rPr>
      </w:pPr>
    </w:p>
    <w:p w14:paraId="034155C6" w14:textId="77777777" w:rsidR="00A7174D" w:rsidRDefault="00A7174D" w:rsidP="00AD0B60">
      <w:pPr>
        <w:rPr>
          <w:i/>
          <w:color w:val="auto"/>
          <w:lang w:eastAsia="ja-JP"/>
        </w:rPr>
      </w:pPr>
    </w:p>
    <w:p w14:paraId="76D03CA9" w14:textId="77777777" w:rsidR="00A7174D" w:rsidRDefault="00A7174D" w:rsidP="00AD0B60">
      <w:pPr>
        <w:rPr>
          <w:i/>
          <w:color w:val="auto"/>
          <w:lang w:eastAsia="ja-JP"/>
        </w:rPr>
      </w:pPr>
    </w:p>
    <w:p w14:paraId="429E2700" w14:textId="77777777" w:rsidR="00A7174D" w:rsidRDefault="00A7174D" w:rsidP="00AD0B60">
      <w:pPr>
        <w:rPr>
          <w:i/>
          <w:color w:val="auto"/>
          <w:lang w:eastAsia="ja-JP"/>
        </w:rPr>
      </w:pPr>
    </w:p>
    <w:p w14:paraId="519124CB" w14:textId="77777777" w:rsidR="00A7174D" w:rsidRDefault="00A7174D" w:rsidP="00AD0B60">
      <w:pPr>
        <w:rPr>
          <w:i/>
          <w:color w:val="auto"/>
          <w:lang w:eastAsia="ja-JP"/>
        </w:rPr>
      </w:pPr>
    </w:p>
    <w:p w14:paraId="6D520B03" w14:textId="77777777" w:rsidR="00A7174D" w:rsidRDefault="00A7174D" w:rsidP="00AD0B60">
      <w:pPr>
        <w:rPr>
          <w:i/>
          <w:color w:val="auto"/>
          <w:lang w:eastAsia="ja-JP"/>
        </w:rPr>
      </w:pPr>
    </w:p>
    <w:p w14:paraId="4383649E" w14:textId="77777777" w:rsidR="00A7174D" w:rsidRPr="00976D33" w:rsidRDefault="00A7174D" w:rsidP="00AD0B60">
      <w:pPr>
        <w:rPr>
          <w:i/>
          <w:color w:val="auto"/>
          <w:lang w:eastAsia="ja-JP"/>
        </w:rPr>
      </w:pPr>
    </w:p>
    <w:p w14:paraId="1E918A3A" w14:textId="6FF83538" w:rsidR="00AA7CDF" w:rsidRPr="00976D33" w:rsidRDefault="00AD0B60" w:rsidP="006E6E51">
      <w:pPr>
        <w:pStyle w:val="Caption"/>
        <w:spacing w:after="0"/>
      </w:pPr>
      <w:bookmarkStart w:id="373" w:name="_Ref139004015"/>
      <w:bookmarkStart w:id="374" w:name="_Toc181867234"/>
      <w:r>
        <w:rPr>
          <w:b w:val="0"/>
          <w:i w:val="0"/>
        </w:rPr>
        <w:t xml:space="preserve">Figura </w:t>
      </w:r>
      <w:r w:rsidRPr="00976D33">
        <w:rPr>
          <w:b w:val="0"/>
          <w:i w:val="0"/>
        </w:rPr>
        <w:fldChar w:fldCharType="begin"/>
      </w:r>
      <w:r w:rsidRPr="00976D33">
        <w:rPr>
          <w:b w:val="0"/>
          <w:i w:val="0"/>
        </w:rPr>
        <w:instrText>SEQ Figure \* ARABIC</w:instrText>
      </w:r>
      <w:r w:rsidRPr="00976D33">
        <w:rPr>
          <w:b w:val="0"/>
          <w:i w:val="0"/>
        </w:rPr>
        <w:fldChar w:fldCharType="separate"/>
      </w:r>
      <w:r w:rsidR="003B7FFA">
        <w:rPr>
          <w:b w:val="0"/>
          <w:i w:val="0"/>
          <w:noProof/>
        </w:rPr>
        <w:t>31</w:t>
      </w:r>
      <w:r w:rsidRPr="00976D33">
        <w:rPr>
          <w:b w:val="0"/>
          <w:i w:val="0"/>
        </w:rPr>
        <w:fldChar w:fldCharType="end"/>
      </w:r>
      <w:bookmarkEnd w:id="373"/>
      <w:r>
        <w:rPr>
          <w:b w:val="0"/>
          <w:i w:val="0"/>
        </w:rPr>
        <w:t>. Km. e udhëtimit për udhëtarë sipas mënyrës së transportit (mlrd. pkm)</w:t>
      </w:r>
      <w:bookmarkEnd w:id="374"/>
      <w:r>
        <w:t xml:space="preserve"> </w:t>
      </w:r>
    </w:p>
    <w:p w14:paraId="5B7C3157" w14:textId="36AB6415" w:rsidR="004F23E3" w:rsidRPr="00976D33" w:rsidRDefault="004F23E3" w:rsidP="00AD0B60">
      <w:pPr>
        <w:spacing w:before="0"/>
      </w:pPr>
      <w:r>
        <w:rPr>
          <w:noProof/>
          <w:lang w:val="en-US"/>
        </w:rPr>
        <w:drawing>
          <wp:inline distT="0" distB="0" distL="0" distR="0" wp14:anchorId="5947E500" wp14:editId="5346A904">
            <wp:extent cx="6079490" cy="2673350"/>
            <wp:effectExtent l="0" t="0" r="0" b="0"/>
            <wp:docPr id="1649828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79490" cy="2673350"/>
                    </a:xfrm>
                    <a:prstGeom prst="rect">
                      <a:avLst/>
                    </a:prstGeom>
                    <a:noFill/>
                    <a:ln>
                      <a:noFill/>
                    </a:ln>
                  </pic:spPr>
                </pic:pic>
              </a:graphicData>
            </a:graphic>
          </wp:inline>
        </w:drawing>
      </w:r>
    </w:p>
    <w:p w14:paraId="1C9CC752" w14:textId="77777777" w:rsidR="00AD0B60" w:rsidRPr="00976D33" w:rsidRDefault="00AD0B60" w:rsidP="00AD0B60">
      <w:pPr>
        <w:rPr>
          <w:i/>
          <w:sz w:val="16"/>
          <w:szCs w:val="16"/>
        </w:rPr>
      </w:pPr>
      <w:r>
        <w:rPr>
          <w:i/>
          <w:sz w:val="16"/>
        </w:rPr>
        <w:t>Burimi: llogaritjet vetanake</w:t>
      </w:r>
    </w:p>
    <w:p w14:paraId="459747E4" w14:textId="777400E6" w:rsidR="00AD0B60" w:rsidRPr="00976D33" w:rsidRDefault="00AD0B60" w:rsidP="00AD0B60">
      <w:r>
        <w:t>Pjesa më e madhe e kërkesës për transportin e mallrave plotësohet nga transporti rrugor (</w:t>
      </w:r>
      <w:r w:rsidRPr="00976D33">
        <w:fldChar w:fldCharType="begin"/>
      </w:r>
      <w:r w:rsidRPr="00976D33">
        <w:instrText xml:space="preserve"> REF _Ref139004038 \h </w:instrText>
      </w:r>
      <w:r w:rsidR="004A7007" w:rsidRPr="00976D33">
        <w:instrText xml:space="preserve"> \* MERGEFORMAT </w:instrText>
      </w:r>
      <w:r w:rsidRPr="00976D33">
        <w:fldChar w:fldCharType="separate"/>
      </w:r>
      <w:r w:rsidR="003B7FFA">
        <w:t>Figura 32</w:t>
      </w:r>
      <w:r w:rsidRPr="00976D33">
        <w:fldChar w:fldCharType="end"/>
      </w:r>
      <w:r>
        <w:t xml:space="preserve">), dhe – ngjashëm si për sektorin e transportit të udhëtarëve – vetëm një pjesë margjinale mbulohet nga transporti hekurudhor. Në transportin rrugor, kamionët e rëndë janë mënyra kryesore e transportit. </w:t>
      </w:r>
    </w:p>
    <w:p w14:paraId="57ADCB05" w14:textId="4D26E60D" w:rsidR="00AD0B60" w:rsidRPr="00976D33" w:rsidRDefault="00AD0B60" w:rsidP="00AD0B60">
      <w:pPr>
        <w:pStyle w:val="Caption"/>
        <w:rPr>
          <w:color w:val="auto"/>
          <w:szCs w:val="20"/>
        </w:rPr>
      </w:pPr>
      <w:bookmarkStart w:id="375" w:name="_Ref139004038"/>
      <w:bookmarkStart w:id="376" w:name="_Toc181867235"/>
      <w:r>
        <w:t xml:space="preserve">Figura </w:t>
      </w:r>
      <w:r w:rsidRPr="00976D33">
        <w:fldChar w:fldCharType="begin"/>
      </w:r>
      <w:r w:rsidRPr="00976D33">
        <w:instrText>SEQ Figure \* ARABIC</w:instrText>
      </w:r>
      <w:r w:rsidRPr="00976D33">
        <w:fldChar w:fldCharType="separate"/>
      </w:r>
      <w:r w:rsidR="003B7FFA">
        <w:rPr>
          <w:noProof/>
        </w:rPr>
        <w:t>32</w:t>
      </w:r>
      <w:r w:rsidRPr="00976D33">
        <w:fldChar w:fldCharType="end"/>
      </w:r>
      <w:bookmarkEnd w:id="375"/>
      <w:r>
        <w:t>. Transporti i mallrave në tonë-kilometra sipas mënyrës (2021)</w:t>
      </w:r>
      <w:bookmarkEnd w:id="376"/>
    </w:p>
    <w:p w14:paraId="41526CD0" w14:textId="77777777" w:rsidR="00AD0B60" w:rsidRPr="00976D33" w:rsidRDefault="00AD0B60" w:rsidP="00AD0B60">
      <w:pPr>
        <w:pStyle w:val="Tabellenberschrift"/>
      </w:pPr>
      <w:r>
        <w:rPr>
          <w:noProof/>
          <w:lang w:val="en-US" w:eastAsia="en-US"/>
        </w:rPr>
        <w:drawing>
          <wp:inline distT="0" distB="0" distL="0" distR="0" wp14:anchorId="44100311" wp14:editId="355276F2">
            <wp:extent cx="3844636" cy="2128324"/>
            <wp:effectExtent l="0" t="0" r="3810" b="0"/>
            <wp:docPr id="1807545489" name="Grafik 180754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854783" cy="2133941"/>
                    </a:xfrm>
                    <a:prstGeom prst="rect">
                      <a:avLst/>
                    </a:prstGeom>
                    <a:noFill/>
                    <a:ln>
                      <a:noFill/>
                    </a:ln>
                  </pic:spPr>
                </pic:pic>
              </a:graphicData>
            </a:graphic>
          </wp:inline>
        </w:drawing>
      </w:r>
    </w:p>
    <w:p w14:paraId="122533EB" w14:textId="77777777" w:rsidR="00AD0B60" w:rsidRPr="00976D33" w:rsidRDefault="00AD0B60" w:rsidP="00AD0B60">
      <w:pPr>
        <w:rPr>
          <w:i/>
          <w:sz w:val="16"/>
          <w:szCs w:val="16"/>
        </w:rPr>
      </w:pPr>
      <w:r>
        <w:rPr>
          <w:i/>
          <w:sz w:val="16"/>
        </w:rPr>
        <w:t>Burimi: llogaritjet vetanake</w:t>
      </w:r>
    </w:p>
    <w:p w14:paraId="5BB47D6D" w14:textId="59317F14" w:rsidR="00AD0B60" w:rsidRPr="00976D33" w:rsidRDefault="00AD0B60" w:rsidP="00AD0B60">
      <w:r>
        <w:t xml:space="preserve">Strategjia e Transportit Multimodal (2023-2030) e miratuar së fundi synon të zhvillojë një sistem të qëndrueshëm dhe të integruar të transportit në Kosovë. Nëpërmjet miratimit të Direktivës 2014/94/BE së infrastrukturës së karburanteve alternative dhe përcaktimit të kornizave kombëtare të politikave për zgjerimin e infrastrukturës së rrjetit, parashikohet që në vitin 2030 pjesëmarrja e automjeteve me lëndë djegëse alternative (hibride, elektrike) të arrijë në 10%, siç është paraqitur </w:t>
      </w:r>
      <w:r>
        <w:rPr>
          <w:color w:val="auto"/>
        </w:rPr>
        <w:t xml:space="preserve">në </w:t>
      </w:r>
      <w:r w:rsidR="00AA7CDF" w:rsidRPr="00976D33">
        <w:fldChar w:fldCharType="begin"/>
      </w:r>
      <w:r w:rsidR="00AA7CDF" w:rsidRPr="00976D33">
        <w:instrText xml:space="preserve"> REF _Ref164908637 \h </w:instrText>
      </w:r>
      <w:r w:rsidR="004A7007" w:rsidRPr="00976D33">
        <w:instrText xml:space="preserve"> \* MERGEFORMAT </w:instrText>
      </w:r>
      <w:r w:rsidR="00AA7CDF" w:rsidRPr="00976D33">
        <w:fldChar w:fldCharType="separate"/>
      </w:r>
      <w:r w:rsidR="003B7FFA" w:rsidRPr="003B7FFA">
        <w:rPr>
          <w:sz w:val="18"/>
        </w:rPr>
        <w:t>PM</w:t>
      </w:r>
      <w:r w:rsidR="00AA7CDF" w:rsidRPr="00976D33">
        <w:fldChar w:fldCharType="end"/>
      </w:r>
      <w:r>
        <w:t xml:space="preserve">. </w:t>
      </w:r>
      <w:r>
        <w:rPr>
          <w:color w:val="auto"/>
        </w:rPr>
        <w:t xml:space="preserve">Për më tepër, sipas strategjisë së miratuar, qëndrueshmëria në sektor duket se do të arrihet me standarde më </w:t>
      </w:r>
      <w:r>
        <w:t xml:space="preserve">të rrepta të emetimeve në kategoritë e autobusëve, furgonëve, automjeteve të lehta komerciale dhe kamionëve të rëndë. </w:t>
      </w:r>
    </w:p>
    <w:p w14:paraId="363C961D" w14:textId="3423B25C" w:rsidR="00AD0B60" w:rsidRDefault="00AD0B60" w:rsidP="00AD0B60">
      <w:r>
        <w:t>Për më tepër, kalimi në mënyra më efiçiente të transportit pritet të ketë një ndikim të madh në konsumin e energjisë dhe nivelet e emetimeve të GS-ve. Për shembull, Trainkos, kompania kombëtare hekurudhore, përveç rritjes së elektrifikimit në rrjetin hekurudhor deri në 2030 (</w:t>
      </w:r>
      <w:r w:rsidR="00AA7CDF" w:rsidRPr="00976D33">
        <w:fldChar w:fldCharType="begin"/>
      </w:r>
      <w:r w:rsidR="00AA7CDF" w:rsidRPr="00976D33">
        <w:instrText xml:space="preserve"> REF _Ref138216231 \h </w:instrText>
      </w:r>
      <w:r w:rsidR="00DF438D" w:rsidRPr="00976D33">
        <w:instrText xml:space="preserve"> \* MERGEFORMAT </w:instrText>
      </w:r>
      <w:r w:rsidR="00AA7CDF" w:rsidRPr="00976D33">
        <w:fldChar w:fldCharType="separate"/>
      </w:r>
      <w:r w:rsidR="003B7FFA" w:rsidRPr="003B7FFA">
        <w:rPr>
          <w:sz w:val="18"/>
        </w:rPr>
        <w:t>PM</w:t>
      </w:r>
      <w:r w:rsidR="00AA7CDF" w:rsidRPr="00976D33">
        <w:fldChar w:fldCharType="end"/>
      </w:r>
      <w:r>
        <w:t xml:space="preserve">), </w:t>
      </w:r>
      <w:r>
        <w:rPr>
          <w:color w:val="auto"/>
        </w:rPr>
        <w:t xml:space="preserve">planifikon të </w:t>
      </w:r>
      <w:r>
        <w:t>të zgjerojë trafikun e udhëtarëve, duke parashikuar një rritje në 500,000 udhëtarëve që udhëtojnë me tren në vit në vitin 2030.</w:t>
      </w:r>
    </w:p>
    <w:p w14:paraId="4D57B65E" w14:textId="77777777" w:rsidR="00AD0B60" w:rsidRPr="00976D33" w:rsidRDefault="00AD0B60" w:rsidP="00AD0B60">
      <w:pPr>
        <w:pStyle w:val="Heading3"/>
        <w:numPr>
          <w:ilvl w:val="0"/>
          <w:numId w:val="0"/>
        </w:numPr>
        <w:ind w:left="720" w:hanging="720"/>
        <w:rPr>
          <w:b/>
          <w:bCs/>
          <w:i/>
          <w:iCs/>
          <w:szCs w:val="22"/>
        </w:rPr>
      </w:pPr>
      <w:bookmarkStart w:id="377" w:name="_Toc182302319"/>
      <w:r>
        <w:rPr>
          <w:b/>
          <w:i/>
        </w:rPr>
        <w:lastRenderedPageBreak/>
        <w:t>Transformimi i energjetik</w:t>
      </w:r>
      <w:bookmarkEnd w:id="377"/>
    </w:p>
    <w:p w14:paraId="38FC1A34" w14:textId="6BCB65E9" w:rsidR="00AD0B60" w:rsidRPr="00976D33" w:rsidRDefault="00AD0B60" w:rsidP="00AD0B60">
      <w:r>
        <w:t>Duke pasur parasysh rritjen ekonomike në rritje, ndryshimet strukturore në demografinë dhe shtytësit e politikave, kërkesa për energji elektrike dhe ngrohje qendrore në Kosovë pritet të rritet. Kërkesa përfundimtare për energji elektrike parashikohet të rritet për 17.9% në periudhën 2021-2030 dhe për 40.8% në periudhën 2021-2040. Kërkesa përfundimtare për ngrohje qendrore pritet të rritet ndjeshëm për 148.6% në periudhën 2021-2030 dhe për 312.5% në periudhën 2021-2040.</w:t>
      </w:r>
    </w:p>
    <w:p w14:paraId="3A85FF81" w14:textId="3E66D33C" w:rsidR="00AD0B60" w:rsidRPr="00976D33" w:rsidRDefault="00AD0B60" w:rsidP="00AD0B60">
      <w:r>
        <w:t xml:space="preserve">Strategjia e Energjisë e Republikës së Kosovës (2022-2031) parasheh një plan ambicioz zgjerimi për prodhimin e energjisë së ripërtëritshme dhe ngrohjes qendrore, si dhe rivitalizimin e shumicës së aseteve të vjetruara të prodhimit të energjisë nga linjiti në Kosovë për të përmbushur kërkesën në rritje të energjisë elektrike dhe ngrohjes vendore. </w:t>
      </w:r>
    </w:p>
    <w:p w14:paraId="41A7BDB2" w14:textId="3BF2A3F8" w:rsidR="00AD0B60" w:rsidRPr="00976D33" w:rsidRDefault="00AD0B60" w:rsidP="00AD0B60">
      <w:r>
        <w:t>Strategjia e Energjisë planifikon që të paktën një nga njësitë e Kosovës A të rinovohet deri në fund të vitit 2024 (aktualisht është planifikuar për në fund të vitit 2025). Për më tepër, vendimi në lidhje me rivitalizimin ose heqjen graduale nga përdorimi të një njësie të dytë do të merret pas rinovimit të njësisë së parë. Pas rinovimit të njësive të tjera, njësia e tretë do të mbyllet përgjithmonë. Njësitë e rinovuara janë planifikuar më pas të mbahen si rezervë strategjike nga viti 2031 e tutje.</w:t>
      </w:r>
    </w:p>
    <w:p w14:paraId="3E45A665" w14:textId="0815AEA4" w:rsidR="00AD0B60" w:rsidRDefault="00AD0B60" w:rsidP="00AD0B60">
      <w:r>
        <w:t>Krahas kapaciteteve ekzistuese aktuale, zgjerimi i kapaciteteve gjeneruese të BRE-ve dhe ruajtjes së energjisë përmes baterive ndjek planet e përcaktuara në Strategjinë e Energjisë së Kosovës deri në vitin 2031, si dhe në “Linjën e Investimeve në Energji në Kosovë 2023-2025” për rrugën afatshkurtër të zgjerimit. Zgjerimi i kapacitetit për panele solare PV dhe erë nga viti 2030 deri në vitin 2040 është ekstrapoluar nga shpejtësia e parashikuar e zgjerimit deri në vitin 2030. Në skenarin WEM (</w:t>
      </w:r>
      <w:r w:rsidRPr="00976D33">
        <w:fldChar w:fldCharType="begin"/>
      </w:r>
      <w:r w:rsidRPr="00976D33">
        <w:instrText xml:space="preserve"> REF _Ref139004088 \h </w:instrText>
      </w:r>
      <w:r w:rsidR="004A7007" w:rsidRPr="00976D33">
        <w:instrText xml:space="preserve"> \* MERGEFORMAT </w:instrText>
      </w:r>
      <w:r w:rsidRPr="00976D33">
        <w:fldChar w:fldCharType="separate"/>
      </w:r>
      <w:r w:rsidR="003B7FFA">
        <w:t>Figura 33</w:t>
      </w:r>
      <w:r w:rsidRPr="00976D33">
        <w:fldChar w:fldCharType="end"/>
      </w:r>
      <w:r>
        <w:t>) nuk supozohen shtesa të mëtejshme për kapacitete të tjera gjeneruese dhe magazinuese mes viteve 2031 dhe 2040.</w:t>
      </w:r>
    </w:p>
    <w:p w14:paraId="110D4DFB" w14:textId="12B19EC7" w:rsidR="00AD0B60" w:rsidRPr="00976D33" w:rsidRDefault="00AD0B60" w:rsidP="00AD0B60">
      <w:pPr>
        <w:pStyle w:val="Caption"/>
        <w:rPr>
          <w:color w:val="104C91"/>
        </w:rPr>
      </w:pPr>
      <w:bookmarkStart w:id="378" w:name="_Ref139004088"/>
      <w:bookmarkStart w:id="379" w:name="_Toc181867236"/>
      <w:r>
        <w:t xml:space="preserve">Figura </w:t>
      </w:r>
      <w:r w:rsidRPr="00976D33">
        <w:fldChar w:fldCharType="begin"/>
      </w:r>
      <w:r w:rsidRPr="00976D33">
        <w:instrText>SEQ Figure \* ARABIC</w:instrText>
      </w:r>
      <w:r w:rsidRPr="00976D33">
        <w:fldChar w:fldCharType="separate"/>
      </w:r>
      <w:r w:rsidR="003B7FFA">
        <w:rPr>
          <w:noProof/>
        </w:rPr>
        <w:t>33</w:t>
      </w:r>
      <w:r w:rsidRPr="00976D33">
        <w:fldChar w:fldCharType="end"/>
      </w:r>
      <w:bookmarkEnd w:id="378"/>
      <w:r>
        <w:t>.</w:t>
      </w:r>
      <w:r>
        <w:rPr>
          <w:color w:val="104C91"/>
        </w:rPr>
        <w:t xml:space="preserve"> Kapacitetet e instaluara të prodhimit të energjisë elektrike (projeksioni)</w:t>
      </w:r>
      <w:bookmarkEnd w:id="379"/>
    </w:p>
    <w:p w14:paraId="73785995" w14:textId="77777777" w:rsidR="00AD0B60" w:rsidRPr="00976D33" w:rsidRDefault="00AD0B60" w:rsidP="00AD0B60">
      <w:pPr>
        <w:spacing w:after="160" w:line="259" w:lineRule="auto"/>
        <w:rPr>
          <w:i/>
          <w:color w:val="C1D9CB" w:themeColor="accent5"/>
          <w:sz w:val="18"/>
          <w:szCs w:val="18"/>
        </w:rPr>
      </w:pPr>
      <w:r>
        <w:rPr>
          <w:noProof/>
          <w:lang w:val="en-US"/>
        </w:rPr>
        <w:drawing>
          <wp:inline distT="0" distB="0" distL="0" distR="0" wp14:anchorId="019B6C42" wp14:editId="7E17802D">
            <wp:extent cx="6079490" cy="1970405"/>
            <wp:effectExtent l="0" t="0" r="0" b="0"/>
            <wp:docPr id="13442028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079490" cy="1970405"/>
                    </a:xfrm>
                    <a:prstGeom prst="rect">
                      <a:avLst/>
                    </a:prstGeom>
                    <a:noFill/>
                    <a:ln>
                      <a:noFill/>
                    </a:ln>
                  </pic:spPr>
                </pic:pic>
              </a:graphicData>
            </a:graphic>
          </wp:inline>
        </w:drawing>
      </w:r>
    </w:p>
    <w:p w14:paraId="6B1192B3" w14:textId="77777777" w:rsidR="00AD0B60" w:rsidRPr="00976D33" w:rsidRDefault="00AD0B60" w:rsidP="00AD0B60">
      <w:pPr>
        <w:rPr>
          <w:i/>
          <w:sz w:val="16"/>
          <w:szCs w:val="16"/>
        </w:rPr>
      </w:pPr>
      <w:r>
        <w:rPr>
          <w:i/>
          <w:sz w:val="16"/>
        </w:rPr>
        <w:t>Burimi: Strategjia e Energjisë, Linja e Investimeve në Energji të Ripërtëritshme në Kosovë 2023-2025, ZRRE, KEK, NQ Gjakova, llogaritjet vetanake; Shënim: Për njësitë e linjitit, tregohen kapacitetet e disponueshme (përfshirë rezervat strategjike), bazuar në planin e siguruar  për rinovimin e njësisë. Rinovimet e njësive B1 dhe B2 supozohet të bëhen në mesin e vitit përkatës.</w:t>
      </w:r>
    </w:p>
    <w:p w14:paraId="1C35DAAF" w14:textId="5CCC9344" w:rsidR="00AA7CDF" w:rsidRPr="00976D33" w:rsidRDefault="00AD0B60" w:rsidP="00AD0B60">
      <w:r>
        <w:t>Reduktimet graduale të humbjeve në rrjetin e distribuimit nëpërmjet modernizimit të rrjetit ndjekin caqet e Strategjisë së Energjisë. Kapacitetet maksimale të transferimit neto (NTC) bazohen në informacionin e ofruar nga KOSTT, projeksionet nga Komuniteti i Energjisë (2021)</w:t>
      </w:r>
      <w:r w:rsidRPr="00976D33">
        <w:rPr>
          <w:rStyle w:val="FootnoteReference"/>
          <w:color w:val="333333"/>
          <w:lang w:eastAsia="de-DE"/>
        </w:rPr>
        <w:footnoteReference w:id="31"/>
      </w:r>
      <w:r>
        <w:t>, Plani Dhjetëvjeçar i Zhvillimit të Rrjetit të ENTSO-E (TYNDP 2022)</w:t>
      </w:r>
      <w:r w:rsidRPr="00976D33">
        <w:rPr>
          <w:rStyle w:val="FootnoteReference"/>
          <w:color w:val="333333"/>
          <w:lang w:eastAsia="de-DE"/>
        </w:rPr>
        <w:footnoteReference w:id="32"/>
      </w:r>
      <w:r>
        <w:t xml:space="preserve"> dhe studimi i nevojave të sistemit të ENTSO-E.</w:t>
      </w:r>
      <w:r w:rsidRPr="00976D33">
        <w:rPr>
          <w:rStyle w:val="FootnoteReference"/>
          <w:color w:val="333333"/>
          <w:lang w:eastAsia="de-DE"/>
        </w:rPr>
        <w:footnoteReference w:id="33"/>
      </w:r>
      <w:r>
        <w:t xml:space="preserve"> Kërkesa për energji elektrike dhe kapacitetet e instaluara për vendet e tjera janë marrë gjithashtu nga TYNDP 2022.</w:t>
      </w:r>
      <w:r w:rsidRPr="00976D33">
        <w:rPr>
          <w:rStyle w:val="FootnoteReference"/>
          <w:color w:val="333333"/>
          <w:lang w:eastAsia="de-DE"/>
        </w:rPr>
        <w:footnoteReference w:id="34"/>
      </w:r>
      <w:r>
        <w:t xml:space="preserve"> Zgjerimi i dy sistemeve të ngrohjes qendrore në Prishtinë dhe Gjakovë bazohet në informacionet e ofruara nga operatorët </w:t>
      </w:r>
      <w:r>
        <w:lastRenderedPageBreak/>
        <w:t xml:space="preserve">përkatës dhe të paraqitura në detaje në </w:t>
      </w:r>
      <w:r w:rsidR="00AA7CDF" w:rsidRPr="00976D33">
        <w:fldChar w:fldCharType="begin"/>
      </w:r>
      <w:r w:rsidR="00AA7CDF" w:rsidRPr="00976D33">
        <w:instrText xml:space="preserve"> REF _Ref164908685 \h </w:instrText>
      </w:r>
      <w:r w:rsidR="004A7007" w:rsidRPr="00976D33">
        <w:instrText xml:space="preserve"> \* MERGEFORMAT </w:instrText>
      </w:r>
      <w:r w:rsidR="00AA7CDF" w:rsidRPr="00976D33">
        <w:fldChar w:fldCharType="separate"/>
      </w:r>
      <w:r w:rsidR="003B7FFA" w:rsidRPr="003B7FFA">
        <w:rPr>
          <w:sz w:val="18"/>
        </w:rPr>
        <w:t>PM</w:t>
      </w:r>
      <w:r w:rsidR="00AA7CDF" w:rsidRPr="00976D33">
        <w:fldChar w:fldCharType="end"/>
      </w:r>
      <w:r>
        <w:t>. Nuk ka procese të tjera të rëndësishme të transformimit të energjisë në Kosovë, pasi Kosova nuk disponon asnjë rafineri nafte në funksionim ose lloje të tjera të mekanizmave të konvertimit të energjisë.</w:t>
      </w:r>
    </w:p>
    <w:p w14:paraId="59133694" w14:textId="3223363F" w:rsidR="00AD0B60" w:rsidRPr="00976D33" w:rsidRDefault="00AD0B60" w:rsidP="00AD0B60">
      <w:pPr>
        <w:pStyle w:val="Caption"/>
        <w:rPr>
          <w:color w:val="0F0D29" w:themeColor="text1"/>
          <w:sz w:val="20"/>
        </w:rPr>
      </w:pPr>
      <w:bookmarkStart w:id="380" w:name="_Ref138995479"/>
      <w:bookmarkStart w:id="381" w:name="_Toc181867237"/>
      <w:r>
        <w:t xml:space="preserve">Figura </w:t>
      </w:r>
      <w:r w:rsidRPr="00976D33">
        <w:fldChar w:fldCharType="begin"/>
      </w:r>
      <w:r w:rsidRPr="00976D33">
        <w:instrText>SEQ Figure \* ARABIC</w:instrText>
      </w:r>
      <w:r w:rsidRPr="00976D33">
        <w:fldChar w:fldCharType="separate"/>
      </w:r>
      <w:r w:rsidR="003B7FFA">
        <w:rPr>
          <w:noProof/>
        </w:rPr>
        <w:t>34</w:t>
      </w:r>
      <w:r w:rsidRPr="00976D33">
        <w:fldChar w:fldCharType="end"/>
      </w:r>
      <w:bookmarkEnd w:id="380"/>
      <w:r>
        <w:t>. Harta e modelit të integruar evropian të energjisë dhe ngrohjes</w:t>
      </w:r>
      <w:bookmarkEnd w:id="381"/>
    </w:p>
    <w:p w14:paraId="51219EC9" w14:textId="77777777" w:rsidR="00AD0B60" w:rsidRPr="00976D33" w:rsidRDefault="00AD0B60" w:rsidP="00FE486A">
      <w:pPr>
        <w:spacing w:before="0" w:after="0"/>
        <w:jc w:val="center"/>
      </w:pPr>
      <w:r>
        <w:rPr>
          <w:noProof/>
          <w:lang w:val="en-US"/>
        </w:rPr>
        <w:drawing>
          <wp:inline distT="0" distB="0" distL="0" distR="0" wp14:anchorId="62E57649" wp14:editId="117F2997">
            <wp:extent cx="3694430" cy="3028950"/>
            <wp:effectExtent l="0" t="0" r="1270" b="0"/>
            <wp:docPr id="936519023" name="Grafik 936519023"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Karte enthält.&#10;&#10;Automatisch generierte Beschreibu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21531" cy="3051169"/>
                    </a:xfrm>
                    <a:prstGeom prst="rect">
                      <a:avLst/>
                    </a:prstGeom>
                    <a:noFill/>
                    <a:ln>
                      <a:noFill/>
                    </a:ln>
                  </pic:spPr>
                </pic:pic>
              </a:graphicData>
            </a:graphic>
          </wp:inline>
        </w:drawing>
      </w:r>
    </w:p>
    <w:p w14:paraId="11D568C1" w14:textId="77777777" w:rsidR="00AD0B60" w:rsidRPr="00976D33" w:rsidRDefault="00AD0B60" w:rsidP="00FE486A">
      <w:pPr>
        <w:spacing w:before="0" w:after="0"/>
        <w:rPr>
          <w:i/>
          <w:sz w:val="16"/>
          <w:szCs w:val="16"/>
        </w:rPr>
      </w:pPr>
      <w:r>
        <w:rPr>
          <w:i/>
          <w:sz w:val="16"/>
        </w:rPr>
        <w:t>Burimi: ilustrim vetanak</w:t>
      </w:r>
    </w:p>
    <w:p w14:paraId="43205E86" w14:textId="6DD5814F" w:rsidR="00AD0B60" w:rsidRPr="00976D33" w:rsidRDefault="00AD0B60" w:rsidP="00A7174D">
      <w:pPr>
        <w:spacing w:after="0"/>
        <w:rPr>
          <w:color w:val="333333"/>
        </w:rPr>
      </w:pPr>
      <w:r>
        <w:t>Sektori i transformimit të energjisë në Kosovë është modeluar në një model të personalizuar të optimizimit të shpërndarjes tekniko-ekonomike të lidhur me sektorë, bazuar në strukturën e modelimit të sistemeve të energjisë së burimeve të hapura të quajtur Calliope.</w:t>
      </w:r>
      <w:r w:rsidRPr="00976D33">
        <w:rPr>
          <w:vertAlign w:val="superscript"/>
        </w:rPr>
        <w:footnoteReference w:id="35"/>
      </w:r>
      <w:r>
        <w:t xml:space="preserve"> Modeli përfaqëson ofertën dhe kërkesën për ngrohje qendrore dhe energji elektrike në të gjitha vendet e Evropës kontinentale</w:t>
      </w:r>
      <w:r w:rsidRPr="00976D33">
        <w:rPr>
          <w:vertAlign w:val="superscript"/>
        </w:rPr>
        <w:footnoteReference w:id="36"/>
      </w:r>
      <w:r>
        <w:rPr>
          <w:vertAlign w:val="superscript"/>
        </w:rPr>
        <w:t xml:space="preserve"> </w:t>
      </w:r>
      <w:r>
        <w:t xml:space="preserve">duke përfshirë Britaninë e Madhe dhe Irlandën. Harta në </w:t>
      </w:r>
      <w:r w:rsidRPr="00976D33">
        <w:fldChar w:fldCharType="begin"/>
      </w:r>
      <w:r w:rsidRPr="00976D33">
        <w:instrText xml:space="preserve"> REF _Ref138995479 \h </w:instrText>
      </w:r>
      <w:r w:rsidR="004A7007" w:rsidRPr="00976D33">
        <w:instrText xml:space="preserve"> \* MERGEFORMAT </w:instrText>
      </w:r>
      <w:r w:rsidRPr="00976D33">
        <w:fldChar w:fldCharType="separate"/>
      </w:r>
      <w:r w:rsidR="003B7FFA">
        <w:t>Figura 34</w:t>
      </w:r>
      <w:r w:rsidRPr="00976D33">
        <w:fldChar w:fldCharType="end"/>
      </w:r>
      <w:r>
        <w:t xml:space="preserve"> tregon hartën e vendeve të përfshira në modelin me Kosovën të theksuar me ngjyrë portokalli</w:t>
      </w:r>
      <w:r>
        <w:rPr>
          <w:color w:val="333333"/>
        </w:rPr>
        <w:t>.</w:t>
      </w:r>
    </w:p>
    <w:p w14:paraId="3BD0D654" w14:textId="0356F755" w:rsidR="00AD0B60" w:rsidRPr="00976D33" w:rsidRDefault="00AD0B60" w:rsidP="00A7174D">
      <w:pPr>
        <w:spacing w:before="0" w:after="0"/>
      </w:pPr>
      <w:r>
        <w:t>Modelimi i furnizimit dhe transformimit të energjisë të Kosovës si pjesë e sistemit të integruar energjetik evropian mundëson përfaqësimin e saktë të flukseve tregtare dhe ndërveprimet e politikave me vendet fqinje, si dhe me Bashkimin Evropian. Emetimet brenda Bashkimit Evropian vlerësohen me çmimet e parashikuara të plota të kuotave të BE-ETS. Për më tepër, prezantimi i Mekanizmit të Rregullimit të Kufirit të Karbonit (CBAM) në Bashkimin Evropian parashikohet të ndikojë në eksportet e energjisë elektrike nga rajoni i Ballkanit Perëndimor nga viti 2026, gjë që pasqyrohet në model si një shtesë në eksportet e energjisë elektrike në BE, e kalibruar me intensitetin mesatar të emetimit të secilit vend të prodhimit të energjisë elektrike me bazë fosile dhe me çmimet e parashikuara të kuotave të BE-ETS sipas Rregullores së CBAM.</w:t>
      </w:r>
      <w:r w:rsidRPr="00976D33">
        <w:rPr>
          <w:rStyle w:val="FootnoteReference"/>
          <w:lang w:eastAsia="ja-JP"/>
        </w:rPr>
        <w:footnoteReference w:id="37"/>
      </w:r>
      <w:r>
        <w:t xml:space="preserve"> Kjo e prek Kosovën në dy mënyra kryesore: Nga njëra anë, eksportet e energjisë elektrike nga Kosova në Bashkimin Evropian përballen me një tarifë shtesë dhe në këtë mënyrë bëhen më pak tërheqëse ekonomikisht. Nga ana tjetër, vendet e tjera në rajon përballen me të njëjtën pengesë të eksportit pa veprime shtesë të politikave dhe kështu nxiten të zhvendosin disa nga eksportet e tyre në vendet e tjera të rajonit, përfshirë Kosovën. Kështu që, Kosova mund të marrë importe relativisht të lira të energjisë elektrike nga vendet fqinje që kërkojnë tregje alternative të eksportit gjatë kohës së prodhimit të tepricave në rajon. Modeli optimizon bashkërisht shpërndarjen e energjisë elektrike dhe gjenerimin e nxehtësisë në të gjithë kontinentin, duke mundësuar një analizë të ndërveprimeve ndërmjet sistemeve të energjisë dhe nxehtësisë nëpërmjet kogjenerimit, si dhe pompave termike në shkallë të shërbimeve.</w:t>
      </w:r>
    </w:p>
    <w:p w14:paraId="55BB201E" w14:textId="77777777" w:rsidR="00AD0B60" w:rsidRPr="00976D33" w:rsidRDefault="00AD0B60" w:rsidP="00AD0B60">
      <w:pPr>
        <w:pStyle w:val="Heading3"/>
        <w:numPr>
          <w:ilvl w:val="0"/>
          <w:numId w:val="0"/>
        </w:numPr>
        <w:ind w:left="720" w:hanging="720"/>
        <w:rPr>
          <w:b/>
          <w:bCs/>
          <w:i/>
          <w:iCs/>
          <w:szCs w:val="22"/>
        </w:rPr>
      </w:pPr>
      <w:bookmarkStart w:id="382" w:name="_Toc182302320"/>
      <w:r>
        <w:rPr>
          <w:b/>
          <w:i/>
        </w:rPr>
        <w:lastRenderedPageBreak/>
        <w:t>Bujqësia</w:t>
      </w:r>
      <w:bookmarkEnd w:id="382"/>
    </w:p>
    <w:p w14:paraId="06CC034E" w14:textId="15AA793B" w:rsidR="00AD0B60" w:rsidRPr="00976D33" w:rsidRDefault="00AD0B60" w:rsidP="00AD0B60">
      <w:r>
        <w:t xml:space="preserve">Ngjashëm me sektorin industrial, konsumi i energjisë dhe nivelet e emetimeve të GS-ve në sektorët e bujqësisë dhe pylltarisë janë të lidhura me aktivitetin ekonomik. Bazuar në trendët e rritjes të vërejtura në 10 vitet e mëparshme (2012-2021), parashikohet që VSHB bujqësore të rritet për </w:t>
      </w:r>
      <w:r>
        <w:rPr>
          <w:color w:val="auto"/>
        </w:rPr>
        <w:t xml:space="preserve">26.5% </w:t>
      </w:r>
      <w:r>
        <w:t xml:space="preserve">në vitin 2030 me një rritje të kërkesës për energji dhe emetimeve në këtë sektor. Në model supozohet se progresi teknologjik dhe inovacioni në sektor do të çojnë në një rritje vjetore të efiçiencës së energjisë prej 0.7%, duke kundërbalancuar pjesërisht efektet e kërkesës në rritje për energji në sektor. </w:t>
      </w:r>
    </w:p>
    <w:p w14:paraId="5BA78A18" w14:textId="77777777" w:rsidR="00AD0B60" w:rsidRPr="00976D33" w:rsidRDefault="00AD0B60" w:rsidP="00AD0B60">
      <w:r>
        <w:t>Nga ana tjetër, emetimet joenergjetike në sektorin e bujqësisë nxitën kryesisht nga trendët që ndërlidhen me bagëtinë dhe strukturën e fermave, siç janë madhësia e fermës dhe braktisja. Parashikohet që një pjesë e tokës bujqësore do të humbasë për t’u përdorur si tokë ndërtimore, por këto zona mbulojnë vetëm një sipërfaqe të vogël, dhe kështu janë të papërfillshme për llogaritjen e emetimeve. Taksa e tokës që pritet të zbatohet për mos përdorimin e tokës bujqësore do t’i kundërvihet braktisjes dhe do të ndihmojë në lehtësimin e rritjes së madhësisë mesatare të fermës. Objektivi i deklaruar i kësaj politike askush të mos mbesë prapa. Pas këtyre zhvillimeve, mund të pritet një konsolidim i ekonomive bujqësore drejt madhësive mesatare më të mëdha të fermave dhe efiçiencës më të lartë bujqësor në vitet e ardhshme.</w:t>
      </w:r>
    </w:p>
    <w:p w14:paraId="4569B4DA" w14:textId="77777777" w:rsidR="00AD0B60" w:rsidRPr="00976D33" w:rsidRDefault="00AD0B60" w:rsidP="00AD0B60">
      <w:r>
        <w:t xml:space="preserve">Sipas ekspertëve të sektorit, pjesa më e madhe e kullotave do të vazhdojë të përdoret edhe në të ardhmen, megjithëse intensiteti i kullotjes (kafshët për njësi të sipërfaqes) do të ulet. Disa kullota më margjinale ndoshta do të braktisen për shkak të numrit më të ulët të pritshëm të deleve deri në vitin 2030. </w:t>
      </w:r>
    </w:p>
    <w:p w14:paraId="034BEBE3" w14:textId="77777777" w:rsidR="00AD0B60" w:rsidRPr="00976D33" w:rsidRDefault="00AD0B60" w:rsidP="00AD0B60">
      <w:r>
        <w:t>Megjithatë, braktisja e kullotave ndoshta do të ketë efekte margjinale në rezervat e karbonit, sepse shumica e këtyre tokave janë kullota natyrore që ndodhen në lartësi më të larta, toka të varfra dhe në zona të largëta. Prandaj, kullotat e braktisura nuk do të ofrojnë mundësi premtuese për pyllëzim ose sekuestrim të karbonit në rezervat tjera.</w:t>
      </w:r>
    </w:p>
    <w:p w14:paraId="12A50B08" w14:textId="76B258D6" w:rsidR="00AD0B60" w:rsidRDefault="00AD0B60" w:rsidP="00AD0B60">
      <w:r>
        <w:t>Ka plane për të rritur prodhimin blegtoral me investime shtesë të konsiderueshme të qeverisë (</w:t>
      </w:r>
      <w:r w:rsidRPr="00976D33">
        <w:fldChar w:fldCharType="begin"/>
      </w:r>
      <w:r w:rsidRPr="00976D33">
        <w:instrText xml:space="preserve"> REF _Ref164724966 \h </w:instrText>
      </w:r>
      <w:r w:rsidR="004A7007" w:rsidRPr="00976D33">
        <w:instrText xml:space="preserve"> \* MERGEFORMAT </w:instrText>
      </w:r>
      <w:r w:rsidRPr="00976D33">
        <w:fldChar w:fldCharType="separate"/>
      </w:r>
      <w:r w:rsidR="003B7FFA">
        <w:t>Tabela 10</w:t>
      </w:r>
      <w:r w:rsidRPr="00976D33">
        <w:fldChar w:fldCharType="end"/>
      </w:r>
      <w:r>
        <w:t xml:space="preserve">). Prodhuesit e vegjël të qumështit, domethënë ata me pesë lopë ose më pak, parashikohet të zhduken kryesisht deri në vitin 2030. Si rezultat i efikasitetit më të lartë, veçanërisht në prodhimin e qumështit, intensiteti i emetimeve (d.m.th. emetimet e GS-ve për njësi prodhimi) do të ulet. </w:t>
      </w:r>
    </w:p>
    <w:p w14:paraId="54823937" w14:textId="1DD08D8A" w:rsidR="00AD0B60" w:rsidRPr="00976D33" w:rsidRDefault="00AD0B60" w:rsidP="00A7174D">
      <w:pPr>
        <w:pStyle w:val="Caption"/>
        <w:spacing w:after="0"/>
      </w:pPr>
      <w:bookmarkStart w:id="383" w:name="_Ref164724966"/>
      <w:bookmarkStart w:id="384" w:name="_Toc181867303"/>
      <w:r>
        <w:t xml:space="preserve">Tabela </w:t>
      </w:r>
      <w:r w:rsidRPr="00976D33">
        <w:fldChar w:fldCharType="begin"/>
      </w:r>
      <w:r w:rsidRPr="00976D33">
        <w:instrText>SEQ Table \* ARABIC</w:instrText>
      </w:r>
      <w:r w:rsidRPr="00976D33">
        <w:fldChar w:fldCharType="separate"/>
      </w:r>
      <w:r w:rsidR="003B7FFA">
        <w:rPr>
          <w:noProof/>
        </w:rPr>
        <w:t>10</w:t>
      </w:r>
      <w:r w:rsidRPr="00976D33">
        <w:fldChar w:fldCharType="end"/>
      </w:r>
      <w:bookmarkEnd w:id="383"/>
      <w:r>
        <w:t>. Zhvillimi i blegtorisë në sektorin e bujqësisë</w:t>
      </w:r>
      <w:bookmarkEnd w:id="384"/>
    </w:p>
    <w:tbl>
      <w:tblPr>
        <w:tblStyle w:val="GridTable5DarkAccent100"/>
        <w:tblpPr w:leftFromText="141" w:rightFromText="141" w:vertAnchor="text" w:horzAnchor="margin" w:tblpY="83"/>
        <w:tblW w:w="5000" w:type="pct"/>
        <w:tblLook w:val="04A0" w:firstRow="1" w:lastRow="0" w:firstColumn="1" w:lastColumn="0" w:noHBand="0" w:noVBand="1"/>
      </w:tblPr>
      <w:tblGrid>
        <w:gridCol w:w="4313"/>
        <w:gridCol w:w="960"/>
        <w:gridCol w:w="1802"/>
        <w:gridCol w:w="2489"/>
      </w:tblGrid>
      <w:tr w:rsidR="00AD0B60" w:rsidRPr="00976D33" w14:paraId="14323F8F" w14:textId="77777777" w:rsidTr="00A7174D">
        <w:trPr>
          <w:cnfStyle w:val="100000000000" w:firstRow="1" w:lastRow="0" w:firstColumn="0" w:lastColumn="0" w:oddVBand="0" w:evenVBand="0" w:oddHBand="0" w:evenHBand="0" w:firstRowFirstColumn="0" w:firstRowLastColumn="0" w:lastRowFirstColumn="0" w:lastRowLastColumn="0"/>
          <w:trHeight w:hRule="exact" w:val="367"/>
        </w:trPr>
        <w:tc>
          <w:tcPr>
            <w:cnfStyle w:val="001000000000" w:firstRow="0" w:lastRow="0" w:firstColumn="1" w:lastColumn="0" w:oddVBand="0" w:evenVBand="0" w:oddHBand="0" w:evenHBand="0" w:firstRowFirstColumn="0" w:firstRowLastColumn="0" w:lastRowFirstColumn="0" w:lastRowLastColumn="0"/>
            <w:tcW w:w="2255" w:type="pct"/>
            <w:vAlign w:val="center"/>
          </w:tcPr>
          <w:p w14:paraId="22D9CE3F" w14:textId="77777777" w:rsidR="00AD0B60" w:rsidRPr="00976D33" w:rsidRDefault="00AD0B60">
            <w:pPr>
              <w:spacing w:before="120" w:line="276" w:lineRule="auto"/>
              <w:contextualSpacing/>
              <w:jc w:val="left"/>
              <w:rPr>
                <w:color w:val="FFFFFF" w:themeColor="background1"/>
                <w:sz w:val="18"/>
                <w:szCs w:val="18"/>
              </w:rPr>
            </w:pPr>
            <w:r>
              <w:rPr>
                <w:color w:val="FFFFFF" w:themeColor="background1"/>
                <w:sz w:val="18"/>
              </w:rPr>
              <w:t>Kategoritë e blegtorisë (1000 krerë)</w:t>
            </w:r>
          </w:p>
        </w:tc>
        <w:tc>
          <w:tcPr>
            <w:tcW w:w="1443" w:type="pct"/>
            <w:gridSpan w:val="2"/>
            <w:vAlign w:val="center"/>
          </w:tcPr>
          <w:p w14:paraId="18CA0382" w14:textId="77777777" w:rsidR="00AD0B60" w:rsidRPr="00976D33" w:rsidRDefault="00AD0B60">
            <w:pPr>
              <w:spacing w:before="120" w:line="276" w:lineRule="auto"/>
              <w:contextualSpacing/>
              <w:jc w:val="left"/>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color w:val="FFFFFF" w:themeColor="background1"/>
                <w:sz w:val="18"/>
              </w:rPr>
              <w:t xml:space="preserve">                           2021</w:t>
            </w:r>
          </w:p>
        </w:tc>
        <w:tc>
          <w:tcPr>
            <w:tcW w:w="1301" w:type="pct"/>
            <w:vAlign w:val="center"/>
          </w:tcPr>
          <w:p w14:paraId="18F543AF" w14:textId="77777777" w:rsidR="00AD0B60" w:rsidRPr="00976D33" w:rsidRDefault="00AD0B60">
            <w:pPr>
              <w:spacing w:before="120" w:line="276" w:lineRule="auto"/>
              <w:contextualSpacing/>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color w:val="FFFFFF" w:themeColor="background1"/>
                <w:sz w:val="18"/>
              </w:rPr>
              <w:t>2030</w:t>
            </w:r>
          </w:p>
        </w:tc>
      </w:tr>
      <w:tr w:rsidR="00AD0B60" w:rsidRPr="00976D33" w14:paraId="092C9E2D" w14:textId="7777777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757" w:type="pct"/>
            <w:gridSpan w:val="2"/>
            <w:vAlign w:val="center"/>
          </w:tcPr>
          <w:p w14:paraId="66BD0027" w14:textId="77777777" w:rsidR="00AD0B60" w:rsidRPr="00976D33" w:rsidRDefault="00AD0B60">
            <w:pPr>
              <w:spacing w:before="120" w:line="276" w:lineRule="auto"/>
              <w:contextualSpacing/>
              <w:jc w:val="left"/>
              <w:rPr>
                <w:b w:val="0"/>
                <w:color w:val="FFFFFF" w:themeColor="background1"/>
                <w:sz w:val="18"/>
                <w:szCs w:val="18"/>
              </w:rPr>
            </w:pPr>
            <w:r>
              <w:rPr>
                <w:color w:val="FFFFFF" w:themeColor="background1"/>
                <w:sz w:val="18"/>
              </w:rPr>
              <w:t>Gjedhet (1000 krerë)</w:t>
            </w:r>
          </w:p>
        </w:tc>
        <w:tc>
          <w:tcPr>
            <w:tcW w:w="942" w:type="pct"/>
            <w:vAlign w:val="center"/>
          </w:tcPr>
          <w:p w14:paraId="7BBBC2A3" w14:textId="77777777" w:rsidR="00AD0B60" w:rsidRPr="00976D33" w:rsidRDefault="00AD0B60">
            <w:pPr>
              <w:spacing w:before="120" w:line="276" w:lineRule="auto"/>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rPr>
              <w:t>261</w:t>
            </w:r>
          </w:p>
        </w:tc>
        <w:tc>
          <w:tcPr>
            <w:tcW w:w="1301" w:type="pct"/>
            <w:vAlign w:val="center"/>
          </w:tcPr>
          <w:p w14:paraId="6D26EBB0" w14:textId="77777777" w:rsidR="00AD0B60" w:rsidRPr="00976D33" w:rsidRDefault="00AD0B60">
            <w:pPr>
              <w:spacing w:before="120" w:line="276" w:lineRule="auto"/>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rPr>
              <w:t>235</w:t>
            </w:r>
          </w:p>
        </w:tc>
      </w:tr>
      <w:tr w:rsidR="00AD0B60" w:rsidRPr="00976D33" w14:paraId="141DFCF0" w14:textId="77777777">
        <w:trPr>
          <w:trHeight w:hRule="exact" w:val="284"/>
        </w:trPr>
        <w:tc>
          <w:tcPr>
            <w:cnfStyle w:val="001000000000" w:firstRow="0" w:lastRow="0" w:firstColumn="1" w:lastColumn="0" w:oddVBand="0" w:evenVBand="0" w:oddHBand="0" w:evenHBand="0" w:firstRowFirstColumn="0" w:firstRowLastColumn="0" w:lastRowFirstColumn="0" w:lastRowLastColumn="0"/>
            <w:tcW w:w="2757" w:type="pct"/>
            <w:gridSpan w:val="2"/>
            <w:vAlign w:val="center"/>
          </w:tcPr>
          <w:p w14:paraId="0FBCD2BB" w14:textId="77777777" w:rsidR="00AD0B60" w:rsidRPr="00976D33" w:rsidRDefault="00AD0B60">
            <w:pPr>
              <w:spacing w:before="120" w:line="276" w:lineRule="auto"/>
              <w:contextualSpacing/>
              <w:jc w:val="left"/>
              <w:rPr>
                <w:color w:val="FFFFFF" w:themeColor="background1"/>
                <w:sz w:val="18"/>
                <w:szCs w:val="18"/>
              </w:rPr>
            </w:pPr>
            <w:r>
              <w:rPr>
                <w:i/>
                <w:color w:val="FFFFFF" w:themeColor="background1"/>
                <w:sz w:val="18"/>
              </w:rPr>
              <w:t>Nga të cilat lopë qumështore</w:t>
            </w:r>
          </w:p>
        </w:tc>
        <w:tc>
          <w:tcPr>
            <w:tcW w:w="942" w:type="pct"/>
            <w:vAlign w:val="center"/>
          </w:tcPr>
          <w:p w14:paraId="59ED141E" w14:textId="77777777" w:rsidR="00AD0B60" w:rsidRPr="00976D33" w:rsidRDefault="00AD0B60">
            <w:pPr>
              <w:spacing w:before="120" w:line="276"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i/>
                <w:sz w:val="18"/>
              </w:rPr>
              <w:t>134</w:t>
            </w:r>
          </w:p>
        </w:tc>
        <w:tc>
          <w:tcPr>
            <w:tcW w:w="1301" w:type="pct"/>
            <w:vAlign w:val="center"/>
          </w:tcPr>
          <w:p w14:paraId="7729A7F9" w14:textId="77777777" w:rsidR="00AD0B60" w:rsidRPr="00976D33" w:rsidRDefault="00AD0B60">
            <w:pPr>
              <w:spacing w:before="120" w:line="276"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i/>
                <w:sz w:val="18"/>
              </w:rPr>
              <w:t>121</w:t>
            </w:r>
          </w:p>
        </w:tc>
      </w:tr>
      <w:tr w:rsidR="00AD0B60" w:rsidRPr="00976D33" w14:paraId="2F5E0FF2" w14:textId="7777777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757" w:type="pct"/>
            <w:gridSpan w:val="2"/>
            <w:vAlign w:val="center"/>
          </w:tcPr>
          <w:p w14:paraId="5D7D31DE" w14:textId="77777777" w:rsidR="00AD0B60" w:rsidRPr="00976D33" w:rsidRDefault="00AD0B60">
            <w:pPr>
              <w:spacing w:before="120" w:line="276" w:lineRule="auto"/>
              <w:contextualSpacing/>
              <w:jc w:val="left"/>
              <w:rPr>
                <w:color w:val="FFFFFF" w:themeColor="background1"/>
                <w:sz w:val="18"/>
                <w:szCs w:val="18"/>
              </w:rPr>
            </w:pPr>
            <w:r>
              <w:rPr>
                <w:color w:val="FFFFFF" w:themeColor="background1"/>
                <w:sz w:val="18"/>
              </w:rPr>
              <w:t>Derra (1000 krerë)</w:t>
            </w:r>
          </w:p>
        </w:tc>
        <w:tc>
          <w:tcPr>
            <w:tcW w:w="942" w:type="pct"/>
            <w:vAlign w:val="center"/>
          </w:tcPr>
          <w:p w14:paraId="26EEF1B5" w14:textId="77777777" w:rsidR="00AD0B60" w:rsidRPr="00976D33" w:rsidRDefault="00AD0B60">
            <w:pPr>
              <w:spacing w:before="120" w:line="276" w:lineRule="auto"/>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rPr>
              <w:t>45</w:t>
            </w:r>
          </w:p>
        </w:tc>
        <w:tc>
          <w:tcPr>
            <w:tcW w:w="1301" w:type="pct"/>
            <w:vAlign w:val="center"/>
          </w:tcPr>
          <w:p w14:paraId="37BB8159" w14:textId="77777777" w:rsidR="00AD0B60" w:rsidRPr="00976D33" w:rsidRDefault="00AD0B60">
            <w:pPr>
              <w:spacing w:before="120" w:line="276" w:lineRule="auto"/>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rPr>
              <w:t>41</w:t>
            </w:r>
          </w:p>
        </w:tc>
      </w:tr>
      <w:tr w:rsidR="00AD0B60" w:rsidRPr="00976D33" w14:paraId="7428E445" w14:textId="77777777">
        <w:trPr>
          <w:trHeight w:hRule="exact" w:val="284"/>
        </w:trPr>
        <w:tc>
          <w:tcPr>
            <w:cnfStyle w:val="001000000000" w:firstRow="0" w:lastRow="0" w:firstColumn="1" w:lastColumn="0" w:oddVBand="0" w:evenVBand="0" w:oddHBand="0" w:evenHBand="0" w:firstRowFirstColumn="0" w:firstRowLastColumn="0" w:lastRowFirstColumn="0" w:lastRowLastColumn="0"/>
            <w:tcW w:w="2757" w:type="pct"/>
            <w:gridSpan w:val="2"/>
            <w:vAlign w:val="center"/>
          </w:tcPr>
          <w:p w14:paraId="46967DDF" w14:textId="77777777" w:rsidR="00AD0B60" w:rsidRPr="00976D33" w:rsidRDefault="00AD0B60">
            <w:pPr>
              <w:spacing w:before="120" w:line="276" w:lineRule="auto"/>
              <w:contextualSpacing/>
              <w:jc w:val="left"/>
              <w:rPr>
                <w:color w:val="FFFFFF" w:themeColor="background1"/>
                <w:sz w:val="18"/>
                <w:szCs w:val="18"/>
              </w:rPr>
            </w:pPr>
            <w:r>
              <w:rPr>
                <w:color w:val="FFFFFF" w:themeColor="background1"/>
                <w:sz w:val="18"/>
              </w:rPr>
              <w:t>Dele/dhi (1000 krerë)</w:t>
            </w:r>
          </w:p>
        </w:tc>
        <w:tc>
          <w:tcPr>
            <w:tcW w:w="942" w:type="pct"/>
            <w:vAlign w:val="center"/>
          </w:tcPr>
          <w:p w14:paraId="1667AE61" w14:textId="77777777" w:rsidR="00AD0B60" w:rsidRPr="00976D33" w:rsidRDefault="00AD0B60">
            <w:pPr>
              <w:spacing w:before="120" w:line="276"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rPr>
              <w:t>242</w:t>
            </w:r>
          </w:p>
        </w:tc>
        <w:tc>
          <w:tcPr>
            <w:tcW w:w="1301" w:type="pct"/>
            <w:vAlign w:val="center"/>
          </w:tcPr>
          <w:p w14:paraId="229974F7" w14:textId="77777777" w:rsidR="00AD0B60" w:rsidRPr="00976D33" w:rsidRDefault="00AD0B60">
            <w:pPr>
              <w:spacing w:before="120" w:line="276"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rPr>
              <w:t>218</w:t>
            </w:r>
          </w:p>
        </w:tc>
      </w:tr>
      <w:tr w:rsidR="00AD0B60" w:rsidRPr="00976D33" w14:paraId="6F4DCD81" w14:textId="7777777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757" w:type="pct"/>
            <w:gridSpan w:val="2"/>
            <w:vAlign w:val="center"/>
          </w:tcPr>
          <w:p w14:paraId="5FCA2247" w14:textId="77777777" w:rsidR="00AD0B60" w:rsidRPr="00976D33" w:rsidRDefault="00AD0B60">
            <w:pPr>
              <w:spacing w:before="120" w:line="276" w:lineRule="auto"/>
              <w:contextualSpacing/>
              <w:jc w:val="left"/>
              <w:rPr>
                <w:color w:val="FFFFFF" w:themeColor="background1"/>
                <w:sz w:val="18"/>
                <w:szCs w:val="18"/>
              </w:rPr>
            </w:pPr>
            <w:r>
              <w:rPr>
                <w:i/>
                <w:color w:val="FFFFFF" w:themeColor="background1"/>
                <w:sz w:val="18"/>
              </w:rPr>
              <w:t>Nga të cilat dele/dhi për mbarështim</w:t>
            </w:r>
          </w:p>
        </w:tc>
        <w:tc>
          <w:tcPr>
            <w:tcW w:w="942" w:type="pct"/>
            <w:vAlign w:val="center"/>
          </w:tcPr>
          <w:p w14:paraId="6891D755" w14:textId="77777777" w:rsidR="00AD0B60" w:rsidRPr="00976D33" w:rsidRDefault="00AD0B60">
            <w:pPr>
              <w:spacing w:before="120" w:line="276" w:lineRule="auto"/>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rPr>
              <w:t>181</w:t>
            </w:r>
          </w:p>
        </w:tc>
        <w:tc>
          <w:tcPr>
            <w:tcW w:w="1301" w:type="pct"/>
            <w:vAlign w:val="center"/>
          </w:tcPr>
          <w:p w14:paraId="3DFEB40B" w14:textId="77777777" w:rsidR="00AD0B60" w:rsidRPr="00976D33" w:rsidRDefault="00AD0B60">
            <w:pPr>
              <w:spacing w:before="120" w:line="276" w:lineRule="auto"/>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rPr>
              <w:t>163</w:t>
            </w:r>
          </w:p>
        </w:tc>
      </w:tr>
      <w:tr w:rsidR="00AD0B60" w:rsidRPr="00976D33" w14:paraId="141BB673" w14:textId="77777777">
        <w:trPr>
          <w:trHeight w:hRule="exact" w:val="284"/>
        </w:trPr>
        <w:tc>
          <w:tcPr>
            <w:cnfStyle w:val="001000000000" w:firstRow="0" w:lastRow="0" w:firstColumn="1" w:lastColumn="0" w:oddVBand="0" w:evenVBand="0" w:oddHBand="0" w:evenHBand="0" w:firstRowFirstColumn="0" w:firstRowLastColumn="0" w:lastRowFirstColumn="0" w:lastRowLastColumn="0"/>
            <w:tcW w:w="2757" w:type="pct"/>
            <w:gridSpan w:val="2"/>
            <w:vAlign w:val="center"/>
          </w:tcPr>
          <w:p w14:paraId="16D1C0F5" w14:textId="77777777" w:rsidR="00AD0B60" w:rsidRPr="00976D33" w:rsidRDefault="00AD0B60">
            <w:pPr>
              <w:spacing w:before="120" w:line="276" w:lineRule="auto"/>
              <w:contextualSpacing/>
              <w:jc w:val="left"/>
              <w:rPr>
                <w:color w:val="FFFFFF" w:themeColor="background1"/>
                <w:sz w:val="18"/>
                <w:szCs w:val="18"/>
              </w:rPr>
            </w:pPr>
            <w:r>
              <w:rPr>
                <w:color w:val="FFFFFF" w:themeColor="background1"/>
                <w:sz w:val="18"/>
              </w:rPr>
              <w:t>Kuaj, gomarë dhe mushka (1000 krerë)</w:t>
            </w:r>
          </w:p>
        </w:tc>
        <w:tc>
          <w:tcPr>
            <w:tcW w:w="942" w:type="pct"/>
            <w:vAlign w:val="center"/>
          </w:tcPr>
          <w:p w14:paraId="07E42A7C" w14:textId="77777777" w:rsidR="00AD0B60" w:rsidRPr="00976D33" w:rsidRDefault="00AD0B60">
            <w:pPr>
              <w:spacing w:before="120" w:line="276"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rPr>
              <w:t>1.8</w:t>
            </w:r>
          </w:p>
        </w:tc>
        <w:tc>
          <w:tcPr>
            <w:tcW w:w="1301" w:type="pct"/>
            <w:vAlign w:val="center"/>
          </w:tcPr>
          <w:p w14:paraId="573E825B" w14:textId="77777777" w:rsidR="00AD0B60" w:rsidRPr="00976D33" w:rsidRDefault="00AD0B60">
            <w:pPr>
              <w:spacing w:before="120" w:line="276"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rPr>
              <w:t>1.6</w:t>
            </w:r>
          </w:p>
        </w:tc>
      </w:tr>
      <w:tr w:rsidR="00AD0B60" w:rsidRPr="00976D33" w14:paraId="69861E68" w14:textId="7777777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757" w:type="pct"/>
            <w:gridSpan w:val="2"/>
            <w:vAlign w:val="center"/>
          </w:tcPr>
          <w:p w14:paraId="06332802" w14:textId="77777777" w:rsidR="00AD0B60" w:rsidRPr="00976D33" w:rsidRDefault="00AD0B60">
            <w:pPr>
              <w:spacing w:before="120" w:line="276" w:lineRule="auto"/>
              <w:contextualSpacing/>
              <w:jc w:val="left"/>
              <w:rPr>
                <w:color w:val="FFFFFF" w:themeColor="background1"/>
                <w:sz w:val="18"/>
                <w:szCs w:val="18"/>
              </w:rPr>
            </w:pPr>
            <w:r>
              <w:rPr>
                <w:color w:val="FFFFFF" w:themeColor="background1"/>
                <w:sz w:val="18"/>
              </w:rPr>
              <w:t>Shpezë (1000 krerë)</w:t>
            </w:r>
          </w:p>
        </w:tc>
        <w:tc>
          <w:tcPr>
            <w:tcW w:w="942" w:type="pct"/>
            <w:vAlign w:val="center"/>
          </w:tcPr>
          <w:p w14:paraId="73927A1D" w14:textId="77777777" w:rsidR="00AD0B60" w:rsidRPr="00976D33" w:rsidRDefault="00AD0B60">
            <w:pPr>
              <w:spacing w:before="120" w:line="276" w:lineRule="auto"/>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rPr>
              <w:t>2.8</w:t>
            </w:r>
          </w:p>
        </w:tc>
        <w:tc>
          <w:tcPr>
            <w:tcW w:w="1301" w:type="pct"/>
            <w:vAlign w:val="center"/>
          </w:tcPr>
          <w:p w14:paraId="55639CE0" w14:textId="77777777" w:rsidR="00AD0B60" w:rsidRPr="00976D33" w:rsidRDefault="00AD0B60">
            <w:pPr>
              <w:spacing w:before="120" w:line="276" w:lineRule="auto"/>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rPr>
              <w:t>2.5</w:t>
            </w:r>
          </w:p>
        </w:tc>
      </w:tr>
    </w:tbl>
    <w:p w14:paraId="59495E3C" w14:textId="77777777" w:rsidR="00AD0B60" w:rsidRPr="00976D33" w:rsidRDefault="00AD0B60" w:rsidP="00AD0B60">
      <w:pPr>
        <w:rPr>
          <w:i/>
          <w:sz w:val="16"/>
          <w:szCs w:val="16"/>
        </w:rPr>
      </w:pPr>
      <w:r>
        <w:rPr>
          <w:i/>
          <w:sz w:val="16"/>
        </w:rPr>
        <w:t>Burimi: Agjencia e Kosova të Statistikave dhe llogaritjet vetanake</w:t>
      </w:r>
    </w:p>
    <w:p w14:paraId="6EB1178F" w14:textId="170A5D6A" w:rsidR="00AA7CDF" w:rsidRDefault="00AD0B60" w:rsidP="00AD0B60">
      <w:r>
        <w:t>Për më tepër, fermat më të mëdha janë më të prira për ruajtjen e plehut organik. Në prodhimin bimor, fermat më të mëdha do të aplikojnë sasi më të mëdha të plehrave për hektar, dhe për këtë arsye do të kenë emetime më të mëdha (</w:t>
      </w:r>
      <w:r w:rsidRPr="00976D33">
        <w:fldChar w:fldCharType="begin"/>
      </w:r>
      <w:r w:rsidRPr="00976D33">
        <w:instrText xml:space="preserve"> REF _Ref164724992 \h </w:instrText>
      </w:r>
      <w:r w:rsidR="004A7007" w:rsidRPr="00976D33">
        <w:instrText xml:space="preserve"> \* MERGEFORMAT </w:instrText>
      </w:r>
      <w:r w:rsidRPr="00976D33">
        <w:fldChar w:fldCharType="separate"/>
      </w:r>
      <w:r w:rsidR="003B7FFA">
        <w:t>Tabela 11</w:t>
      </w:r>
      <w:r w:rsidRPr="00976D33">
        <w:fldChar w:fldCharType="end"/>
      </w:r>
      <w:r>
        <w:t>).</w:t>
      </w:r>
    </w:p>
    <w:p w14:paraId="1AE1BB24" w14:textId="4FDE8F7C" w:rsidR="00AD0B60" w:rsidRPr="00976D33" w:rsidRDefault="00AD0B60" w:rsidP="00A7174D">
      <w:pPr>
        <w:pStyle w:val="Caption"/>
        <w:spacing w:after="0"/>
      </w:pPr>
      <w:bookmarkStart w:id="385" w:name="_Ref164724992"/>
      <w:bookmarkStart w:id="386" w:name="_Toc181867304"/>
      <w:r>
        <w:t xml:space="preserve">Tabela </w:t>
      </w:r>
      <w:r w:rsidRPr="00976D33">
        <w:fldChar w:fldCharType="begin"/>
      </w:r>
      <w:r w:rsidRPr="00976D33">
        <w:instrText>SEQ Table \* ARABIC</w:instrText>
      </w:r>
      <w:r w:rsidRPr="00976D33">
        <w:fldChar w:fldCharType="separate"/>
      </w:r>
      <w:r w:rsidR="003B7FFA">
        <w:rPr>
          <w:noProof/>
        </w:rPr>
        <w:t>11</w:t>
      </w:r>
      <w:r w:rsidRPr="00976D33">
        <w:fldChar w:fldCharType="end"/>
      </w:r>
      <w:bookmarkEnd w:id="385"/>
      <w:r>
        <w:t>. Zhvillimi i inputit të azotit në sektorin bujqësor</w:t>
      </w:r>
      <w:bookmarkEnd w:id="386"/>
    </w:p>
    <w:tbl>
      <w:tblPr>
        <w:tblStyle w:val="GridTable5DarkAccent100"/>
        <w:tblW w:w="5000" w:type="pct"/>
        <w:tblLook w:val="04A0" w:firstRow="1" w:lastRow="0" w:firstColumn="1" w:lastColumn="0" w:noHBand="0" w:noVBand="1"/>
      </w:tblPr>
      <w:tblGrid>
        <w:gridCol w:w="5258"/>
        <w:gridCol w:w="2393"/>
        <w:gridCol w:w="1913"/>
      </w:tblGrid>
      <w:tr w:rsidR="00AD0B60" w:rsidRPr="00976D33" w14:paraId="4CEDD28D" w14:textId="77777777" w:rsidTr="00A7174D">
        <w:trPr>
          <w:cnfStyle w:val="100000000000" w:firstRow="1" w:lastRow="0" w:firstColumn="0" w:lastColumn="0" w:oddVBand="0" w:evenVBand="0" w:oddHBand="0" w:evenHBand="0" w:firstRowFirstColumn="0" w:firstRowLastColumn="0" w:lastRowFirstColumn="0" w:lastRowLastColumn="0"/>
          <w:trHeight w:hRule="exact" w:val="341"/>
        </w:trPr>
        <w:tc>
          <w:tcPr>
            <w:cnfStyle w:val="001000000000" w:firstRow="0" w:lastRow="0" w:firstColumn="1" w:lastColumn="0" w:oddVBand="0" w:evenVBand="0" w:oddHBand="0" w:evenHBand="0" w:firstRowFirstColumn="0" w:firstRowLastColumn="0" w:lastRowFirstColumn="0" w:lastRowLastColumn="0"/>
            <w:tcW w:w="2749" w:type="pct"/>
            <w:vAlign w:val="center"/>
          </w:tcPr>
          <w:p w14:paraId="60D52706" w14:textId="77777777" w:rsidR="00AD0B60" w:rsidRPr="00976D33" w:rsidRDefault="00AD0B60">
            <w:pPr>
              <w:spacing w:before="120" w:line="276" w:lineRule="auto"/>
              <w:jc w:val="left"/>
              <w:rPr>
                <w:color w:val="FFFFFF" w:themeColor="background1"/>
                <w:sz w:val="18"/>
                <w:szCs w:val="18"/>
              </w:rPr>
            </w:pPr>
            <w:bookmarkStart w:id="387" w:name="_Hlk136509566"/>
            <w:r>
              <w:rPr>
                <w:color w:val="FFFFFF" w:themeColor="background1"/>
                <w:sz w:val="18"/>
              </w:rPr>
              <w:t>Viti</w:t>
            </w:r>
          </w:p>
        </w:tc>
        <w:tc>
          <w:tcPr>
            <w:tcW w:w="1251" w:type="pct"/>
            <w:vAlign w:val="center"/>
          </w:tcPr>
          <w:p w14:paraId="6C46EDF0" w14:textId="77777777" w:rsidR="00AD0B60" w:rsidRPr="00976D33" w:rsidRDefault="00AD0B60">
            <w:pPr>
              <w:spacing w:before="120" w:line="276"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color w:val="FFFFFF" w:themeColor="background1"/>
                <w:sz w:val="18"/>
              </w:rPr>
              <w:t>2021</w:t>
            </w:r>
          </w:p>
        </w:tc>
        <w:tc>
          <w:tcPr>
            <w:tcW w:w="1000" w:type="pct"/>
            <w:vAlign w:val="center"/>
          </w:tcPr>
          <w:p w14:paraId="78230B71" w14:textId="77777777" w:rsidR="00AD0B60" w:rsidRPr="00976D33" w:rsidRDefault="00AD0B60">
            <w:pPr>
              <w:spacing w:before="120" w:line="276" w:lineRule="auto"/>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18"/>
                <w:szCs w:val="18"/>
              </w:rPr>
            </w:pPr>
            <w:r>
              <w:rPr>
                <w:color w:val="FFFFFF" w:themeColor="background1"/>
                <w:sz w:val="18"/>
              </w:rPr>
              <w:t>2030</w:t>
            </w:r>
          </w:p>
          <w:p w14:paraId="737AE69C" w14:textId="77777777" w:rsidR="00AD0B60" w:rsidRPr="00976D33" w:rsidRDefault="00AD0B60">
            <w:pPr>
              <w:spacing w:before="120" w:line="276"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p>
        </w:tc>
      </w:tr>
      <w:tr w:rsidR="00AD0B60" w:rsidRPr="00976D33" w14:paraId="2F7EC24C" w14:textId="77777777" w:rsidTr="00A7174D">
        <w:trPr>
          <w:cnfStyle w:val="000000100000" w:firstRow="0" w:lastRow="0" w:firstColumn="0" w:lastColumn="0" w:oddVBand="0" w:evenVBand="0" w:oddHBand="1" w:evenHBand="0" w:firstRowFirstColumn="0" w:firstRowLastColumn="0" w:lastRowFirstColumn="0" w:lastRowLastColumn="0"/>
          <w:trHeight w:hRule="exact" w:val="323"/>
        </w:trPr>
        <w:tc>
          <w:tcPr>
            <w:cnfStyle w:val="001000000000" w:firstRow="0" w:lastRow="0" w:firstColumn="1" w:lastColumn="0" w:oddVBand="0" w:evenVBand="0" w:oddHBand="0" w:evenHBand="0" w:firstRowFirstColumn="0" w:firstRowLastColumn="0" w:lastRowFirstColumn="0" w:lastRowLastColumn="0"/>
            <w:tcW w:w="2749" w:type="pct"/>
            <w:vAlign w:val="center"/>
          </w:tcPr>
          <w:p w14:paraId="5AB34A01" w14:textId="77777777" w:rsidR="00AD0B60" w:rsidRPr="00976D33" w:rsidRDefault="00AD0B60">
            <w:pPr>
              <w:spacing w:before="120" w:line="276" w:lineRule="auto"/>
              <w:jc w:val="left"/>
              <w:rPr>
                <w:color w:val="FFFFFF" w:themeColor="background1"/>
                <w:sz w:val="18"/>
                <w:szCs w:val="18"/>
              </w:rPr>
            </w:pPr>
            <w:r>
              <w:rPr>
                <w:color w:val="FFFFFF" w:themeColor="background1"/>
                <w:sz w:val="18"/>
              </w:rPr>
              <w:t>Inputi i azotit nga aplikimi i plehrave sintetike</w:t>
            </w:r>
          </w:p>
        </w:tc>
        <w:tc>
          <w:tcPr>
            <w:tcW w:w="1251" w:type="pct"/>
            <w:vAlign w:val="center"/>
          </w:tcPr>
          <w:p w14:paraId="2B2AFFF3" w14:textId="77777777" w:rsidR="00AD0B60" w:rsidRPr="00976D33" w:rsidRDefault="00AD0B60">
            <w:pPr>
              <w:spacing w:before="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rPr>
              <w:t>11,657</w:t>
            </w:r>
          </w:p>
        </w:tc>
        <w:tc>
          <w:tcPr>
            <w:tcW w:w="1000" w:type="pct"/>
            <w:vAlign w:val="center"/>
          </w:tcPr>
          <w:p w14:paraId="2BA9E339" w14:textId="77777777" w:rsidR="00AD0B60" w:rsidRPr="00976D33" w:rsidRDefault="00AD0B60">
            <w:pPr>
              <w:spacing w:before="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rPr>
              <w:t>26,695</w:t>
            </w:r>
          </w:p>
        </w:tc>
      </w:tr>
      <w:tr w:rsidR="00AD0B60" w:rsidRPr="00976D33" w14:paraId="0EFF5CA5" w14:textId="77777777" w:rsidTr="00A7174D">
        <w:trPr>
          <w:trHeight w:hRule="exact" w:val="323"/>
        </w:trPr>
        <w:tc>
          <w:tcPr>
            <w:cnfStyle w:val="001000000000" w:firstRow="0" w:lastRow="0" w:firstColumn="1" w:lastColumn="0" w:oddVBand="0" w:evenVBand="0" w:oddHBand="0" w:evenHBand="0" w:firstRowFirstColumn="0" w:firstRowLastColumn="0" w:lastRowFirstColumn="0" w:lastRowLastColumn="0"/>
            <w:tcW w:w="2749" w:type="pct"/>
            <w:vAlign w:val="center"/>
          </w:tcPr>
          <w:p w14:paraId="2CF0A71E" w14:textId="77777777" w:rsidR="00AD0B60" w:rsidRPr="00976D33" w:rsidRDefault="00AD0B60">
            <w:pPr>
              <w:spacing w:before="120" w:line="276" w:lineRule="auto"/>
              <w:jc w:val="left"/>
              <w:rPr>
                <w:color w:val="FFFFFF" w:themeColor="background1"/>
                <w:sz w:val="18"/>
                <w:szCs w:val="18"/>
              </w:rPr>
            </w:pPr>
            <w:r>
              <w:rPr>
                <w:color w:val="FFFFFF" w:themeColor="background1"/>
                <w:sz w:val="18"/>
              </w:rPr>
              <w:t>Inputi i azotit nga aplikimi i plehut organik (kt N/vit)</w:t>
            </w:r>
          </w:p>
        </w:tc>
        <w:tc>
          <w:tcPr>
            <w:tcW w:w="1251" w:type="pct"/>
            <w:vAlign w:val="center"/>
          </w:tcPr>
          <w:p w14:paraId="2747E4A5" w14:textId="77777777" w:rsidR="00AD0B60" w:rsidRPr="00976D33" w:rsidRDefault="00AD0B60">
            <w:pPr>
              <w:spacing w:before="12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rPr>
              <w:t>13,294</w:t>
            </w:r>
          </w:p>
        </w:tc>
        <w:tc>
          <w:tcPr>
            <w:tcW w:w="1000" w:type="pct"/>
            <w:vAlign w:val="center"/>
          </w:tcPr>
          <w:p w14:paraId="0C1B5101" w14:textId="77777777" w:rsidR="00AD0B60" w:rsidRPr="00976D33" w:rsidRDefault="00AD0B60">
            <w:pPr>
              <w:spacing w:before="12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rPr>
              <w:t>11,768</w:t>
            </w:r>
          </w:p>
        </w:tc>
      </w:tr>
      <w:tr w:rsidR="00AD0B60" w:rsidRPr="00976D33" w14:paraId="0B7275AE" w14:textId="77777777" w:rsidTr="00A7174D">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2749" w:type="pct"/>
            <w:vAlign w:val="center"/>
          </w:tcPr>
          <w:p w14:paraId="7591F224" w14:textId="77777777" w:rsidR="00AD0B60" w:rsidRPr="00976D33" w:rsidRDefault="00AD0B60">
            <w:pPr>
              <w:spacing w:before="120" w:line="276" w:lineRule="auto"/>
              <w:jc w:val="left"/>
              <w:rPr>
                <w:color w:val="FFFFFF" w:themeColor="background1"/>
                <w:sz w:val="18"/>
                <w:szCs w:val="18"/>
              </w:rPr>
            </w:pPr>
            <w:r>
              <w:rPr>
                <w:color w:val="FFFFFF" w:themeColor="background1"/>
                <w:sz w:val="18"/>
              </w:rPr>
              <w:t>Azoti në mbetjet e bimëve kthehet në tokë (kt N/vit)</w:t>
            </w:r>
          </w:p>
        </w:tc>
        <w:tc>
          <w:tcPr>
            <w:tcW w:w="1251" w:type="pct"/>
            <w:vAlign w:val="center"/>
          </w:tcPr>
          <w:p w14:paraId="7B0344DD" w14:textId="77777777" w:rsidR="00AD0B60" w:rsidRPr="00976D33" w:rsidRDefault="00AD0B60">
            <w:pPr>
              <w:spacing w:before="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rPr>
              <w:t>8,387</w:t>
            </w:r>
          </w:p>
        </w:tc>
        <w:tc>
          <w:tcPr>
            <w:tcW w:w="1000" w:type="pct"/>
            <w:vAlign w:val="center"/>
          </w:tcPr>
          <w:p w14:paraId="4775C0CE" w14:textId="77777777" w:rsidR="00AD0B60" w:rsidRPr="00976D33" w:rsidRDefault="00AD0B60">
            <w:pPr>
              <w:spacing w:before="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rPr>
              <w:t>8,387</w:t>
            </w:r>
          </w:p>
        </w:tc>
      </w:tr>
    </w:tbl>
    <w:bookmarkEnd w:id="387"/>
    <w:p w14:paraId="41195BB1" w14:textId="77777777" w:rsidR="00AD0B60" w:rsidRPr="00976D33" w:rsidRDefault="00AD0B60" w:rsidP="00A7174D">
      <w:pPr>
        <w:spacing w:before="0" w:after="0"/>
        <w:rPr>
          <w:i/>
          <w:sz w:val="16"/>
          <w:szCs w:val="16"/>
        </w:rPr>
      </w:pPr>
      <w:r>
        <w:rPr>
          <w:i/>
          <w:sz w:val="16"/>
        </w:rPr>
        <w:t>Burimi: Plani Kombëtar për Energji dhe Klimë (PKEK) i Republikës së Kosovës: Sektori i BPPTT-së</w:t>
      </w:r>
      <w:r w:rsidRPr="00976D33">
        <w:rPr>
          <w:rStyle w:val="FootnoteReference"/>
          <w:i/>
          <w:sz w:val="16"/>
          <w:szCs w:val="16"/>
        </w:rPr>
        <w:footnoteReference w:id="38"/>
      </w:r>
    </w:p>
    <w:p w14:paraId="04DF7A15" w14:textId="28ECAA44" w:rsidR="00AD0B60" w:rsidRPr="00976D33" w:rsidRDefault="00AD0B60" w:rsidP="00AD0B60">
      <w:r>
        <w:lastRenderedPageBreak/>
        <w:t>Digjitalizimi dhe bujqësia e saktë do të nxisin përfitime në efikasitet (dhe ndoshta do të reduktojnë emetimet e plehrave për njësi të aplikimit të plehrave) me disa përmirësime që tashmë janë të dukshme gjatë viteve të fundit pas përmirësimeve në mekanizim dhe teknologji. Megjithatë, produktiviteti i sektorit bujqësor mbetet i ulët në krahasim me vendet e BE-së. Kjo është kryesisht për shkak të makinerive të vjetruara dhe joadekuate, mungesës së njohurive dhe aftësive bujqësore dhe cilësisë së dobët të produkteve bujqësore.</w:t>
      </w:r>
      <w:r w:rsidRPr="00976D33">
        <w:rPr>
          <w:rStyle w:val="FootnoteReference"/>
          <w:lang w:eastAsia="ja-JP"/>
        </w:rPr>
        <w:footnoteReference w:id="39"/>
      </w:r>
      <w:r>
        <w:t xml:space="preserve">  Në të ardhmen, kjo do të trajtohet nëpërmjet trajnimeve dhe vendosjes së standardeve për prodhimin dhe marketingun e produkteve bujqësore, të financuara me grantet nga Ministria e Bujqësisë, Pylltarisë dhe Zhvillimit Rural. </w:t>
      </w:r>
    </w:p>
    <w:p w14:paraId="0C5B36DF" w14:textId="77777777" w:rsidR="00AD0B60" w:rsidRPr="00976D33" w:rsidRDefault="00AD0B60" w:rsidP="00AD0B60">
      <w:pPr>
        <w:pStyle w:val="Heading3"/>
        <w:numPr>
          <w:ilvl w:val="0"/>
          <w:numId w:val="0"/>
        </w:numPr>
        <w:ind w:left="720" w:hanging="720"/>
        <w:rPr>
          <w:b/>
          <w:bCs/>
          <w:i/>
          <w:iCs/>
          <w:szCs w:val="22"/>
        </w:rPr>
      </w:pPr>
      <w:bookmarkStart w:id="388" w:name="_Toc182302321"/>
      <w:r>
        <w:rPr>
          <w:b/>
          <w:i/>
        </w:rPr>
        <w:t>LULUCF</w:t>
      </w:r>
      <w:bookmarkEnd w:id="388"/>
    </w:p>
    <w:p w14:paraId="2254C82E" w14:textId="77777777" w:rsidR="00AD0B60" w:rsidRPr="00976D33" w:rsidRDefault="00AD0B60" w:rsidP="00AD0B60">
      <w:r>
        <w:t>Aktualisht, sektori i LULUCF-së është një rezervuar i vogël i GS-ve në Kosovë duke pasur parasysh vetitë sekuestruese të sektorit të pylltarisë. Ky rezervuar rritet edhe më tej duke ndjekur një trend zvogëlimi në largimin e druve për zjarr si dhe një trend në rritje të sekuestrimit të CO</w:t>
      </w:r>
      <w:r>
        <w:rPr>
          <w:vertAlign w:val="subscript"/>
        </w:rPr>
        <w:t>2</w:t>
      </w:r>
      <w:r>
        <w:t xml:space="preserve"> në biomasën pyjore. </w:t>
      </w:r>
    </w:p>
    <w:p w14:paraId="299044E9" w14:textId="77777777" w:rsidR="00AD0B60" w:rsidRPr="00976D33" w:rsidRDefault="00AD0B60" w:rsidP="00AD0B60">
      <w:r>
        <w:t>Këto trende nxiten kryesisht nga ambiciet e Strategjisë për Pyjet të pasqyruara në modelimin e skenarit WEM: Strategjia përcakton objektivin e reduktimit të prerjeve të paligjshme për 70% deri në vitin 2030 dhe për rritjen e sipërfaqes pyjore për 3% mes vitit 2022 dhe 2030. Pyllëzimi, nga ana tjetër, ndoshta nuk do të jetë i rëndësishëm sepse pak zona jo të pyllëzuara dhe të papërdorura janë të përshtatshme për rritjen e pyjeve.</w:t>
      </w:r>
    </w:p>
    <w:p w14:paraId="1EB05AF7" w14:textId="77777777" w:rsidR="00AD0B60" w:rsidRPr="00976D33" w:rsidRDefault="00AD0B60" w:rsidP="00AD0B60">
      <w:pPr>
        <w:pStyle w:val="Heading3"/>
        <w:numPr>
          <w:ilvl w:val="0"/>
          <w:numId w:val="0"/>
        </w:numPr>
        <w:ind w:left="720" w:hanging="720"/>
        <w:rPr>
          <w:b/>
          <w:i/>
        </w:rPr>
      </w:pPr>
      <w:bookmarkStart w:id="389" w:name="_Toc182302322"/>
      <w:r>
        <w:rPr>
          <w:b/>
          <w:i/>
        </w:rPr>
        <w:t>Mbeturinat</w:t>
      </w:r>
      <w:bookmarkEnd w:id="389"/>
    </w:p>
    <w:p w14:paraId="4F7BB950" w14:textId="1FE7E719" w:rsidR="00AD0B60" w:rsidRPr="00976D33" w:rsidRDefault="00AD0B60" w:rsidP="00AD0B60">
      <w:r>
        <w:t xml:space="preserve">Në model, sektori i mbeturinave ndahet në nënkategoritë e mëposhtme: grumbullimi i mbeturinave të ngurta komunale, ripërdorimi dhe riciklimi, deponimi, trajtimi dhe shkarkimi i ujërave urbane, djegia dhe djegia e hapur e mbeturinave. Nuk kishte të dhëna për emetimet nga trajtimi biologjik i mbeturinave dhe kështu sektori nuk ishte përfshirë në analizë. </w:t>
      </w:r>
    </w:p>
    <w:p w14:paraId="58810635" w14:textId="0C13A4B7" w:rsidR="00AD0B60" w:rsidRPr="00976D33" w:rsidRDefault="00AD0B60" w:rsidP="00AD0B60">
      <w:r>
        <w:t>Variabla themelore që formëson projeksionet e emetimeve në sektorin e mbeturinave të ngurta është mbeturinat për kokë banori. Duke u bazuar në trendët historike të vërejtura në periudhën 2012-2021, parashikohet që në të ardhmen të gjenerohen më shumë mbeturina nga ekonomitë familjare. Çdo person në Kosovë ka gjeneruar mesatarisht 273 kg mbeturina të ngurta në vitin 2021 dhe kjo shifër parashikohet të rritet në 351 kg në vitin 2040. Cak themelor i Strategjisë për Menaxhim të Integruar të Mbetjeve (2024-2035) dhe Planit të Veprimit shoqërues (2024-2026) parashikojnë rritjen e përqindjes së mbetjeve të ngurta komunale (MNK) të grumbulluara dhe menaxhuara në objekte të kontrolluara. Sipas cakut, planifikohet që në vitin 2030,</w:t>
      </w:r>
      <w:r w:rsidR="0037748E">
        <w:t xml:space="preserve"> </w:t>
      </w:r>
      <w:r>
        <w:t>100% e mbeturinave të ngurta komunale të gjeneruara të trajtohen, dhe deponimi do të jetë më pak se 30% deri në vitin 2035. Gjithashtu, analiza parashikon që deri në vitin 2040, 72% e mbeturinave do të riciklohen. Shkarkimet nga trajtimi/shkarkimi i ujërave urbane dhe djegia/djegia e hapur e mbeturinave shoqërohen me rritjen e popullsisë.</w:t>
      </w:r>
    </w:p>
    <w:p w14:paraId="68D7F86B" w14:textId="77777777" w:rsidR="00AD0B60" w:rsidRPr="001F4906" w:rsidRDefault="00AD0B60" w:rsidP="00AF7BBF">
      <w:pPr>
        <w:pStyle w:val="Heading3"/>
        <w:numPr>
          <w:ilvl w:val="0"/>
          <w:numId w:val="105"/>
        </w:numPr>
      </w:pPr>
      <w:bookmarkStart w:id="390" w:name="_Toc182302323"/>
      <w:r>
        <w:t>Trendët globale të energjisë, çmimet ndërkombëtare të lëndëve djegëse fosile, çmimi i karbonit sipas EU ETS</w:t>
      </w:r>
      <w:bookmarkEnd w:id="390"/>
    </w:p>
    <w:p w14:paraId="0ABC1FB5" w14:textId="6CF3A111" w:rsidR="00AD0B60" w:rsidRPr="00976D33" w:rsidRDefault="00AD0B60" w:rsidP="00AD0B60">
      <w:r>
        <w:t>Sistemi global i energjisë po pëson ndryshime strukturore pasi bota po lëviz ngadalë por vazhdimisht drejt një sistemi të karakterizuar nga një pjesëmarrje në rritje e transportuesve të energjisë së ripërtëritshme, si dhe nga përvetësimi i shpejtë i teknologjive të reja.</w:t>
      </w:r>
    </w:p>
    <w:p w14:paraId="6E19073E" w14:textId="50C8AC47" w:rsidR="00AD0B60" w:rsidRDefault="00AD0B60" w:rsidP="00AD0B60">
      <w:r>
        <w:t>Për shkak të mospërputhjes së ofertës dhe kërkesës, si dhe pushtimit rus të Ukrainës, tregjet globale të energjisë së viteve të fundit kanë qenë në kaos, duke rezultuar në një shkallë të lartë paqëndrueshmërie, veçanërisht në tregjet ndërkombëtare të gazit. Megjithatë, çmimet e larta janë dëshmuar të jenë fenomen afatshkurtër dhe afatmesëm dhe pritet të stabilizohen në kuptim afatgjatë, megjithëse ekzistojnë pasiguri të konsiderueshme. Modeli parashikon që çmimet e thëngjillit, gazit dhe naftës do të stabilizohen në rreth 10 EUR/MWh për thëngjillin, 20 EUR/MWh për gazin natyror dhe 27 EUR/MWh për naftën bruto (</w:t>
      </w:r>
      <w:r w:rsidRPr="00976D33">
        <w:fldChar w:fldCharType="begin"/>
      </w:r>
      <w:r w:rsidRPr="00976D33">
        <w:instrText xml:space="preserve"> REF _Ref139004144 \h </w:instrText>
      </w:r>
      <w:r w:rsidR="004A7007" w:rsidRPr="00976D33">
        <w:instrText xml:space="preserve"> \* MERGEFORMAT </w:instrText>
      </w:r>
      <w:r w:rsidRPr="00976D33">
        <w:fldChar w:fldCharType="separate"/>
      </w:r>
      <w:r w:rsidR="003B7FFA">
        <w:t xml:space="preserve">Figura </w:t>
      </w:r>
      <w:r w:rsidR="003B7FFA">
        <w:rPr>
          <w:b/>
          <w:i/>
        </w:rPr>
        <w:t>35</w:t>
      </w:r>
      <w:r w:rsidRPr="00976D33">
        <w:fldChar w:fldCharType="end"/>
      </w:r>
      <w:r>
        <w:t>).</w:t>
      </w:r>
    </w:p>
    <w:p w14:paraId="3E8B7FB3" w14:textId="77777777" w:rsidR="00A7174D" w:rsidRPr="00976D33" w:rsidRDefault="00A7174D" w:rsidP="00AD0B60"/>
    <w:p w14:paraId="62F2D637" w14:textId="7B8EA493" w:rsidR="00AD0B60" w:rsidRPr="00976D33" w:rsidRDefault="00AD0B60" w:rsidP="006E6E51">
      <w:pPr>
        <w:pStyle w:val="Caption"/>
      </w:pPr>
      <w:bookmarkStart w:id="391" w:name="_Ref139004144"/>
      <w:bookmarkStart w:id="392" w:name="_Toc181867238"/>
      <w:r>
        <w:rPr>
          <w:b w:val="0"/>
          <w:i w:val="0"/>
        </w:rPr>
        <w:lastRenderedPageBreak/>
        <w:t xml:space="preserve">Figura </w:t>
      </w:r>
      <w:r w:rsidRPr="00976D33">
        <w:rPr>
          <w:b w:val="0"/>
          <w:i w:val="0"/>
        </w:rPr>
        <w:fldChar w:fldCharType="begin"/>
      </w:r>
      <w:r w:rsidRPr="00976D33">
        <w:rPr>
          <w:b w:val="0"/>
          <w:i w:val="0"/>
        </w:rPr>
        <w:instrText>SEQ Figure \* ARABIC</w:instrText>
      </w:r>
      <w:r w:rsidRPr="00976D33">
        <w:rPr>
          <w:b w:val="0"/>
          <w:i w:val="0"/>
        </w:rPr>
        <w:fldChar w:fldCharType="separate"/>
      </w:r>
      <w:r w:rsidR="003B7FFA">
        <w:rPr>
          <w:b w:val="0"/>
          <w:i w:val="0"/>
          <w:noProof/>
        </w:rPr>
        <w:t>35</w:t>
      </w:r>
      <w:r w:rsidRPr="00976D33">
        <w:rPr>
          <w:b w:val="0"/>
          <w:i w:val="0"/>
        </w:rPr>
        <w:fldChar w:fldCharType="end"/>
      </w:r>
      <w:bookmarkEnd w:id="391"/>
      <w:r>
        <w:rPr>
          <w:b w:val="0"/>
          <w:i w:val="0"/>
        </w:rPr>
        <w:t>. Çmimet historike dhe të supozuara të importit të karburantit</w:t>
      </w:r>
      <w:r>
        <w:t xml:space="preserve"> dhe çmimet e tregut rajonal</w:t>
      </w:r>
      <w:r>
        <w:rPr>
          <w:b w:val="0"/>
          <w:i w:val="0"/>
        </w:rPr>
        <w:t xml:space="preserve"> (pas vitit 2023: projeksionet)</w:t>
      </w:r>
      <w:bookmarkEnd w:id="392"/>
    </w:p>
    <w:p w14:paraId="1910D9F1" w14:textId="77777777" w:rsidR="00AD0B60" w:rsidRPr="00976D33" w:rsidRDefault="00AD0B60" w:rsidP="00AD0B60">
      <w:r>
        <w:rPr>
          <w:noProof/>
          <w:lang w:val="en-US"/>
        </w:rPr>
        <w:drawing>
          <wp:inline distT="0" distB="0" distL="0" distR="0" wp14:anchorId="57DBFC25" wp14:editId="2D64EB70">
            <wp:extent cx="6079490" cy="2578100"/>
            <wp:effectExtent l="0" t="0" r="0" b="0"/>
            <wp:docPr id="7495485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079490" cy="2578100"/>
                    </a:xfrm>
                    <a:prstGeom prst="rect">
                      <a:avLst/>
                    </a:prstGeom>
                    <a:noFill/>
                    <a:ln>
                      <a:noFill/>
                    </a:ln>
                  </pic:spPr>
                </pic:pic>
              </a:graphicData>
            </a:graphic>
          </wp:inline>
        </w:drawing>
      </w:r>
    </w:p>
    <w:p w14:paraId="3685C3D9" w14:textId="77777777" w:rsidR="00AD0B60" w:rsidRPr="00C1079E" w:rsidRDefault="00AD0B60" w:rsidP="00AD0B60">
      <w:pPr>
        <w:rPr>
          <w:i/>
          <w:sz w:val="16"/>
          <w:szCs w:val="16"/>
        </w:rPr>
      </w:pPr>
      <w:r>
        <w:rPr>
          <w:i/>
          <w:sz w:val="16"/>
        </w:rPr>
        <w:t>Burimi: investing.com, statista.com and Umweltbundesamt</w:t>
      </w:r>
    </w:p>
    <w:p w14:paraId="44B738BE" w14:textId="584C60DC" w:rsidR="00AD0B60" w:rsidRDefault="00AD0B60" w:rsidP="00AD0B60">
      <w:r>
        <w:t>Çmimet e kuotave të EU-ETS për ton CO</w:t>
      </w:r>
      <w:r>
        <w:rPr>
          <w:vertAlign w:val="subscript"/>
        </w:rPr>
        <w:t>2</w:t>
      </w:r>
      <w:r>
        <w:t xml:space="preserve"> mbetën relativisht të ulëta dhe të qëndrueshme për shumë vite pas fillimit të skemës. Megjithatë, që nga viti 2020, çmimet e EU-ETS u rritën me shpejtësi, duke arritur në 79 EUR/t në vitin 2023. Sipas projeksioneve nga Umweltbundesamt, rritja prej 105 EUR/t dhe 136 EUR/t pritet në vitin 2030 respektivisht 2040 (Figura 36). </w:t>
      </w:r>
    </w:p>
    <w:p w14:paraId="1CE8A271" w14:textId="7113E89E" w:rsidR="00AD0B60" w:rsidRPr="00976D33" w:rsidRDefault="00AD0B60" w:rsidP="006E6E51">
      <w:pPr>
        <w:pStyle w:val="Caption"/>
      </w:pPr>
      <w:bookmarkStart w:id="393" w:name="_Ref139004154"/>
      <w:bookmarkStart w:id="394" w:name="_Toc181867239"/>
      <w:r>
        <w:rPr>
          <w:b w:val="0"/>
          <w:i w:val="0"/>
        </w:rPr>
        <w:t xml:space="preserve">Figura </w:t>
      </w:r>
      <w:r w:rsidRPr="00976D33">
        <w:rPr>
          <w:b w:val="0"/>
          <w:i w:val="0"/>
        </w:rPr>
        <w:fldChar w:fldCharType="begin"/>
      </w:r>
      <w:r w:rsidRPr="00976D33">
        <w:rPr>
          <w:b w:val="0"/>
          <w:i w:val="0"/>
        </w:rPr>
        <w:instrText>SEQ Figure \* ARABIC</w:instrText>
      </w:r>
      <w:r w:rsidRPr="00976D33">
        <w:rPr>
          <w:b w:val="0"/>
          <w:i w:val="0"/>
        </w:rPr>
        <w:fldChar w:fldCharType="separate"/>
      </w:r>
      <w:r w:rsidR="003B7FFA">
        <w:rPr>
          <w:b w:val="0"/>
          <w:i w:val="0"/>
          <w:noProof/>
        </w:rPr>
        <w:t>36</w:t>
      </w:r>
      <w:r w:rsidRPr="00976D33">
        <w:rPr>
          <w:b w:val="0"/>
          <w:i w:val="0"/>
        </w:rPr>
        <w:fldChar w:fldCharType="end"/>
      </w:r>
      <w:bookmarkEnd w:id="393"/>
      <w:r>
        <w:rPr>
          <w:b w:val="0"/>
          <w:i w:val="0"/>
        </w:rPr>
        <w:t xml:space="preserve">. </w:t>
      </w:r>
      <w:r>
        <w:t>Çmimet historike dhe projeksionet për EU-ETS (2016-EUR/tCO2)</w:t>
      </w:r>
      <w:bookmarkEnd w:id="394"/>
      <w:r>
        <w:rPr>
          <w:b w:val="0"/>
          <w:i w:val="0"/>
        </w:rPr>
        <w:t xml:space="preserve"> </w:t>
      </w:r>
    </w:p>
    <w:p w14:paraId="3961E764" w14:textId="037EBFE7" w:rsidR="009E0E0E" w:rsidRPr="00976D33" w:rsidRDefault="009E0E0E" w:rsidP="00AD0B60">
      <w:r>
        <w:rPr>
          <w:noProof/>
          <w:lang w:val="en-US"/>
        </w:rPr>
        <w:drawing>
          <wp:inline distT="0" distB="0" distL="0" distR="0" wp14:anchorId="1E718B94" wp14:editId="4D3C3274">
            <wp:extent cx="5168053" cy="1960017"/>
            <wp:effectExtent l="0" t="0" r="0" b="2540"/>
            <wp:docPr id="15287332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171466" cy="1961311"/>
                    </a:xfrm>
                    <a:prstGeom prst="rect">
                      <a:avLst/>
                    </a:prstGeom>
                    <a:noFill/>
                    <a:ln>
                      <a:noFill/>
                    </a:ln>
                  </pic:spPr>
                </pic:pic>
              </a:graphicData>
            </a:graphic>
          </wp:inline>
        </w:drawing>
      </w:r>
    </w:p>
    <w:p w14:paraId="2BC1D240" w14:textId="77777777" w:rsidR="00AD0B60" w:rsidRPr="00976D33" w:rsidRDefault="00AD0B60" w:rsidP="00AD0B60">
      <w:pPr>
        <w:rPr>
          <w:i/>
          <w:sz w:val="16"/>
          <w:szCs w:val="16"/>
        </w:rPr>
      </w:pPr>
      <w:r>
        <w:rPr>
          <w:i/>
          <w:sz w:val="16"/>
        </w:rPr>
        <w:t>Burimi: investing.com and Umweltbundesamt</w:t>
      </w:r>
    </w:p>
    <w:p w14:paraId="45ABAC67" w14:textId="77777777" w:rsidR="00AD0B60" w:rsidRPr="00976D33" w:rsidRDefault="00AD0B60" w:rsidP="00AF7BBF">
      <w:pPr>
        <w:pStyle w:val="Heading3"/>
        <w:numPr>
          <w:ilvl w:val="0"/>
          <w:numId w:val="105"/>
        </w:numPr>
      </w:pPr>
      <w:bookmarkStart w:id="395" w:name="_Toc182302324"/>
      <w:r>
        <w:t>Zhvillimet e kostos së teknologjisë</w:t>
      </w:r>
      <w:bookmarkEnd w:id="395"/>
      <w:r>
        <w:t xml:space="preserve"> </w:t>
      </w:r>
    </w:p>
    <w:p w14:paraId="6601CC60" w14:textId="77777777" w:rsidR="00AD0B60" w:rsidRPr="00976D33" w:rsidRDefault="00AD0B60" w:rsidP="00AD0B60">
      <w:r>
        <w:t xml:space="preserve">Modeli i sistemit të energjisë elektrike dhe ngrohjes përdor kostot financiare për: i) koston e ndërtimit të kapacitetit të ri dhe rivitalizimin e kapacitetit ekzistues (CAPEX për kapacitet të instaluar të MW), kostot fikse vjetore operative dhe të mirëmbajtjes (OPEX fikse për kapacitet të instaluar të MW) dhe kostot operative të ndryshueshme dhe të mirëmbajtjes (OPEX e ndryshueshme për MWh të gjeneruar). Për më tepër, modeli merr parasysh kostot e karburantit me shumicë dhe kostot e kuotave të EU-ETS (shih seksionin e mëparshëm), parametrat teknikë, duke përfshirë efikasitetin e secilës teknologji, dhe kur është e përshtatshme, kufizimet minimale të ngarkesës dhe ngritjes. Të dhënat e kostos teknologjike janë marrë nga burime të ndryshme, duke i dhënë prioritet informacionit të marrë drejtpërdrejt nga palët kosovare të interesit </w:t>
      </w:r>
      <w:r>
        <w:lastRenderedPageBreak/>
        <w:t>(duke përfshirë KEK-un, Termokosin dhe NQ Gjakova) dhe duke e plotësuar këtë me standardet e industrisë të marra nga Qendra e Përbashkët Hulumtuese e Bashkimit Evropian dhe Agjencia Daneze e Energjisë.</w:t>
      </w:r>
      <w:r w:rsidRPr="00976D33">
        <w:rPr>
          <w:rStyle w:val="FootnoteReference"/>
          <w:rFonts w:ascii="Calibri" w:hAnsi="Calibri"/>
          <w:lang w:eastAsia="ja-JP"/>
        </w:rPr>
        <w:footnoteReference w:id="40"/>
      </w:r>
      <w:r>
        <w:t xml:space="preserve"> </w:t>
      </w:r>
    </w:p>
    <w:p w14:paraId="6E0A5A5C" w14:textId="0AC0CF3D" w:rsidR="00AD0B60" w:rsidRPr="00976D33" w:rsidRDefault="00AD0B60" w:rsidP="00AD0B60">
      <w:r>
        <w:t>Rinovimet, përmirësimet dhe mirëmbajtja e planifikuar për Kosovën A dhe B do të ndodhin mes vitit 2025 dhe 2027. Për njësitë 3 dhe 4 të Kosovës A , kapaciteti i instaluar në dispozicion pritet të rritet nga 116 MW në 180 MW secila, me një kosto prej 120-150 milionë euro për njësi, ndërsa për Kosovën B, njësitë 1 dhe 2 pritet të rriten në kapacitetin në dispozicion nga 258 në 272 MW secila, me një kosto totale prej 178 milionë euro.</w:t>
      </w:r>
      <w:r w:rsidRPr="00976D33">
        <w:rPr>
          <w:rStyle w:val="FootnoteReference"/>
          <w:rFonts w:ascii="Calibri" w:hAnsi="Calibri"/>
          <w:lang w:eastAsia="ja-JP"/>
        </w:rPr>
        <w:footnoteReference w:id="41"/>
      </w:r>
      <w:r>
        <w:t xml:space="preserve"> Tabela më poshtë përmbledh CAPEX, OPEX fikse dhe të ndryshueshme për Kosovën A dhe B. Të gjitha njësitë monetare aty janë të shprehura në 2016-EUR.</w:t>
      </w:r>
    </w:p>
    <w:p w14:paraId="1E39734F" w14:textId="2FFFAEB9" w:rsidR="00AD0B60" w:rsidRPr="00976D33" w:rsidRDefault="00AD0B60" w:rsidP="00AD0B60">
      <w:pPr>
        <w:pStyle w:val="Caption"/>
      </w:pPr>
      <w:bookmarkStart w:id="396" w:name="_Toc181867305"/>
      <w:r>
        <w:t xml:space="preserve">Tabela </w:t>
      </w:r>
      <w:r w:rsidRPr="00976D33">
        <w:fldChar w:fldCharType="begin"/>
      </w:r>
      <w:r w:rsidRPr="00976D33">
        <w:instrText>SEQ Table \* ARABIC</w:instrText>
      </w:r>
      <w:r w:rsidRPr="00976D33">
        <w:fldChar w:fldCharType="separate"/>
      </w:r>
      <w:r w:rsidR="003B7FFA">
        <w:rPr>
          <w:noProof/>
        </w:rPr>
        <w:t>12</w:t>
      </w:r>
      <w:r w:rsidRPr="00976D33">
        <w:fldChar w:fldCharType="end"/>
      </w:r>
      <w:r>
        <w:t>. Përmirësimi teknik i Kosovës A dhe B (CAPEX) si dhe kostot operative dhe të mirëmbajtjes deri në vitin 2030</w:t>
      </w:r>
      <w:bookmarkEnd w:id="396"/>
    </w:p>
    <w:tbl>
      <w:tblPr>
        <w:tblStyle w:val="GridTable5DarkAccent100"/>
        <w:tblW w:w="5000" w:type="pct"/>
        <w:tblLook w:val="04A0" w:firstRow="1" w:lastRow="0" w:firstColumn="1" w:lastColumn="0" w:noHBand="0" w:noVBand="1"/>
      </w:tblPr>
      <w:tblGrid>
        <w:gridCol w:w="1925"/>
        <w:gridCol w:w="1970"/>
        <w:gridCol w:w="1970"/>
        <w:gridCol w:w="2035"/>
        <w:gridCol w:w="1664"/>
      </w:tblGrid>
      <w:tr w:rsidR="00AD0B60" w:rsidRPr="00976D33" w14:paraId="3002C9BA" w14:textId="77777777" w:rsidTr="00D87D1C">
        <w:trPr>
          <w:cnfStyle w:val="100000000000" w:firstRow="1" w:lastRow="0" w:firstColumn="0" w:lastColumn="0" w:oddVBand="0" w:evenVBand="0" w:oddHBand="0" w:evenHBand="0" w:firstRowFirstColumn="0" w:firstRowLastColumn="0" w:lastRowFirstColumn="0" w:lastRowLastColumn="0"/>
          <w:trHeight w:hRule="exact" w:val="836"/>
        </w:trPr>
        <w:tc>
          <w:tcPr>
            <w:cnfStyle w:val="001000000000" w:firstRow="0" w:lastRow="0" w:firstColumn="1" w:lastColumn="0" w:oddVBand="0" w:evenVBand="0" w:oddHBand="0" w:evenHBand="0" w:firstRowFirstColumn="0" w:firstRowLastColumn="0" w:lastRowFirstColumn="0" w:lastRowLastColumn="0"/>
            <w:tcW w:w="0" w:type="pct"/>
            <w:vAlign w:val="center"/>
          </w:tcPr>
          <w:p w14:paraId="1D096928" w14:textId="77777777" w:rsidR="00AD0B60" w:rsidRPr="00976D33" w:rsidRDefault="00AD0B60">
            <w:pPr>
              <w:pStyle w:val="Fliesstext"/>
              <w:spacing w:before="0" w:line="240" w:lineRule="auto"/>
              <w:rPr>
                <w:rFonts w:asciiTheme="majorHAnsi" w:hAnsiTheme="majorHAnsi" w:cstheme="majorHAnsi"/>
                <w:sz w:val="18"/>
                <w:szCs w:val="18"/>
              </w:rPr>
            </w:pPr>
            <w:r>
              <w:rPr>
                <w:rFonts w:asciiTheme="majorHAnsi" w:hAnsiTheme="majorHAnsi"/>
                <w:color w:val="FFFFFF" w:themeColor="background1"/>
                <w:sz w:val="18"/>
              </w:rPr>
              <w:t>Njësia</w:t>
            </w:r>
          </w:p>
        </w:tc>
        <w:tc>
          <w:tcPr>
            <w:tcW w:w="0" w:type="pct"/>
            <w:vAlign w:val="center"/>
          </w:tcPr>
          <w:p w14:paraId="0D13D3A3" w14:textId="13621DAB" w:rsidR="00AD0B60" w:rsidRPr="00976D33" w:rsidRDefault="00AD0B60">
            <w:pPr>
              <w:pStyle w:val="Fliesstext"/>
              <w:spacing w:before="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olor w:val="FFFFFF" w:themeColor="background1"/>
                <w:sz w:val="18"/>
              </w:rPr>
              <w:t>CAPEX (gjithsej)</w:t>
            </w:r>
          </w:p>
        </w:tc>
        <w:tc>
          <w:tcPr>
            <w:tcW w:w="0" w:type="pct"/>
            <w:vAlign w:val="center"/>
          </w:tcPr>
          <w:p w14:paraId="4CAADF38" w14:textId="3618D3C2" w:rsidR="00AD0B60" w:rsidRPr="00976D33" w:rsidRDefault="00AD0B60">
            <w:pPr>
              <w:pStyle w:val="Fliesstext"/>
              <w:spacing w:before="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olor w:val="FFFFFF" w:themeColor="background1"/>
                <w:sz w:val="18"/>
              </w:rPr>
              <w:t>OPEX fikse / MW të instaluar</w:t>
            </w:r>
          </w:p>
        </w:tc>
        <w:tc>
          <w:tcPr>
            <w:tcW w:w="0" w:type="pct"/>
            <w:vAlign w:val="center"/>
          </w:tcPr>
          <w:p w14:paraId="52423A5D" w14:textId="77777777" w:rsidR="00AD0B60" w:rsidRPr="00976D33" w:rsidRDefault="00AD0B60">
            <w:pPr>
              <w:pStyle w:val="Fliesstext"/>
              <w:spacing w:before="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olor w:val="FFFFFF" w:themeColor="background1"/>
                <w:sz w:val="18"/>
              </w:rPr>
              <w:t>OPEX të ndryshueshme/ MWh të energjisë elektrike të prodhuar</w:t>
            </w:r>
          </w:p>
        </w:tc>
        <w:tc>
          <w:tcPr>
            <w:tcW w:w="0" w:type="pct"/>
            <w:vAlign w:val="center"/>
          </w:tcPr>
          <w:p w14:paraId="51C5E584" w14:textId="77777777" w:rsidR="00AD0B60" w:rsidRPr="00976D33" w:rsidRDefault="00AD0B60">
            <w:pPr>
              <w:pStyle w:val="Fliesstext"/>
              <w:spacing w:before="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olor w:val="FFFFFF" w:themeColor="background1"/>
                <w:sz w:val="18"/>
              </w:rPr>
              <w:t>Efiçienca elektrike (%)</w:t>
            </w:r>
          </w:p>
        </w:tc>
      </w:tr>
      <w:tr w:rsidR="00AD0B60" w:rsidRPr="00976D33" w14:paraId="4206BB61" w14:textId="7777777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006" w:type="pct"/>
            <w:vAlign w:val="center"/>
          </w:tcPr>
          <w:p w14:paraId="7601B710" w14:textId="77777777" w:rsidR="00AD0B60" w:rsidRPr="00976D33" w:rsidRDefault="00AD0B60">
            <w:pPr>
              <w:pStyle w:val="Fliesstext"/>
              <w:spacing w:before="0" w:line="240" w:lineRule="auto"/>
              <w:rPr>
                <w:rFonts w:asciiTheme="majorHAnsi" w:hAnsiTheme="majorHAnsi" w:cstheme="majorHAnsi"/>
                <w:sz w:val="18"/>
                <w:szCs w:val="18"/>
              </w:rPr>
            </w:pPr>
            <w:r>
              <w:rPr>
                <w:rFonts w:asciiTheme="majorHAnsi" w:hAnsiTheme="majorHAnsi"/>
                <w:sz w:val="18"/>
              </w:rPr>
              <w:t>Kosova A</w:t>
            </w:r>
          </w:p>
        </w:tc>
        <w:tc>
          <w:tcPr>
            <w:tcW w:w="1030" w:type="pct"/>
            <w:vAlign w:val="center"/>
          </w:tcPr>
          <w:p w14:paraId="3AD8E07E" w14:textId="71807A83" w:rsidR="00AD0B60" w:rsidRPr="00976D33" w:rsidRDefault="00AD0B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olor w:val="000000"/>
                <w:sz w:val="18"/>
              </w:rPr>
              <w:t>103-129 milionë</w:t>
            </w:r>
          </w:p>
        </w:tc>
        <w:tc>
          <w:tcPr>
            <w:tcW w:w="1030" w:type="pct"/>
            <w:vAlign w:val="center"/>
          </w:tcPr>
          <w:p w14:paraId="2D290908" w14:textId="77777777" w:rsidR="00AD0B60" w:rsidRPr="00976D33" w:rsidRDefault="00AD0B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olor w:val="000000"/>
                <w:sz w:val="18"/>
              </w:rPr>
              <w:t>31,446</w:t>
            </w:r>
          </w:p>
        </w:tc>
        <w:tc>
          <w:tcPr>
            <w:tcW w:w="1064" w:type="pct"/>
            <w:vAlign w:val="center"/>
          </w:tcPr>
          <w:p w14:paraId="1A4C47C8" w14:textId="68E8E6E7" w:rsidR="00AD0B60" w:rsidRPr="00976D33" w:rsidRDefault="00AD0B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olor w:val="000000"/>
                <w:sz w:val="18"/>
              </w:rPr>
              <w:t>3.15</w:t>
            </w:r>
          </w:p>
        </w:tc>
        <w:tc>
          <w:tcPr>
            <w:tcW w:w="871" w:type="pct"/>
            <w:vAlign w:val="center"/>
          </w:tcPr>
          <w:p w14:paraId="7B6A8F41" w14:textId="77777777" w:rsidR="00AD0B60" w:rsidRPr="00976D33" w:rsidRDefault="00AD0B60">
            <w:pPr>
              <w:pStyle w:val="Fliess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18"/>
                <w:szCs w:val="18"/>
              </w:rPr>
            </w:pPr>
            <w:r>
              <w:rPr>
                <w:rFonts w:asciiTheme="majorHAnsi" w:hAnsiTheme="majorHAnsi"/>
                <w:color w:val="auto"/>
                <w:sz w:val="18"/>
              </w:rPr>
              <w:t>34%</w:t>
            </w:r>
          </w:p>
        </w:tc>
      </w:tr>
      <w:tr w:rsidR="00AD0B60" w:rsidRPr="00976D33" w14:paraId="4126F282" w14:textId="77777777">
        <w:trPr>
          <w:trHeight w:hRule="exact" w:val="397"/>
        </w:trPr>
        <w:tc>
          <w:tcPr>
            <w:cnfStyle w:val="001000000000" w:firstRow="0" w:lastRow="0" w:firstColumn="1" w:lastColumn="0" w:oddVBand="0" w:evenVBand="0" w:oddHBand="0" w:evenHBand="0" w:firstRowFirstColumn="0" w:firstRowLastColumn="0" w:lastRowFirstColumn="0" w:lastRowLastColumn="0"/>
            <w:tcW w:w="1006" w:type="pct"/>
            <w:vAlign w:val="center"/>
          </w:tcPr>
          <w:p w14:paraId="174F615E" w14:textId="77777777" w:rsidR="00AD0B60" w:rsidRPr="00976D33" w:rsidRDefault="00AD0B60">
            <w:pPr>
              <w:pStyle w:val="Fliesstext"/>
              <w:spacing w:before="0" w:line="240" w:lineRule="auto"/>
              <w:rPr>
                <w:rFonts w:asciiTheme="majorHAnsi" w:hAnsiTheme="majorHAnsi" w:cstheme="majorHAnsi"/>
                <w:sz w:val="18"/>
                <w:szCs w:val="18"/>
              </w:rPr>
            </w:pPr>
            <w:r>
              <w:rPr>
                <w:rFonts w:asciiTheme="majorHAnsi" w:hAnsiTheme="majorHAnsi"/>
                <w:sz w:val="18"/>
              </w:rPr>
              <w:t>Kosova B</w:t>
            </w:r>
          </w:p>
        </w:tc>
        <w:tc>
          <w:tcPr>
            <w:tcW w:w="1030" w:type="pct"/>
            <w:vAlign w:val="center"/>
          </w:tcPr>
          <w:p w14:paraId="5B57008E" w14:textId="49EF1ABD" w:rsidR="00AD0B60" w:rsidRPr="00976D33" w:rsidRDefault="00AD0B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olor w:val="000000"/>
                <w:sz w:val="18"/>
              </w:rPr>
              <w:t>153 milionë</w:t>
            </w:r>
          </w:p>
        </w:tc>
        <w:tc>
          <w:tcPr>
            <w:tcW w:w="1030" w:type="pct"/>
            <w:vAlign w:val="center"/>
          </w:tcPr>
          <w:p w14:paraId="33BD2446" w14:textId="77777777" w:rsidR="00AD0B60" w:rsidRPr="00976D33" w:rsidRDefault="00AD0B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olor w:val="000000"/>
                <w:sz w:val="18"/>
              </w:rPr>
              <w:t>31,446</w:t>
            </w:r>
          </w:p>
        </w:tc>
        <w:tc>
          <w:tcPr>
            <w:tcW w:w="1064" w:type="pct"/>
            <w:vAlign w:val="center"/>
          </w:tcPr>
          <w:p w14:paraId="7A255F5A" w14:textId="74E190EF" w:rsidR="00AD0B60" w:rsidRPr="00976D33" w:rsidRDefault="00AD0B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olor w:val="000000"/>
                <w:sz w:val="18"/>
              </w:rPr>
              <w:t>3.15</w:t>
            </w:r>
          </w:p>
        </w:tc>
        <w:tc>
          <w:tcPr>
            <w:tcW w:w="871" w:type="pct"/>
            <w:vAlign w:val="center"/>
          </w:tcPr>
          <w:p w14:paraId="06C7FC4E" w14:textId="77777777" w:rsidR="00AD0B60" w:rsidRPr="00976D33" w:rsidRDefault="00AD0B60">
            <w:pPr>
              <w:pStyle w:val="Fliess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rPr>
            </w:pPr>
            <w:r>
              <w:rPr>
                <w:rFonts w:asciiTheme="majorHAnsi" w:hAnsiTheme="majorHAnsi"/>
                <w:color w:val="auto"/>
                <w:sz w:val="18"/>
              </w:rPr>
              <w:t>40%</w:t>
            </w:r>
          </w:p>
        </w:tc>
      </w:tr>
    </w:tbl>
    <w:p w14:paraId="0E324B95" w14:textId="77777777" w:rsidR="00AD0B60" w:rsidRPr="00976D33" w:rsidRDefault="00AD0B60" w:rsidP="00AD0B60">
      <w:pPr>
        <w:rPr>
          <w:i/>
          <w:sz w:val="16"/>
          <w:szCs w:val="16"/>
        </w:rPr>
      </w:pPr>
      <w:r>
        <w:rPr>
          <w:i/>
          <w:sz w:val="16"/>
        </w:rPr>
        <w:t>Burimi: Ministria e Ekonomisë, KEK, QKT e BE-së</w:t>
      </w:r>
    </w:p>
    <w:p w14:paraId="3A8A4B40" w14:textId="77777777" w:rsidR="00AD0B60" w:rsidRPr="00976D33" w:rsidRDefault="00AD0B60" w:rsidP="00AD0B60">
      <w:pPr>
        <w:rPr>
          <w:i/>
          <w:sz w:val="16"/>
          <w:szCs w:val="16"/>
        </w:rPr>
      </w:pPr>
      <w:r>
        <w:rPr>
          <w:i/>
          <w:sz w:val="16"/>
        </w:rPr>
        <w:t>Shënim: Efiçienca elektrik i referohet projeksionit pas përmirësimit teknik.</w:t>
      </w:r>
    </w:p>
    <w:p w14:paraId="6675B1F6" w14:textId="77777777" w:rsidR="00AD0B60" w:rsidRPr="00976D33" w:rsidRDefault="00AD0B60" w:rsidP="00AD0B60">
      <w:r>
        <w:t>Të njëjtat kategori të kostove përdoren gjithashtu për teknologjitë tjera, duke përfshirë energjinë nga hidrocentralet, panelet solare PV, era, biomasa dhe ruajtja përmes baterive litium-jon. Këto kosto janë paraqitur në tabelën më poshtë.</w:t>
      </w:r>
    </w:p>
    <w:p w14:paraId="4C3910CB" w14:textId="02F5A278" w:rsidR="00AD0B60" w:rsidRPr="00976D33" w:rsidRDefault="00AD0B60" w:rsidP="00AD0B60">
      <w:pPr>
        <w:pStyle w:val="Caption"/>
      </w:pPr>
      <w:bookmarkStart w:id="397" w:name="_Toc181867306"/>
      <w:r>
        <w:t xml:space="preserve">Tabela </w:t>
      </w:r>
      <w:r w:rsidRPr="00976D33">
        <w:fldChar w:fldCharType="begin"/>
      </w:r>
      <w:r w:rsidRPr="00976D33">
        <w:instrText>SEQ Table \* ARABIC</w:instrText>
      </w:r>
      <w:r w:rsidRPr="00976D33">
        <w:fldChar w:fldCharType="separate"/>
      </w:r>
      <w:r w:rsidR="003B7FFA">
        <w:rPr>
          <w:noProof/>
        </w:rPr>
        <w:t>13</w:t>
      </w:r>
      <w:r w:rsidRPr="00976D33">
        <w:fldChar w:fldCharType="end"/>
      </w:r>
      <w:r>
        <w:t>. Kostot tjera teknologjike në periudhën 2025-2030</w:t>
      </w:r>
      <w:bookmarkEnd w:id="397"/>
    </w:p>
    <w:tbl>
      <w:tblPr>
        <w:tblStyle w:val="GridTable5DarkAccent10"/>
        <w:tblW w:w="5000" w:type="pct"/>
        <w:tblLook w:val="04A0" w:firstRow="1" w:lastRow="0" w:firstColumn="1" w:lastColumn="0" w:noHBand="0" w:noVBand="1"/>
      </w:tblPr>
      <w:tblGrid>
        <w:gridCol w:w="2551"/>
        <w:gridCol w:w="1700"/>
        <w:gridCol w:w="1561"/>
        <w:gridCol w:w="1985"/>
        <w:gridCol w:w="1767"/>
      </w:tblGrid>
      <w:tr w:rsidR="00AD0B60" w:rsidRPr="00976D33" w14:paraId="21F97B3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pct"/>
          </w:tcPr>
          <w:p w14:paraId="44462133" w14:textId="77777777" w:rsidR="00AD0B60" w:rsidRPr="00976D33" w:rsidRDefault="00AD0B60">
            <w:pPr>
              <w:pStyle w:val="Fliesstext"/>
              <w:spacing w:before="0" w:line="240" w:lineRule="auto"/>
              <w:rPr>
                <w:rFonts w:asciiTheme="majorHAnsi" w:hAnsiTheme="majorHAnsi" w:cstheme="majorHAnsi"/>
                <w:sz w:val="18"/>
                <w:szCs w:val="18"/>
              </w:rPr>
            </w:pPr>
            <w:r>
              <w:rPr>
                <w:rFonts w:asciiTheme="majorHAnsi" w:hAnsiTheme="majorHAnsi"/>
                <w:color w:val="FFFFFF" w:themeColor="background1"/>
                <w:sz w:val="18"/>
              </w:rPr>
              <w:t>Njësia</w:t>
            </w:r>
          </w:p>
        </w:tc>
        <w:tc>
          <w:tcPr>
            <w:tcW w:w="889" w:type="pct"/>
          </w:tcPr>
          <w:p w14:paraId="5174791E" w14:textId="77777777" w:rsidR="00AD0B60" w:rsidRPr="00976D33" w:rsidRDefault="00AD0B60">
            <w:pPr>
              <w:pStyle w:val="Fliesstext"/>
              <w:spacing w:before="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olor w:val="FFFFFF" w:themeColor="background1"/>
                <w:sz w:val="18"/>
              </w:rPr>
              <w:t>CAPEX / MW të instaluar</w:t>
            </w:r>
          </w:p>
        </w:tc>
        <w:tc>
          <w:tcPr>
            <w:tcW w:w="816" w:type="pct"/>
          </w:tcPr>
          <w:p w14:paraId="7C575AB2" w14:textId="6331448B" w:rsidR="00AD0B60" w:rsidRPr="00976D33" w:rsidRDefault="00AD0B60">
            <w:pPr>
              <w:pStyle w:val="Fliesstext"/>
              <w:spacing w:before="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Pr>
                <w:rFonts w:asciiTheme="majorHAnsi" w:hAnsiTheme="majorHAnsi"/>
                <w:color w:val="FFFFFF" w:themeColor="background1"/>
                <w:sz w:val="18"/>
              </w:rPr>
              <w:t>OPEX fikse / MW të instaluar</w:t>
            </w:r>
          </w:p>
        </w:tc>
        <w:tc>
          <w:tcPr>
            <w:tcW w:w="1038" w:type="pct"/>
          </w:tcPr>
          <w:p w14:paraId="3E3F66F6" w14:textId="77777777" w:rsidR="00AD0B60" w:rsidRPr="00976D33" w:rsidRDefault="00AD0B60">
            <w:pPr>
              <w:pStyle w:val="Fliesstext"/>
              <w:spacing w:before="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Pr>
                <w:rFonts w:asciiTheme="majorHAnsi" w:hAnsiTheme="majorHAnsi"/>
                <w:color w:val="FFFFFF" w:themeColor="background1"/>
                <w:sz w:val="18"/>
              </w:rPr>
              <w:t>OPEX të ndryshueshme/ MWh të energjisë elektrike të prodhuar</w:t>
            </w:r>
          </w:p>
        </w:tc>
        <w:tc>
          <w:tcPr>
            <w:tcW w:w="925" w:type="pct"/>
          </w:tcPr>
          <w:p w14:paraId="215DAE6E" w14:textId="77777777" w:rsidR="00AD0B60" w:rsidRPr="00976D33" w:rsidRDefault="00AD0B60">
            <w:pPr>
              <w:pStyle w:val="Fliesstext"/>
              <w:spacing w:before="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olor w:val="FFFFFF" w:themeColor="background1"/>
                <w:sz w:val="18"/>
              </w:rPr>
              <w:t>Efiçienca elektrike (%)</w:t>
            </w:r>
          </w:p>
        </w:tc>
      </w:tr>
      <w:tr w:rsidR="00AD0B60" w:rsidRPr="00976D33" w14:paraId="7B651CDE" w14:textId="77777777" w:rsidTr="006E6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pct"/>
            <w:vAlign w:val="center"/>
          </w:tcPr>
          <w:p w14:paraId="7AF9C5B9" w14:textId="77777777" w:rsidR="00AD0B60" w:rsidRPr="00976D33" w:rsidRDefault="00AD0B60">
            <w:pPr>
              <w:pStyle w:val="Fliesstext"/>
              <w:spacing w:before="0" w:line="240" w:lineRule="auto"/>
              <w:rPr>
                <w:rFonts w:asciiTheme="majorHAnsi" w:hAnsiTheme="majorHAnsi" w:cstheme="majorHAnsi"/>
                <w:color w:val="FFFFFF" w:themeColor="background1"/>
                <w:sz w:val="18"/>
                <w:szCs w:val="18"/>
              </w:rPr>
            </w:pPr>
            <w:r>
              <w:rPr>
                <w:rFonts w:asciiTheme="majorHAnsi" w:hAnsiTheme="majorHAnsi"/>
                <w:color w:val="FFFFFF" w:themeColor="background1"/>
                <w:sz w:val="18"/>
              </w:rPr>
              <w:t>Panelet solare PV (shërbimi-shkalla)</w:t>
            </w:r>
          </w:p>
        </w:tc>
        <w:tc>
          <w:tcPr>
            <w:tcW w:w="0" w:type="pct"/>
          </w:tcPr>
          <w:p w14:paraId="5B233FFE" w14:textId="741F69C0" w:rsidR="00AD0B60" w:rsidRPr="00976D33" w:rsidRDefault="00AD0B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18"/>
                <w:szCs w:val="18"/>
              </w:rPr>
            </w:pPr>
            <w:r>
              <w:t xml:space="preserve"> 448,395 </w:t>
            </w:r>
          </w:p>
        </w:tc>
        <w:tc>
          <w:tcPr>
            <w:tcW w:w="0" w:type="pct"/>
          </w:tcPr>
          <w:p w14:paraId="725AE1CA" w14:textId="7428E21C" w:rsidR="00AD0B60" w:rsidRPr="00976D33" w:rsidRDefault="00AD0B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18"/>
                <w:szCs w:val="18"/>
              </w:rPr>
            </w:pPr>
            <w:r>
              <w:t xml:space="preserve"> 9,922 </w:t>
            </w:r>
          </w:p>
        </w:tc>
        <w:tc>
          <w:tcPr>
            <w:tcW w:w="0" w:type="pct"/>
          </w:tcPr>
          <w:p w14:paraId="2394FF84" w14:textId="5F7733A5" w:rsidR="00AD0B60" w:rsidRPr="00976D33" w:rsidRDefault="00AD0B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18"/>
                <w:szCs w:val="18"/>
              </w:rPr>
            </w:pPr>
            <w:r>
              <w:t>n.a.</w:t>
            </w:r>
          </w:p>
        </w:tc>
        <w:tc>
          <w:tcPr>
            <w:tcW w:w="925" w:type="pct"/>
          </w:tcPr>
          <w:p w14:paraId="261B2B9E" w14:textId="7B053B4C" w:rsidR="00AD0B60" w:rsidRPr="00976D33" w:rsidRDefault="00AD0B60">
            <w:pPr>
              <w:pStyle w:val="Fliess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F0D29" w:themeColor="text1"/>
                <w:sz w:val="18"/>
                <w:szCs w:val="18"/>
              </w:rPr>
            </w:pPr>
            <w:r>
              <w:rPr>
                <w:color w:val="0F0D29" w:themeColor="text1"/>
              </w:rPr>
              <w:t>100%</w:t>
            </w:r>
          </w:p>
        </w:tc>
      </w:tr>
      <w:tr w:rsidR="00AD0B60" w:rsidRPr="00976D33" w14:paraId="5241A877" w14:textId="77777777" w:rsidTr="006E6E51">
        <w:tc>
          <w:tcPr>
            <w:cnfStyle w:val="001000000000" w:firstRow="0" w:lastRow="0" w:firstColumn="1" w:lastColumn="0" w:oddVBand="0" w:evenVBand="0" w:oddHBand="0" w:evenHBand="0" w:firstRowFirstColumn="0" w:firstRowLastColumn="0" w:lastRowFirstColumn="0" w:lastRowLastColumn="0"/>
            <w:tcW w:w="1333" w:type="pct"/>
            <w:vAlign w:val="center"/>
          </w:tcPr>
          <w:p w14:paraId="711173FF" w14:textId="77777777" w:rsidR="00AD0B60" w:rsidRPr="00976D33" w:rsidRDefault="00AD0B60">
            <w:pPr>
              <w:pStyle w:val="Fliesstext"/>
              <w:spacing w:before="0" w:line="240" w:lineRule="auto"/>
              <w:rPr>
                <w:rFonts w:asciiTheme="majorHAnsi" w:hAnsiTheme="majorHAnsi" w:cstheme="majorHAnsi"/>
                <w:color w:val="FFFFFF" w:themeColor="background1"/>
                <w:sz w:val="18"/>
                <w:szCs w:val="18"/>
              </w:rPr>
            </w:pPr>
            <w:r>
              <w:rPr>
                <w:rFonts w:asciiTheme="majorHAnsi" w:hAnsiTheme="majorHAnsi"/>
                <w:color w:val="FFFFFF" w:themeColor="background1"/>
                <w:sz w:val="18"/>
              </w:rPr>
              <w:t>Panelet solare PV (çati)</w:t>
            </w:r>
          </w:p>
        </w:tc>
        <w:tc>
          <w:tcPr>
            <w:tcW w:w="0" w:type="pct"/>
          </w:tcPr>
          <w:p w14:paraId="459BE783" w14:textId="12C0C434" w:rsidR="00AD0B60" w:rsidRPr="00976D33" w:rsidRDefault="00AD0B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rPr>
            </w:pPr>
            <w:r>
              <w:t xml:space="preserve"> 992,194 </w:t>
            </w:r>
          </w:p>
        </w:tc>
        <w:tc>
          <w:tcPr>
            <w:tcW w:w="0" w:type="pct"/>
          </w:tcPr>
          <w:p w14:paraId="090D5965" w14:textId="0833C075" w:rsidR="00AD0B60" w:rsidRPr="00976D33" w:rsidRDefault="00AD0B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rPr>
            </w:pPr>
            <w:r>
              <w:t xml:space="preserve"> 11,496 </w:t>
            </w:r>
          </w:p>
        </w:tc>
        <w:tc>
          <w:tcPr>
            <w:tcW w:w="0" w:type="pct"/>
          </w:tcPr>
          <w:p w14:paraId="602B3222" w14:textId="446AF982" w:rsidR="00AD0B60" w:rsidRPr="00976D33" w:rsidRDefault="00AD0B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rPr>
            </w:pPr>
            <w:r>
              <w:t>n.a.</w:t>
            </w:r>
          </w:p>
        </w:tc>
        <w:tc>
          <w:tcPr>
            <w:tcW w:w="925" w:type="pct"/>
          </w:tcPr>
          <w:p w14:paraId="742F3643" w14:textId="56F2C21F" w:rsidR="00AD0B60" w:rsidRPr="00976D33" w:rsidRDefault="00AD0B60">
            <w:pPr>
              <w:pStyle w:val="Fliess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F0D29" w:themeColor="text1"/>
                <w:sz w:val="18"/>
                <w:szCs w:val="18"/>
              </w:rPr>
            </w:pPr>
            <w:r>
              <w:rPr>
                <w:color w:val="0F0D29" w:themeColor="text1"/>
              </w:rPr>
              <w:t>100%</w:t>
            </w:r>
          </w:p>
        </w:tc>
      </w:tr>
      <w:tr w:rsidR="00AD0B60" w:rsidRPr="00976D33" w14:paraId="65629D5E" w14:textId="77777777" w:rsidTr="006E6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pct"/>
            <w:vAlign w:val="center"/>
          </w:tcPr>
          <w:p w14:paraId="3BE8CE73" w14:textId="77777777" w:rsidR="00AD0B60" w:rsidRPr="00976D33" w:rsidRDefault="00AD0B60">
            <w:pPr>
              <w:pStyle w:val="Fliesstext"/>
              <w:spacing w:before="0" w:line="240" w:lineRule="auto"/>
              <w:rPr>
                <w:rFonts w:asciiTheme="majorHAnsi" w:hAnsiTheme="majorHAnsi" w:cstheme="majorHAnsi"/>
                <w:color w:val="FFFFFF" w:themeColor="background1"/>
                <w:sz w:val="18"/>
                <w:szCs w:val="18"/>
              </w:rPr>
            </w:pPr>
            <w:r>
              <w:rPr>
                <w:rFonts w:asciiTheme="majorHAnsi" w:hAnsiTheme="majorHAnsi"/>
                <w:color w:val="FFFFFF" w:themeColor="background1"/>
                <w:sz w:val="18"/>
              </w:rPr>
              <w:t>Era në tokë</w:t>
            </w:r>
          </w:p>
        </w:tc>
        <w:tc>
          <w:tcPr>
            <w:tcW w:w="0" w:type="pct"/>
          </w:tcPr>
          <w:p w14:paraId="6D44D6DC" w14:textId="3A0E0D8F" w:rsidR="00AD0B60" w:rsidRPr="00976D33" w:rsidRDefault="00AD0B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18"/>
                <w:szCs w:val="18"/>
              </w:rPr>
            </w:pPr>
            <w:r>
              <w:t xml:space="preserve"> 1,125,759 </w:t>
            </w:r>
          </w:p>
        </w:tc>
        <w:tc>
          <w:tcPr>
            <w:tcW w:w="0" w:type="pct"/>
          </w:tcPr>
          <w:p w14:paraId="04F3A1E6" w14:textId="482AE8D0" w:rsidR="00AD0B60" w:rsidRPr="00976D33" w:rsidRDefault="00AD0B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18"/>
                <w:szCs w:val="18"/>
              </w:rPr>
            </w:pPr>
            <w:r>
              <w:t xml:space="preserve"> 16,587 </w:t>
            </w:r>
          </w:p>
        </w:tc>
        <w:tc>
          <w:tcPr>
            <w:tcW w:w="0" w:type="pct"/>
          </w:tcPr>
          <w:p w14:paraId="11969E4B" w14:textId="31324071" w:rsidR="00AD0B60" w:rsidRPr="00976D33" w:rsidRDefault="00AD0B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18"/>
                <w:szCs w:val="18"/>
              </w:rPr>
            </w:pPr>
            <w:r>
              <w:t>1.97</w:t>
            </w:r>
          </w:p>
        </w:tc>
        <w:tc>
          <w:tcPr>
            <w:tcW w:w="925" w:type="pct"/>
          </w:tcPr>
          <w:p w14:paraId="5A435D64" w14:textId="6FDEF076" w:rsidR="00AD0B60" w:rsidRPr="00976D33" w:rsidRDefault="00AD0B60">
            <w:pPr>
              <w:pStyle w:val="Fliess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F0D29" w:themeColor="text1"/>
                <w:sz w:val="18"/>
                <w:szCs w:val="18"/>
              </w:rPr>
            </w:pPr>
            <w:r>
              <w:rPr>
                <w:color w:val="0F0D29" w:themeColor="text1"/>
              </w:rPr>
              <w:t>100%</w:t>
            </w:r>
          </w:p>
        </w:tc>
      </w:tr>
      <w:tr w:rsidR="00AD0B60" w:rsidRPr="00976D33" w14:paraId="20E44C07" w14:textId="77777777" w:rsidTr="006E6E51">
        <w:tc>
          <w:tcPr>
            <w:cnfStyle w:val="001000000000" w:firstRow="0" w:lastRow="0" w:firstColumn="1" w:lastColumn="0" w:oddVBand="0" w:evenVBand="0" w:oddHBand="0" w:evenHBand="0" w:firstRowFirstColumn="0" w:firstRowLastColumn="0" w:lastRowFirstColumn="0" w:lastRowLastColumn="0"/>
            <w:tcW w:w="1333" w:type="pct"/>
            <w:vAlign w:val="center"/>
          </w:tcPr>
          <w:p w14:paraId="133C0966" w14:textId="77777777" w:rsidR="00AD0B60" w:rsidRPr="00976D33" w:rsidRDefault="00AD0B60">
            <w:pPr>
              <w:spacing w:before="0" w:after="0" w:line="240" w:lineRule="auto"/>
              <w:jc w:val="left"/>
              <w:rPr>
                <w:rFonts w:asciiTheme="majorHAnsi" w:hAnsiTheme="majorHAnsi" w:cstheme="majorHAnsi"/>
                <w:color w:val="FFFFFF" w:themeColor="background1"/>
                <w:sz w:val="18"/>
                <w:szCs w:val="18"/>
              </w:rPr>
            </w:pPr>
            <w:r>
              <w:rPr>
                <w:rFonts w:asciiTheme="majorHAnsi" w:hAnsiTheme="majorHAnsi"/>
                <w:color w:val="FFFFFF" w:themeColor="background1"/>
                <w:sz w:val="18"/>
              </w:rPr>
              <w:t>Ruajtja përmes baterive li-ion</w:t>
            </w:r>
          </w:p>
        </w:tc>
        <w:tc>
          <w:tcPr>
            <w:tcW w:w="0" w:type="pct"/>
          </w:tcPr>
          <w:p w14:paraId="01415744" w14:textId="56BBCEA9" w:rsidR="00AD0B60" w:rsidRPr="00976D33" w:rsidRDefault="00AD0B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rPr>
            </w:pPr>
            <w:r>
              <w:t xml:space="preserve"> 822,601 </w:t>
            </w:r>
          </w:p>
        </w:tc>
        <w:tc>
          <w:tcPr>
            <w:tcW w:w="0" w:type="pct"/>
          </w:tcPr>
          <w:p w14:paraId="42BD6A93" w14:textId="7DF40388" w:rsidR="00AD0B60" w:rsidRPr="00976D33" w:rsidRDefault="00AD0B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rPr>
            </w:pPr>
            <w:r>
              <w:t xml:space="preserve"> 20,565 </w:t>
            </w:r>
          </w:p>
        </w:tc>
        <w:tc>
          <w:tcPr>
            <w:tcW w:w="0" w:type="pct"/>
          </w:tcPr>
          <w:p w14:paraId="77AE5CF2" w14:textId="153865F4" w:rsidR="00AD0B60" w:rsidRPr="00976D33" w:rsidRDefault="00AD0B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rPr>
            </w:pPr>
            <w:r>
              <w:t>n.a.</w:t>
            </w:r>
          </w:p>
        </w:tc>
        <w:tc>
          <w:tcPr>
            <w:tcW w:w="925" w:type="pct"/>
          </w:tcPr>
          <w:p w14:paraId="7730A985" w14:textId="2FAC0AB2" w:rsidR="00AD0B60" w:rsidRPr="00976D33" w:rsidRDefault="00AD0B60">
            <w:pPr>
              <w:pStyle w:val="Fliess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F0D29" w:themeColor="text1"/>
                <w:sz w:val="18"/>
                <w:szCs w:val="18"/>
              </w:rPr>
            </w:pPr>
            <w:r>
              <w:rPr>
                <w:color w:val="0F0D29" w:themeColor="text1"/>
              </w:rPr>
              <w:t>85% (kthyese)</w:t>
            </w:r>
          </w:p>
        </w:tc>
      </w:tr>
      <w:tr w:rsidR="00AD0B60" w:rsidRPr="00976D33" w14:paraId="00F8142E" w14:textId="77777777" w:rsidTr="006E6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pct"/>
            <w:vAlign w:val="center"/>
          </w:tcPr>
          <w:p w14:paraId="714573FE" w14:textId="76232C52" w:rsidR="00AD0B60" w:rsidRPr="00976D33" w:rsidRDefault="00AD0B60">
            <w:pPr>
              <w:pStyle w:val="Fliesstext"/>
              <w:spacing w:before="0" w:line="240" w:lineRule="auto"/>
              <w:rPr>
                <w:rFonts w:asciiTheme="majorHAnsi" w:hAnsiTheme="majorHAnsi" w:cstheme="majorHAnsi"/>
                <w:color w:val="FFFFFF" w:themeColor="background1"/>
                <w:sz w:val="18"/>
                <w:szCs w:val="18"/>
              </w:rPr>
            </w:pPr>
            <w:r>
              <w:rPr>
                <w:rFonts w:asciiTheme="majorHAnsi" w:hAnsiTheme="majorHAnsi"/>
                <w:color w:val="FFFFFF" w:themeColor="background1"/>
                <w:sz w:val="18"/>
              </w:rPr>
              <w:t>Biomasa (copëza druri)</w:t>
            </w:r>
          </w:p>
        </w:tc>
        <w:tc>
          <w:tcPr>
            <w:tcW w:w="0" w:type="pct"/>
          </w:tcPr>
          <w:p w14:paraId="107FD41B" w14:textId="3E6847F1" w:rsidR="00AD0B60" w:rsidRPr="00976D33" w:rsidRDefault="00AD0B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18"/>
                <w:szCs w:val="18"/>
              </w:rPr>
            </w:pPr>
            <w:r>
              <w:t xml:space="preserve"> 3,496,530 </w:t>
            </w:r>
          </w:p>
        </w:tc>
        <w:tc>
          <w:tcPr>
            <w:tcW w:w="0" w:type="pct"/>
          </w:tcPr>
          <w:p w14:paraId="12F8DAF7" w14:textId="419CAFA8" w:rsidR="00AD0B60" w:rsidRPr="00976D33" w:rsidRDefault="00AD0B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18"/>
                <w:szCs w:val="18"/>
              </w:rPr>
            </w:pPr>
            <w:r>
              <w:t xml:space="preserve"> 146,594 </w:t>
            </w:r>
          </w:p>
        </w:tc>
        <w:tc>
          <w:tcPr>
            <w:tcW w:w="0" w:type="pct"/>
          </w:tcPr>
          <w:p w14:paraId="6FF4F052" w14:textId="330BA855" w:rsidR="00AD0B60" w:rsidRPr="00976D33" w:rsidRDefault="00AD0B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18"/>
                <w:szCs w:val="18"/>
              </w:rPr>
            </w:pPr>
            <w:r>
              <w:t>4.54</w:t>
            </w:r>
          </w:p>
        </w:tc>
        <w:tc>
          <w:tcPr>
            <w:tcW w:w="925" w:type="pct"/>
          </w:tcPr>
          <w:p w14:paraId="22B47BA4" w14:textId="614598B9" w:rsidR="00AD0B60" w:rsidRPr="00976D33" w:rsidRDefault="00AD0B60">
            <w:pPr>
              <w:pStyle w:val="Fliess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F0D29" w:themeColor="text1"/>
                <w:sz w:val="18"/>
                <w:szCs w:val="18"/>
              </w:rPr>
            </w:pPr>
            <w:r>
              <w:rPr>
                <w:color w:val="0F0D29" w:themeColor="text1"/>
              </w:rPr>
              <w:t>34%</w:t>
            </w:r>
          </w:p>
        </w:tc>
      </w:tr>
      <w:tr w:rsidR="00AD0B60" w:rsidRPr="00976D33" w14:paraId="786D1CBA" w14:textId="77777777" w:rsidTr="006E6E51">
        <w:tc>
          <w:tcPr>
            <w:cnfStyle w:val="001000000000" w:firstRow="0" w:lastRow="0" w:firstColumn="1" w:lastColumn="0" w:oddVBand="0" w:evenVBand="0" w:oddHBand="0" w:evenHBand="0" w:firstRowFirstColumn="0" w:firstRowLastColumn="0" w:lastRowFirstColumn="0" w:lastRowLastColumn="0"/>
            <w:tcW w:w="1333" w:type="pct"/>
            <w:vAlign w:val="center"/>
          </w:tcPr>
          <w:p w14:paraId="482AD4C5" w14:textId="77777777" w:rsidR="00AD0B60" w:rsidRPr="00976D33" w:rsidRDefault="00AD0B60">
            <w:pPr>
              <w:pStyle w:val="Fliesstext"/>
              <w:spacing w:before="0" w:line="240" w:lineRule="auto"/>
              <w:rPr>
                <w:rFonts w:asciiTheme="majorHAnsi" w:hAnsiTheme="majorHAnsi" w:cstheme="majorHAnsi"/>
                <w:color w:val="FFFFFF" w:themeColor="background1"/>
                <w:sz w:val="18"/>
                <w:szCs w:val="18"/>
              </w:rPr>
            </w:pPr>
            <w:r>
              <w:rPr>
                <w:rFonts w:asciiTheme="majorHAnsi" w:hAnsiTheme="majorHAnsi"/>
                <w:color w:val="FFFFFF" w:themeColor="background1"/>
                <w:sz w:val="18"/>
              </w:rPr>
              <w:t>Hidrocentrali i rrjedhës së lumit</w:t>
            </w:r>
          </w:p>
        </w:tc>
        <w:tc>
          <w:tcPr>
            <w:tcW w:w="0" w:type="pct"/>
          </w:tcPr>
          <w:p w14:paraId="2E315BEA" w14:textId="4600D4DD" w:rsidR="00AD0B60" w:rsidRPr="00976D33" w:rsidRDefault="00AD0B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rPr>
            </w:pPr>
            <w:r>
              <w:t xml:space="preserve"> 2,424,670 </w:t>
            </w:r>
          </w:p>
        </w:tc>
        <w:tc>
          <w:tcPr>
            <w:tcW w:w="0" w:type="pct"/>
          </w:tcPr>
          <w:p w14:paraId="369FF6DA" w14:textId="28F2EC17" w:rsidR="00AD0B60" w:rsidRPr="00976D33" w:rsidRDefault="00AD0B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rPr>
            </w:pPr>
            <w:r>
              <w:t xml:space="preserve"> 21,822 </w:t>
            </w:r>
          </w:p>
        </w:tc>
        <w:tc>
          <w:tcPr>
            <w:tcW w:w="0" w:type="pct"/>
          </w:tcPr>
          <w:p w14:paraId="31CDD0AE" w14:textId="0A5804FA" w:rsidR="00AD0B60" w:rsidRPr="00976D33" w:rsidRDefault="00AD0B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rPr>
            </w:pPr>
            <w:r>
              <w:t>0.9</w:t>
            </w:r>
          </w:p>
        </w:tc>
        <w:tc>
          <w:tcPr>
            <w:tcW w:w="925" w:type="pct"/>
          </w:tcPr>
          <w:p w14:paraId="3FCB61A0" w14:textId="6DC39D65" w:rsidR="00AD0B60" w:rsidRPr="00976D33" w:rsidRDefault="00AD0B60">
            <w:pPr>
              <w:pStyle w:val="Fliess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F0D29" w:themeColor="text1"/>
                <w:sz w:val="18"/>
                <w:szCs w:val="18"/>
              </w:rPr>
            </w:pPr>
            <w:r>
              <w:rPr>
                <w:color w:val="0F0D29" w:themeColor="text1"/>
              </w:rPr>
              <w:t>100%</w:t>
            </w:r>
          </w:p>
        </w:tc>
      </w:tr>
      <w:tr w:rsidR="00AD0B60" w:rsidRPr="00976D33" w14:paraId="32F2EFDB" w14:textId="77777777" w:rsidTr="006E6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pct"/>
            <w:vAlign w:val="center"/>
          </w:tcPr>
          <w:p w14:paraId="0CF3F11A" w14:textId="77777777" w:rsidR="00AD0B60" w:rsidRPr="00976D33" w:rsidRDefault="00AD0B60">
            <w:pPr>
              <w:pStyle w:val="Fliesstext"/>
              <w:spacing w:before="0" w:line="240" w:lineRule="auto"/>
              <w:rPr>
                <w:rFonts w:asciiTheme="majorHAnsi" w:hAnsiTheme="majorHAnsi" w:cstheme="majorHAnsi"/>
                <w:color w:val="FFFFFF" w:themeColor="background1"/>
                <w:sz w:val="18"/>
                <w:szCs w:val="18"/>
              </w:rPr>
            </w:pPr>
            <w:r>
              <w:rPr>
                <w:rFonts w:asciiTheme="majorHAnsi" w:hAnsiTheme="majorHAnsi"/>
                <w:color w:val="FFFFFF" w:themeColor="background1"/>
                <w:sz w:val="18"/>
              </w:rPr>
              <w:t>Rezervuari i hidrocentralit</w:t>
            </w:r>
          </w:p>
        </w:tc>
        <w:tc>
          <w:tcPr>
            <w:tcW w:w="0" w:type="pct"/>
          </w:tcPr>
          <w:p w14:paraId="05752AB8" w14:textId="047A1CD6" w:rsidR="00AD0B60" w:rsidRPr="00976D33" w:rsidRDefault="00AD0B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18"/>
                <w:szCs w:val="18"/>
              </w:rPr>
            </w:pPr>
            <w:r>
              <w:t xml:space="preserve"> 3,152,071 </w:t>
            </w:r>
          </w:p>
        </w:tc>
        <w:tc>
          <w:tcPr>
            <w:tcW w:w="0" w:type="pct"/>
          </w:tcPr>
          <w:p w14:paraId="7AF49820" w14:textId="5BB0FC02" w:rsidR="00AD0B60" w:rsidRPr="00976D33" w:rsidRDefault="00AD0B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18"/>
                <w:szCs w:val="18"/>
              </w:rPr>
            </w:pPr>
            <w:r>
              <w:t xml:space="preserve"> 28,894 </w:t>
            </w:r>
          </w:p>
        </w:tc>
        <w:tc>
          <w:tcPr>
            <w:tcW w:w="0" w:type="pct"/>
          </w:tcPr>
          <w:p w14:paraId="147D082D" w14:textId="2FC0B065" w:rsidR="00AD0B60" w:rsidRPr="00976D33" w:rsidRDefault="00AD0B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18"/>
                <w:szCs w:val="18"/>
              </w:rPr>
            </w:pPr>
            <w:r>
              <w:t>0.9</w:t>
            </w:r>
          </w:p>
        </w:tc>
        <w:tc>
          <w:tcPr>
            <w:tcW w:w="925" w:type="pct"/>
          </w:tcPr>
          <w:p w14:paraId="1BAF6644" w14:textId="0E3BDA1A" w:rsidR="00AD0B60" w:rsidRPr="00976D33" w:rsidRDefault="00AD0B60">
            <w:pPr>
              <w:pStyle w:val="Fliess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F0D29" w:themeColor="text1"/>
                <w:sz w:val="18"/>
                <w:szCs w:val="18"/>
              </w:rPr>
            </w:pPr>
            <w:r>
              <w:rPr>
                <w:color w:val="0F0D29" w:themeColor="text1"/>
              </w:rPr>
              <w:t>100%</w:t>
            </w:r>
          </w:p>
        </w:tc>
      </w:tr>
    </w:tbl>
    <w:p w14:paraId="2CE88465" w14:textId="292ACEE5" w:rsidR="00AD0B60" w:rsidRPr="00976D33" w:rsidRDefault="00AD0B60" w:rsidP="00AD0B60">
      <w:pPr>
        <w:rPr>
          <w:rFonts w:ascii="Calibri" w:hAnsi="Calibri"/>
          <w:i/>
          <w:sz w:val="18"/>
          <w:szCs w:val="18"/>
        </w:rPr>
      </w:pPr>
      <w:r>
        <w:rPr>
          <w:i/>
          <w:sz w:val="16"/>
        </w:rPr>
        <w:t>Burimi: Agjencia Daneze e Energjisë, QKT e BE-së, NREL</w:t>
      </w:r>
    </w:p>
    <w:p w14:paraId="6F2BD661" w14:textId="77777777" w:rsidR="00AD0B60" w:rsidRDefault="00AD0B60" w:rsidP="00AD0B60">
      <w:r>
        <w:t>Së fundi, priten shtesa të rëndësishme edhe për sa i përket sektorit të ngrohjes qendrore, me shtimin e disa teknologjive në Prishtinë dhe Gjakovë ndërmjet viteve 2021 dhe 2030. Këto teknologji dhe kosto, kur janë të disponueshme, janë paraqitur në tabelën e mëposhtme.</w:t>
      </w:r>
    </w:p>
    <w:p w14:paraId="34E50F45" w14:textId="77777777" w:rsidR="00A7174D" w:rsidRDefault="00A7174D" w:rsidP="00AD0B60"/>
    <w:p w14:paraId="56652DD2" w14:textId="77777777" w:rsidR="00A7174D" w:rsidRDefault="00A7174D" w:rsidP="00AD0B60"/>
    <w:p w14:paraId="23CDAB96" w14:textId="77777777" w:rsidR="00A7174D" w:rsidRPr="00976D33" w:rsidRDefault="00A7174D" w:rsidP="00AD0B60"/>
    <w:p w14:paraId="504706A8" w14:textId="119666DF" w:rsidR="00AD0B60" w:rsidRPr="00976D33" w:rsidRDefault="00AD0B60" w:rsidP="00AD0B60">
      <w:pPr>
        <w:pStyle w:val="Caption"/>
      </w:pPr>
      <w:bookmarkStart w:id="398" w:name="_Toc181867307"/>
      <w:r>
        <w:lastRenderedPageBreak/>
        <w:t xml:space="preserve">Tabela </w:t>
      </w:r>
      <w:r w:rsidRPr="00976D33">
        <w:fldChar w:fldCharType="begin"/>
      </w:r>
      <w:r w:rsidRPr="00976D33">
        <w:instrText>SEQ Table \* ARABIC</w:instrText>
      </w:r>
      <w:r w:rsidRPr="00976D33">
        <w:fldChar w:fldCharType="separate"/>
      </w:r>
      <w:r w:rsidR="003B7FFA">
        <w:rPr>
          <w:noProof/>
        </w:rPr>
        <w:t>14</w:t>
      </w:r>
      <w:r w:rsidRPr="00976D33">
        <w:fldChar w:fldCharType="end"/>
      </w:r>
      <w:r>
        <w:t>. Kostot e teknologjisë së ngrohjes qendrore në periudhën 2025-2030 (pa asetet ekzistuese deri në vitin 2021)</w:t>
      </w:r>
      <w:bookmarkEnd w:id="398"/>
    </w:p>
    <w:tbl>
      <w:tblPr>
        <w:tblStyle w:val="GridTable5DarkAccent100"/>
        <w:tblW w:w="5000" w:type="pct"/>
        <w:tblLook w:val="04A0" w:firstRow="1" w:lastRow="0" w:firstColumn="1" w:lastColumn="0" w:noHBand="0" w:noVBand="1"/>
      </w:tblPr>
      <w:tblGrid>
        <w:gridCol w:w="2874"/>
        <w:gridCol w:w="1261"/>
        <w:gridCol w:w="1261"/>
        <w:gridCol w:w="1708"/>
        <w:gridCol w:w="1083"/>
        <w:gridCol w:w="1377"/>
      </w:tblGrid>
      <w:tr w:rsidR="00AD0B60" w:rsidRPr="00976D33" w14:paraId="6630668D" w14:textId="77777777" w:rsidTr="00AE0481">
        <w:trPr>
          <w:cnfStyle w:val="100000000000" w:firstRow="1" w:lastRow="0" w:firstColumn="0" w:lastColumn="0" w:oddVBand="0" w:evenVBand="0" w:oddHBand="0"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1503" w:type="pct"/>
          </w:tcPr>
          <w:p w14:paraId="4FD73731" w14:textId="77777777" w:rsidR="00AD0B60" w:rsidRPr="00976D33" w:rsidRDefault="00AD0B60">
            <w:pPr>
              <w:pStyle w:val="Fliesstext"/>
              <w:spacing w:before="0" w:line="240" w:lineRule="auto"/>
              <w:rPr>
                <w:rFonts w:asciiTheme="majorHAnsi" w:hAnsiTheme="majorHAnsi" w:cstheme="majorHAnsi"/>
                <w:sz w:val="18"/>
                <w:szCs w:val="18"/>
              </w:rPr>
            </w:pPr>
            <w:r>
              <w:rPr>
                <w:rFonts w:asciiTheme="majorHAnsi" w:hAnsiTheme="majorHAnsi"/>
                <w:color w:val="FFFFFF" w:themeColor="background1"/>
                <w:sz w:val="18"/>
              </w:rPr>
              <w:t>Njësia</w:t>
            </w:r>
          </w:p>
        </w:tc>
        <w:tc>
          <w:tcPr>
            <w:tcW w:w="659" w:type="pct"/>
          </w:tcPr>
          <w:p w14:paraId="0E6D3CAE" w14:textId="77777777" w:rsidR="00AD0B60" w:rsidRPr="00976D33" w:rsidRDefault="00AD0B60">
            <w:pPr>
              <w:pStyle w:val="Fliesstext"/>
              <w:spacing w:before="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olor w:val="FFFFFF" w:themeColor="background1"/>
                <w:sz w:val="18"/>
              </w:rPr>
              <w:t>CAPEX / MW të instaluar</w:t>
            </w:r>
          </w:p>
        </w:tc>
        <w:tc>
          <w:tcPr>
            <w:tcW w:w="659" w:type="pct"/>
          </w:tcPr>
          <w:p w14:paraId="0FBD8594" w14:textId="77777777" w:rsidR="00AD0B60" w:rsidRPr="00976D33" w:rsidRDefault="00AD0B60">
            <w:pPr>
              <w:pStyle w:val="Fliesstext"/>
              <w:spacing w:before="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olor w:val="FFFFFF" w:themeColor="background1"/>
                <w:sz w:val="18"/>
              </w:rPr>
              <w:t>OPEX fikse / MW të instaluar</w:t>
            </w:r>
          </w:p>
        </w:tc>
        <w:tc>
          <w:tcPr>
            <w:tcW w:w="893" w:type="pct"/>
          </w:tcPr>
          <w:p w14:paraId="74BA323D" w14:textId="77777777" w:rsidR="00AD0B60" w:rsidRPr="00976D33" w:rsidRDefault="00AD0B60">
            <w:pPr>
              <w:pStyle w:val="Fliesstext"/>
              <w:spacing w:before="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olor w:val="FFFFFF" w:themeColor="background1"/>
                <w:sz w:val="18"/>
              </w:rPr>
              <w:t>OPEX të ndryshueshme/ MWh të nxehtësisë të gjeneruar</w:t>
            </w:r>
          </w:p>
        </w:tc>
        <w:tc>
          <w:tcPr>
            <w:tcW w:w="566" w:type="pct"/>
          </w:tcPr>
          <w:p w14:paraId="26264632" w14:textId="77777777" w:rsidR="00AD0B60" w:rsidRPr="00976D33" w:rsidRDefault="00AD0B60">
            <w:pPr>
              <w:pStyle w:val="Fliesstext"/>
              <w:spacing w:before="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Pr>
                <w:rFonts w:asciiTheme="majorHAnsi" w:hAnsiTheme="majorHAnsi"/>
                <w:color w:val="FFFFFF" w:themeColor="background1"/>
                <w:sz w:val="18"/>
              </w:rPr>
              <w:t>Efiçienca termike (%)</w:t>
            </w:r>
          </w:p>
        </w:tc>
        <w:tc>
          <w:tcPr>
            <w:tcW w:w="720" w:type="pct"/>
          </w:tcPr>
          <w:p w14:paraId="255FC5B5" w14:textId="77777777" w:rsidR="00AD0B60" w:rsidRPr="00976D33" w:rsidRDefault="00AD0B60">
            <w:pPr>
              <w:pStyle w:val="Fliesstext"/>
              <w:spacing w:before="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olor w:val="FFFFFF" w:themeColor="background1"/>
                <w:sz w:val="18"/>
              </w:rPr>
              <w:t>Efiçienca elektrike (%)</w:t>
            </w:r>
          </w:p>
        </w:tc>
      </w:tr>
      <w:tr w:rsidR="00AD0B60" w:rsidRPr="00976D33" w14:paraId="523C9753" w14:textId="77777777" w:rsidTr="00AE0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pct"/>
          </w:tcPr>
          <w:p w14:paraId="69DB1918" w14:textId="77777777" w:rsidR="00AD0B60" w:rsidRPr="00976D33" w:rsidRDefault="00AD0B60">
            <w:pPr>
              <w:spacing w:before="0" w:after="0" w:line="240" w:lineRule="auto"/>
              <w:jc w:val="left"/>
              <w:rPr>
                <w:rFonts w:asciiTheme="majorHAnsi" w:hAnsiTheme="majorHAnsi" w:cstheme="majorHAnsi"/>
                <w:color w:val="FFFFFF" w:themeColor="background1"/>
                <w:sz w:val="18"/>
                <w:szCs w:val="18"/>
              </w:rPr>
            </w:pPr>
            <w:r>
              <w:rPr>
                <w:rFonts w:asciiTheme="majorHAnsi" w:hAnsiTheme="majorHAnsi"/>
                <w:color w:val="FFFFFF" w:themeColor="background1"/>
                <w:sz w:val="18"/>
              </w:rPr>
              <w:t>Solar 4 Kosova II</w:t>
            </w:r>
          </w:p>
        </w:tc>
        <w:tc>
          <w:tcPr>
            <w:tcW w:w="659" w:type="pct"/>
            <w:vAlign w:val="center"/>
          </w:tcPr>
          <w:p w14:paraId="155EA0D0" w14:textId="67AB88BD" w:rsidR="00AD0B60" w:rsidRPr="00976D33" w:rsidRDefault="00AD0B60">
            <w:pPr>
              <w:pStyle w:val="Fliess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F0D29" w:themeColor="text1"/>
                <w:sz w:val="18"/>
                <w:szCs w:val="18"/>
              </w:rPr>
            </w:pPr>
            <w:r>
              <w:rPr>
                <w:rFonts w:asciiTheme="majorHAnsi" w:hAnsiTheme="majorHAnsi"/>
                <w:color w:val="0F0D29" w:themeColor="text1"/>
                <w:sz w:val="18"/>
              </w:rPr>
              <w:t>1,200,000</w:t>
            </w:r>
          </w:p>
        </w:tc>
        <w:tc>
          <w:tcPr>
            <w:tcW w:w="659" w:type="pct"/>
            <w:vAlign w:val="center"/>
          </w:tcPr>
          <w:p w14:paraId="6A4BFF09" w14:textId="77777777" w:rsidR="00AD0B60" w:rsidRPr="00976D33" w:rsidRDefault="00AD0B60">
            <w:pPr>
              <w:pStyle w:val="Fliess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F0D29" w:themeColor="text1"/>
                <w:sz w:val="18"/>
                <w:szCs w:val="18"/>
              </w:rPr>
            </w:pPr>
            <w:r>
              <w:rPr>
                <w:rFonts w:asciiTheme="majorHAnsi" w:hAnsiTheme="majorHAnsi"/>
                <w:color w:val="0F0D29" w:themeColor="text1"/>
                <w:sz w:val="18"/>
              </w:rPr>
              <w:t>n.a.</w:t>
            </w:r>
          </w:p>
        </w:tc>
        <w:tc>
          <w:tcPr>
            <w:tcW w:w="893" w:type="pct"/>
            <w:vAlign w:val="center"/>
          </w:tcPr>
          <w:p w14:paraId="0083F44F" w14:textId="77777777" w:rsidR="00AD0B60" w:rsidRPr="00976D33" w:rsidRDefault="00AD0B60">
            <w:pPr>
              <w:pStyle w:val="Fliess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F0D29" w:themeColor="text1"/>
                <w:sz w:val="18"/>
                <w:szCs w:val="18"/>
              </w:rPr>
            </w:pPr>
            <w:r>
              <w:rPr>
                <w:rFonts w:asciiTheme="majorHAnsi" w:hAnsiTheme="majorHAnsi"/>
                <w:color w:val="0F0D29" w:themeColor="text1"/>
                <w:sz w:val="18"/>
              </w:rPr>
              <w:t>n.a.</w:t>
            </w:r>
          </w:p>
        </w:tc>
        <w:tc>
          <w:tcPr>
            <w:tcW w:w="566" w:type="pct"/>
            <w:vAlign w:val="center"/>
          </w:tcPr>
          <w:p w14:paraId="61402DB9" w14:textId="77777777" w:rsidR="00AD0B60" w:rsidRPr="00976D33" w:rsidRDefault="00AD0B60">
            <w:pPr>
              <w:pStyle w:val="Fliess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F0D29" w:themeColor="text1"/>
                <w:sz w:val="18"/>
                <w:szCs w:val="18"/>
              </w:rPr>
            </w:pPr>
            <w:r>
              <w:rPr>
                <w:rFonts w:asciiTheme="majorHAnsi" w:hAnsiTheme="majorHAnsi"/>
                <w:color w:val="0F0D29" w:themeColor="text1"/>
                <w:sz w:val="18"/>
              </w:rPr>
              <w:t>100%</w:t>
            </w:r>
          </w:p>
        </w:tc>
        <w:tc>
          <w:tcPr>
            <w:tcW w:w="720" w:type="pct"/>
            <w:vAlign w:val="center"/>
          </w:tcPr>
          <w:p w14:paraId="762706CB" w14:textId="77777777" w:rsidR="00AD0B60" w:rsidRPr="00976D33" w:rsidRDefault="00AD0B60">
            <w:pPr>
              <w:pStyle w:val="Fliess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F0D29" w:themeColor="text1"/>
                <w:sz w:val="18"/>
                <w:szCs w:val="18"/>
              </w:rPr>
            </w:pPr>
            <w:r>
              <w:rPr>
                <w:rFonts w:asciiTheme="majorHAnsi" w:hAnsiTheme="majorHAnsi"/>
                <w:color w:val="0F0D29" w:themeColor="text1"/>
                <w:sz w:val="18"/>
              </w:rPr>
              <w:t>n.a.</w:t>
            </w:r>
          </w:p>
        </w:tc>
      </w:tr>
      <w:tr w:rsidR="00AD0B60" w:rsidRPr="00976D33" w14:paraId="7B07D5C4" w14:textId="77777777" w:rsidTr="00AE0481">
        <w:tc>
          <w:tcPr>
            <w:cnfStyle w:val="001000000000" w:firstRow="0" w:lastRow="0" w:firstColumn="1" w:lastColumn="0" w:oddVBand="0" w:evenVBand="0" w:oddHBand="0" w:evenHBand="0" w:firstRowFirstColumn="0" w:firstRowLastColumn="0" w:lastRowFirstColumn="0" w:lastRowLastColumn="0"/>
            <w:tcW w:w="1503" w:type="pct"/>
          </w:tcPr>
          <w:p w14:paraId="79863579" w14:textId="77777777" w:rsidR="00AD0B60" w:rsidRPr="00976D33" w:rsidRDefault="00AD0B60">
            <w:pPr>
              <w:pStyle w:val="Fliesstext"/>
              <w:spacing w:before="0" w:line="240" w:lineRule="auto"/>
              <w:rPr>
                <w:rFonts w:asciiTheme="majorHAnsi" w:hAnsiTheme="majorHAnsi" w:cstheme="majorHAnsi"/>
                <w:color w:val="FFFFFF" w:themeColor="background1"/>
                <w:sz w:val="18"/>
                <w:szCs w:val="18"/>
              </w:rPr>
            </w:pPr>
            <w:r>
              <w:rPr>
                <w:rFonts w:asciiTheme="majorHAnsi" w:hAnsiTheme="majorHAnsi"/>
                <w:color w:val="FFFFFF" w:themeColor="background1"/>
                <w:sz w:val="18"/>
              </w:rPr>
              <w:t>PNQ me biomasë në Gjakovë</w:t>
            </w:r>
          </w:p>
        </w:tc>
        <w:tc>
          <w:tcPr>
            <w:tcW w:w="659" w:type="pct"/>
            <w:vAlign w:val="center"/>
          </w:tcPr>
          <w:p w14:paraId="2CBE597F" w14:textId="77777777" w:rsidR="00AD0B60" w:rsidRPr="00976D33" w:rsidRDefault="00AD0B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2,885,170</w:t>
            </w:r>
          </w:p>
        </w:tc>
        <w:tc>
          <w:tcPr>
            <w:tcW w:w="659" w:type="pct"/>
            <w:vAlign w:val="center"/>
          </w:tcPr>
          <w:p w14:paraId="1D7C1E67" w14:textId="77777777" w:rsidR="00AD0B60" w:rsidRPr="00976D33" w:rsidRDefault="00AD0B60">
            <w:pPr>
              <w:pStyle w:val="Fliess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F0D29" w:themeColor="text1"/>
                <w:sz w:val="18"/>
                <w:szCs w:val="18"/>
              </w:rPr>
            </w:pPr>
            <w:r>
              <w:rPr>
                <w:rFonts w:asciiTheme="majorHAnsi" w:hAnsiTheme="majorHAnsi"/>
                <w:color w:val="0F0D29" w:themeColor="text1"/>
                <w:sz w:val="18"/>
              </w:rPr>
              <w:t>72,934</w:t>
            </w:r>
          </w:p>
        </w:tc>
        <w:tc>
          <w:tcPr>
            <w:tcW w:w="893" w:type="pct"/>
            <w:vAlign w:val="center"/>
          </w:tcPr>
          <w:p w14:paraId="3DA710E9" w14:textId="77777777" w:rsidR="00AD0B60" w:rsidRPr="00976D33" w:rsidRDefault="00AD0B60">
            <w:pPr>
              <w:pStyle w:val="Fliess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F0D29" w:themeColor="text1"/>
                <w:sz w:val="18"/>
                <w:szCs w:val="18"/>
              </w:rPr>
            </w:pPr>
            <w:r>
              <w:rPr>
                <w:rFonts w:asciiTheme="majorHAnsi" w:hAnsiTheme="majorHAnsi"/>
                <w:color w:val="0F0D29" w:themeColor="text1"/>
                <w:sz w:val="18"/>
              </w:rPr>
              <w:t>5.0</w:t>
            </w:r>
          </w:p>
        </w:tc>
        <w:tc>
          <w:tcPr>
            <w:tcW w:w="566" w:type="pct"/>
            <w:vAlign w:val="center"/>
          </w:tcPr>
          <w:p w14:paraId="4D409D06" w14:textId="77777777" w:rsidR="00AD0B60" w:rsidRPr="00976D33" w:rsidRDefault="00AD0B60">
            <w:pPr>
              <w:pStyle w:val="Fliess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F0D29" w:themeColor="text1"/>
                <w:sz w:val="18"/>
                <w:szCs w:val="18"/>
              </w:rPr>
            </w:pPr>
            <w:r>
              <w:rPr>
                <w:rFonts w:asciiTheme="majorHAnsi" w:hAnsiTheme="majorHAnsi"/>
                <w:color w:val="0F0D29" w:themeColor="text1"/>
                <w:sz w:val="18"/>
              </w:rPr>
              <w:t>85%</w:t>
            </w:r>
          </w:p>
        </w:tc>
        <w:tc>
          <w:tcPr>
            <w:tcW w:w="720" w:type="pct"/>
            <w:vAlign w:val="center"/>
          </w:tcPr>
          <w:p w14:paraId="42D4DBFA" w14:textId="77777777" w:rsidR="00AD0B60" w:rsidRPr="00976D33" w:rsidRDefault="00AD0B60">
            <w:pPr>
              <w:pStyle w:val="Fliess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F0D29" w:themeColor="text1"/>
                <w:sz w:val="18"/>
                <w:szCs w:val="18"/>
              </w:rPr>
            </w:pPr>
            <w:r>
              <w:rPr>
                <w:rFonts w:asciiTheme="majorHAnsi" w:hAnsiTheme="majorHAnsi"/>
                <w:color w:val="0F0D29" w:themeColor="text1"/>
                <w:sz w:val="18"/>
              </w:rPr>
              <w:t>85%</w:t>
            </w:r>
          </w:p>
        </w:tc>
      </w:tr>
      <w:tr w:rsidR="00AD0B60" w:rsidRPr="00976D33" w14:paraId="53DFC558" w14:textId="77777777" w:rsidTr="00AE0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pct"/>
          </w:tcPr>
          <w:p w14:paraId="60B7EC04" w14:textId="77777777" w:rsidR="00AD0B60" w:rsidRPr="00976D33" w:rsidRDefault="00AD0B60">
            <w:pPr>
              <w:pStyle w:val="Fliesstext"/>
              <w:spacing w:before="0" w:line="240" w:lineRule="auto"/>
              <w:rPr>
                <w:rFonts w:asciiTheme="majorHAnsi" w:hAnsiTheme="majorHAnsi" w:cstheme="majorHAnsi"/>
                <w:color w:val="FFFFFF" w:themeColor="background1"/>
                <w:sz w:val="18"/>
                <w:szCs w:val="18"/>
              </w:rPr>
            </w:pPr>
            <w:r>
              <w:rPr>
                <w:rFonts w:asciiTheme="majorHAnsi" w:hAnsiTheme="majorHAnsi"/>
                <w:color w:val="FFFFFF" w:themeColor="background1"/>
                <w:sz w:val="18"/>
              </w:rPr>
              <w:t>Kaldaja vetëm me nxehtësi me biomasë në Gjakovë (e re)</w:t>
            </w:r>
          </w:p>
        </w:tc>
        <w:tc>
          <w:tcPr>
            <w:tcW w:w="659" w:type="pct"/>
            <w:vAlign w:val="center"/>
          </w:tcPr>
          <w:p w14:paraId="0AE63C2F" w14:textId="77777777" w:rsidR="00AD0B60" w:rsidRPr="00976D33" w:rsidRDefault="00AD0B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858,043</w:t>
            </w:r>
          </w:p>
        </w:tc>
        <w:tc>
          <w:tcPr>
            <w:tcW w:w="659" w:type="pct"/>
            <w:vAlign w:val="center"/>
          </w:tcPr>
          <w:p w14:paraId="3D9F8BAD" w14:textId="77777777" w:rsidR="00AD0B60" w:rsidRPr="00976D33" w:rsidRDefault="00AD0B60">
            <w:pPr>
              <w:pStyle w:val="Fliess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F0D29" w:themeColor="text1"/>
                <w:sz w:val="18"/>
                <w:szCs w:val="18"/>
              </w:rPr>
            </w:pPr>
            <w:r>
              <w:rPr>
                <w:rFonts w:asciiTheme="majorHAnsi" w:hAnsiTheme="majorHAnsi"/>
                <w:color w:val="0F0D29" w:themeColor="text1"/>
                <w:sz w:val="18"/>
              </w:rPr>
              <w:t>n.a.</w:t>
            </w:r>
          </w:p>
        </w:tc>
        <w:tc>
          <w:tcPr>
            <w:tcW w:w="893" w:type="pct"/>
            <w:vAlign w:val="center"/>
          </w:tcPr>
          <w:p w14:paraId="2CBE32F5" w14:textId="77777777" w:rsidR="00AD0B60" w:rsidRPr="00976D33" w:rsidRDefault="00AD0B60">
            <w:pPr>
              <w:pStyle w:val="Fliess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F0D29" w:themeColor="text1"/>
                <w:sz w:val="18"/>
                <w:szCs w:val="18"/>
              </w:rPr>
            </w:pPr>
            <w:r>
              <w:rPr>
                <w:rFonts w:asciiTheme="majorHAnsi" w:hAnsiTheme="majorHAnsi"/>
                <w:color w:val="0F0D29" w:themeColor="text1"/>
                <w:sz w:val="18"/>
              </w:rPr>
              <w:t>n.a.</w:t>
            </w:r>
          </w:p>
        </w:tc>
        <w:tc>
          <w:tcPr>
            <w:tcW w:w="566" w:type="pct"/>
            <w:vAlign w:val="center"/>
          </w:tcPr>
          <w:p w14:paraId="17B5A2F2" w14:textId="77777777" w:rsidR="00AD0B60" w:rsidRPr="00976D33" w:rsidRDefault="00AD0B60">
            <w:pPr>
              <w:pStyle w:val="Fliess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F0D29" w:themeColor="text1"/>
                <w:sz w:val="18"/>
                <w:szCs w:val="18"/>
              </w:rPr>
            </w:pPr>
            <w:r>
              <w:rPr>
                <w:rFonts w:asciiTheme="majorHAnsi" w:hAnsiTheme="majorHAnsi"/>
                <w:color w:val="0F0D29" w:themeColor="text1"/>
                <w:sz w:val="18"/>
              </w:rPr>
              <w:t>87%</w:t>
            </w:r>
          </w:p>
        </w:tc>
        <w:tc>
          <w:tcPr>
            <w:tcW w:w="720" w:type="pct"/>
            <w:vAlign w:val="center"/>
          </w:tcPr>
          <w:p w14:paraId="2E38CB66" w14:textId="77777777" w:rsidR="00AD0B60" w:rsidRPr="00976D33" w:rsidRDefault="00AD0B60">
            <w:pPr>
              <w:pStyle w:val="Fliess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F0D29" w:themeColor="text1"/>
                <w:sz w:val="18"/>
                <w:szCs w:val="18"/>
              </w:rPr>
            </w:pPr>
            <w:r>
              <w:rPr>
                <w:rFonts w:asciiTheme="majorHAnsi" w:hAnsiTheme="majorHAnsi"/>
                <w:color w:val="0F0D29" w:themeColor="text1"/>
                <w:sz w:val="18"/>
              </w:rPr>
              <w:t>n.a.</w:t>
            </w:r>
          </w:p>
        </w:tc>
      </w:tr>
    </w:tbl>
    <w:p w14:paraId="4AA2B123" w14:textId="77777777" w:rsidR="00AD0B60" w:rsidRPr="00976D33" w:rsidRDefault="00AD0B60" w:rsidP="00AD0B60">
      <w:pPr>
        <w:rPr>
          <w:i/>
          <w:sz w:val="16"/>
          <w:szCs w:val="16"/>
        </w:rPr>
      </w:pPr>
      <w:r>
        <w:rPr>
          <w:i/>
          <w:sz w:val="16"/>
        </w:rPr>
        <w:t>Burimi: Ministria e Ekonomisë, Termokosi, Ngrohtorja e Qytetit Gjakovë</w:t>
      </w:r>
    </w:p>
    <w:p w14:paraId="62146026" w14:textId="0E1B3051" w:rsidR="00FD3BFB" w:rsidRDefault="00FD3BFB" w:rsidP="00FD3BFB">
      <w:pPr>
        <w:rPr>
          <w:i/>
          <w:sz w:val="16"/>
          <w:szCs w:val="16"/>
        </w:rPr>
      </w:pPr>
    </w:p>
    <w:p w14:paraId="43DBED45" w14:textId="77777777" w:rsidR="005D1448" w:rsidRDefault="005D1448" w:rsidP="00FD3BFB">
      <w:pPr>
        <w:rPr>
          <w:i/>
          <w:sz w:val="16"/>
          <w:szCs w:val="16"/>
        </w:rPr>
      </w:pPr>
    </w:p>
    <w:p w14:paraId="5CD235E8" w14:textId="77777777" w:rsidR="005D1448" w:rsidRDefault="005D1448" w:rsidP="00FD3BFB">
      <w:pPr>
        <w:rPr>
          <w:i/>
          <w:sz w:val="16"/>
          <w:szCs w:val="16"/>
        </w:rPr>
      </w:pPr>
    </w:p>
    <w:p w14:paraId="20B205EE" w14:textId="77777777" w:rsidR="005D1448" w:rsidRDefault="005D1448" w:rsidP="00FD3BFB">
      <w:pPr>
        <w:rPr>
          <w:i/>
          <w:sz w:val="16"/>
          <w:szCs w:val="16"/>
        </w:rPr>
      </w:pPr>
    </w:p>
    <w:p w14:paraId="60893D20" w14:textId="77777777" w:rsidR="005D1448" w:rsidRDefault="005D1448" w:rsidP="00FD3BFB">
      <w:pPr>
        <w:rPr>
          <w:i/>
          <w:sz w:val="16"/>
          <w:szCs w:val="16"/>
        </w:rPr>
      </w:pPr>
    </w:p>
    <w:p w14:paraId="237E8683" w14:textId="77777777" w:rsidR="005D1448" w:rsidRDefault="005D1448" w:rsidP="00FD3BFB">
      <w:pPr>
        <w:rPr>
          <w:i/>
          <w:sz w:val="16"/>
          <w:szCs w:val="16"/>
        </w:rPr>
      </w:pPr>
    </w:p>
    <w:p w14:paraId="45BC9F57" w14:textId="77777777" w:rsidR="005D1448" w:rsidRDefault="005D1448" w:rsidP="00FD3BFB">
      <w:pPr>
        <w:rPr>
          <w:i/>
          <w:sz w:val="16"/>
          <w:szCs w:val="16"/>
        </w:rPr>
      </w:pPr>
    </w:p>
    <w:p w14:paraId="60E51BC4" w14:textId="77777777" w:rsidR="005D1448" w:rsidRDefault="005D1448" w:rsidP="00FD3BFB">
      <w:pPr>
        <w:rPr>
          <w:i/>
          <w:sz w:val="16"/>
          <w:szCs w:val="16"/>
        </w:rPr>
      </w:pPr>
    </w:p>
    <w:p w14:paraId="1B386D16" w14:textId="77777777" w:rsidR="005D1448" w:rsidRDefault="005D1448" w:rsidP="00FD3BFB">
      <w:pPr>
        <w:rPr>
          <w:i/>
          <w:sz w:val="16"/>
          <w:szCs w:val="16"/>
        </w:rPr>
      </w:pPr>
    </w:p>
    <w:p w14:paraId="4C9A05B0" w14:textId="77777777" w:rsidR="005D1448" w:rsidRDefault="005D1448" w:rsidP="00FD3BFB">
      <w:pPr>
        <w:rPr>
          <w:i/>
          <w:sz w:val="16"/>
          <w:szCs w:val="16"/>
        </w:rPr>
      </w:pPr>
    </w:p>
    <w:p w14:paraId="6AAED62B" w14:textId="77777777" w:rsidR="005D1448" w:rsidRDefault="005D1448" w:rsidP="00FD3BFB">
      <w:pPr>
        <w:rPr>
          <w:i/>
          <w:sz w:val="16"/>
          <w:szCs w:val="16"/>
        </w:rPr>
      </w:pPr>
    </w:p>
    <w:p w14:paraId="6EAE6757" w14:textId="77777777" w:rsidR="005D1448" w:rsidRDefault="005D1448" w:rsidP="00FD3BFB">
      <w:pPr>
        <w:rPr>
          <w:i/>
          <w:sz w:val="16"/>
          <w:szCs w:val="16"/>
        </w:rPr>
      </w:pPr>
    </w:p>
    <w:p w14:paraId="060078B0" w14:textId="77777777" w:rsidR="005D1448" w:rsidRDefault="005D1448" w:rsidP="00FD3BFB">
      <w:pPr>
        <w:rPr>
          <w:i/>
          <w:sz w:val="16"/>
          <w:szCs w:val="16"/>
        </w:rPr>
      </w:pPr>
    </w:p>
    <w:p w14:paraId="02D6A8AD" w14:textId="77777777" w:rsidR="005D1448" w:rsidRDefault="005D1448" w:rsidP="00FD3BFB">
      <w:pPr>
        <w:rPr>
          <w:i/>
          <w:sz w:val="16"/>
          <w:szCs w:val="16"/>
        </w:rPr>
      </w:pPr>
    </w:p>
    <w:p w14:paraId="2DB8D084" w14:textId="77777777" w:rsidR="005D1448" w:rsidRDefault="005D1448" w:rsidP="00FD3BFB">
      <w:pPr>
        <w:rPr>
          <w:i/>
          <w:sz w:val="16"/>
          <w:szCs w:val="16"/>
        </w:rPr>
      </w:pPr>
    </w:p>
    <w:p w14:paraId="2A5DF333" w14:textId="77777777" w:rsidR="005D1448" w:rsidRDefault="005D1448" w:rsidP="00FD3BFB">
      <w:pPr>
        <w:rPr>
          <w:i/>
          <w:sz w:val="16"/>
          <w:szCs w:val="16"/>
        </w:rPr>
      </w:pPr>
    </w:p>
    <w:p w14:paraId="7AB459D5" w14:textId="77777777" w:rsidR="005D1448" w:rsidRDefault="005D1448" w:rsidP="00FD3BFB">
      <w:pPr>
        <w:rPr>
          <w:i/>
          <w:sz w:val="16"/>
          <w:szCs w:val="16"/>
        </w:rPr>
      </w:pPr>
    </w:p>
    <w:p w14:paraId="731539FD" w14:textId="77777777" w:rsidR="005D1448" w:rsidRDefault="005D1448" w:rsidP="00FD3BFB">
      <w:pPr>
        <w:rPr>
          <w:i/>
          <w:sz w:val="16"/>
          <w:szCs w:val="16"/>
        </w:rPr>
      </w:pPr>
    </w:p>
    <w:p w14:paraId="006E286E" w14:textId="77777777" w:rsidR="005D1448" w:rsidRDefault="005D1448" w:rsidP="00FD3BFB">
      <w:pPr>
        <w:rPr>
          <w:i/>
          <w:sz w:val="16"/>
          <w:szCs w:val="16"/>
        </w:rPr>
      </w:pPr>
    </w:p>
    <w:p w14:paraId="0678535A" w14:textId="77777777" w:rsidR="005D1448" w:rsidRDefault="005D1448" w:rsidP="00FD3BFB">
      <w:pPr>
        <w:rPr>
          <w:i/>
          <w:sz w:val="16"/>
          <w:szCs w:val="16"/>
        </w:rPr>
      </w:pPr>
    </w:p>
    <w:p w14:paraId="5EB44A87" w14:textId="77777777" w:rsidR="005D1448" w:rsidRDefault="005D1448" w:rsidP="00FD3BFB">
      <w:pPr>
        <w:rPr>
          <w:i/>
          <w:sz w:val="16"/>
          <w:szCs w:val="16"/>
        </w:rPr>
      </w:pPr>
    </w:p>
    <w:p w14:paraId="46B511BC" w14:textId="77777777" w:rsidR="005D1448" w:rsidRDefault="005D1448" w:rsidP="00FD3BFB">
      <w:pPr>
        <w:rPr>
          <w:i/>
          <w:sz w:val="16"/>
          <w:szCs w:val="16"/>
        </w:rPr>
      </w:pPr>
    </w:p>
    <w:p w14:paraId="30C558AC" w14:textId="77777777" w:rsidR="005D1448" w:rsidRDefault="005D1448" w:rsidP="00FD3BFB">
      <w:pPr>
        <w:rPr>
          <w:i/>
          <w:sz w:val="16"/>
          <w:szCs w:val="16"/>
        </w:rPr>
      </w:pPr>
    </w:p>
    <w:p w14:paraId="4DC20ABB" w14:textId="77777777" w:rsidR="005D1448" w:rsidRDefault="005D1448" w:rsidP="00FD3BFB">
      <w:pPr>
        <w:rPr>
          <w:i/>
          <w:sz w:val="16"/>
          <w:szCs w:val="16"/>
        </w:rPr>
      </w:pPr>
    </w:p>
    <w:p w14:paraId="3F803462" w14:textId="77777777" w:rsidR="005D1448" w:rsidRDefault="005D1448" w:rsidP="00FD3BFB">
      <w:pPr>
        <w:rPr>
          <w:i/>
          <w:sz w:val="16"/>
          <w:szCs w:val="16"/>
        </w:rPr>
      </w:pPr>
    </w:p>
    <w:p w14:paraId="79D8B184" w14:textId="77777777" w:rsidR="005D1448" w:rsidRDefault="005D1448" w:rsidP="00FD3BFB">
      <w:pPr>
        <w:rPr>
          <w:i/>
          <w:sz w:val="16"/>
          <w:szCs w:val="16"/>
        </w:rPr>
      </w:pPr>
    </w:p>
    <w:p w14:paraId="2321FF7D" w14:textId="77777777" w:rsidR="005D1448" w:rsidRDefault="005D1448" w:rsidP="00FD3BFB">
      <w:pPr>
        <w:rPr>
          <w:i/>
          <w:sz w:val="16"/>
          <w:szCs w:val="16"/>
        </w:rPr>
      </w:pPr>
    </w:p>
    <w:p w14:paraId="14B4A0B9" w14:textId="77777777" w:rsidR="005D1448" w:rsidRDefault="005D1448" w:rsidP="00FD3BFB">
      <w:pPr>
        <w:rPr>
          <w:i/>
          <w:sz w:val="16"/>
          <w:szCs w:val="16"/>
        </w:rPr>
      </w:pPr>
    </w:p>
    <w:p w14:paraId="170CDF57" w14:textId="77777777" w:rsidR="005D1448" w:rsidRDefault="005D1448" w:rsidP="005D1448">
      <w:pPr>
        <w:pStyle w:val="Heading2"/>
        <w:numPr>
          <w:ilvl w:val="0"/>
          <w:numId w:val="0"/>
        </w:numPr>
        <w:spacing w:before="0" w:after="0"/>
        <w:ind w:left="576"/>
      </w:pPr>
    </w:p>
    <w:p w14:paraId="2EA31682" w14:textId="77777777" w:rsidR="005D1448" w:rsidRPr="005D1448" w:rsidRDefault="005D1448" w:rsidP="005D1448"/>
    <w:p w14:paraId="42B976A9" w14:textId="4F7D5AB0" w:rsidR="00FD3BFB" w:rsidRPr="00976D33" w:rsidRDefault="00FD3BFB" w:rsidP="006E6E51">
      <w:pPr>
        <w:pStyle w:val="Heading2"/>
      </w:pPr>
      <w:bookmarkStart w:id="399" w:name="_Toc182302325"/>
      <w:r>
        <w:lastRenderedPageBreak/>
        <w:t>Dimensioni i dekarbonizimit</w:t>
      </w:r>
      <w:bookmarkEnd w:id="399"/>
      <w:r>
        <w:t xml:space="preserve"> </w:t>
      </w:r>
    </w:p>
    <w:p w14:paraId="6009F79A" w14:textId="77777777" w:rsidR="00FD3BFB" w:rsidRPr="00976D33" w:rsidRDefault="00FD3BFB" w:rsidP="00AF7BBF">
      <w:pPr>
        <w:pStyle w:val="Heading3"/>
        <w:numPr>
          <w:ilvl w:val="0"/>
          <w:numId w:val="112"/>
        </w:numPr>
        <w:tabs>
          <w:tab w:val="num" w:pos="360"/>
        </w:tabs>
      </w:pPr>
      <w:bookmarkStart w:id="400" w:name="_Toc71271845"/>
      <w:bookmarkStart w:id="401" w:name="_Toc182302326"/>
      <w:r>
        <w:t>Emetimet dhe largimet e GS-ve</w:t>
      </w:r>
      <w:bookmarkEnd w:id="400"/>
      <w:bookmarkEnd w:id="401"/>
      <w:r>
        <w:t xml:space="preserve"> </w:t>
      </w:r>
    </w:p>
    <w:p w14:paraId="796CB059" w14:textId="77777777" w:rsidR="00FD3BFB" w:rsidRPr="00976D33" w:rsidRDefault="00FD3BFB" w:rsidP="00AF7BBF">
      <w:pPr>
        <w:pStyle w:val="Heading4"/>
        <w:numPr>
          <w:ilvl w:val="0"/>
          <w:numId w:val="56"/>
        </w:numPr>
      </w:pPr>
      <w:r>
        <w:t xml:space="preserve">Trendët në emetimet dhe largimet aktuale të GS-ve në ekonomi dhe sektorë të ndryshëm </w:t>
      </w:r>
    </w:p>
    <w:p w14:paraId="0D0BCEB6" w14:textId="67EA1E20" w:rsidR="00361CB0" w:rsidRDefault="00361CB0" w:rsidP="00361CB0">
      <w:r>
        <w:t>Procesi i Inventarizimit Kombëtar të GS-ve është institucionalizuar (</w:t>
      </w:r>
      <w:r w:rsidRPr="00976D33">
        <w:fldChar w:fldCharType="begin"/>
      </w:r>
      <w:r w:rsidRPr="00976D33">
        <w:instrText xml:space="preserve"> REF _Ref69464693 \h </w:instrText>
      </w:r>
      <w:r w:rsidR="004A7007" w:rsidRPr="00976D33">
        <w:instrText xml:space="preserve"> \* MERGEFORMAT </w:instrText>
      </w:r>
      <w:r w:rsidRPr="00976D33">
        <w:fldChar w:fldCharType="separate"/>
      </w:r>
      <w:r w:rsidR="003B7FFA">
        <w:t>Figura 37</w:t>
      </w:r>
      <w:r w:rsidRPr="00976D33">
        <w:fldChar w:fldCharType="end"/>
      </w:r>
      <w:r>
        <w:t>) dhe prodhon një Inventar Kombëtar të GS-ve të zhvilluar mirë dhe të qëndrueshëm. Institucioni i caktuar për menaxhimin e inventarit të GS-ve është Agjencia e Kosovës për Mbrojtjen e Mjedisit (AKMM), e cila është pjesë e MMPHI-së. Agjencia mbledhë dhe të raportojë informacionet lidhur me emetimet e GS-ve tek institucionet kombëtare (Qeveria dhe ministritë përgjegjëse) dhe institucionet ndërkombëtare, d.m.th., Agjencia Evropiane e Mjedisit. Informacionet lidhur me emetimet e GS-ve gjithashtu përditësohen çdo vit dhe raportohen si pjesë e treguesve mjedisorë.  Siç ceket në Kapitullin 1 të këtij PKEK, në janar të vitit 2024, Kosova miratoi Ligjin e ri për Ndryshimet Klimatike, duke përcaktuar detyrat dhe përgjegjësitë e autoriteteve shtetërore në zbutjen e efekteve të ndryshimeve klimatike, koordinimin dhe monitorimin e rezultateve të tyre dhe përmbushjen e detyrimeve të përcaktuara në marrëveshjet ndërkombëtare të detyrueshme për Kosovën.</w:t>
      </w:r>
    </w:p>
    <w:p w14:paraId="2C62F0A1" w14:textId="77777777" w:rsidR="00FE486A" w:rsidRPr="00976D33" w:rsidRDefault="00FE486A" w:rsidP="00361CB0"/>
    <w:p w14:paraId="1905D19E" w14:textId="7BAE8297" w:rsidR="00361CB0" w:rsidRPr="00976D33" w:rsidRDefault="00361CB0" w:rsidP="00361CB0">
      <w:pPr>
        <w:pStyle w:val="Caption"/>
      </w:pPr>
      <w:bookmarkStart w:id="402" w:name="_Ref69464693"/>
      <w:bookmarkStart w:id="403" w:name="_Toc181867240"/>
      <w:r>
        <w:t xml:space="preserve">Figura </w:t>
      </w:r>
      <w:r w:rsidRPr="00976D33">
        <w:fldChar w:fldCharType="begin"/>
      </w:r>
      <w:r w:rsidRPr="00976D33">
        <w:instrText>SEQ Figure \* ARABIC</w:instrText>
      </w:r>
      <w:r w:rsidRPr="00976D33">
        <w:fldChar w:fldCharType="separate"/>
      </w:r>
      <w:r w:rsidR="003B7FFA">
        <w:rPr>
          <w:noProof/>
        </w:rPr>
        <w:t>37</w:t>
      </w:r>
      <w:r w:rsidRPr="00976D33">
        <w:fldChar w:fldCharType="end"/>
      </w:r>
      <w:bookmarkEnd w:id="402"/>
      <w:r>
        <w:t>. Struktura e Sistemit Kombëtar të Inventarizimit të GS-ve të Kosovës</w:t>
      </w:r>
      <w:bookmarkEnd w:id="403"/>
    </w:p>
    <w:p w14:paraId="0F476867" w14:textId="6417FCCD" w:rsidR="00361CB0" w:rsidRPr="00976D33" w:rsidRDefault="00361CB0" w:rsidP="00361CB0">
      <w:r>
        <w:rPr>
          <w:noProof/>
          <w:lang w:val="en-US"/>
        </w:rPr>
        <w:drawing>
          <wp:inline distT="0" distB="0" distL="0" distR="0" wp14:anchorId="037122CA" wp14:editId="19B52E74">
            <wp:extent cx="5380355" cy="4054475"/>
            <wp:effectExtent l="0" t="0" r="0" b="3175"/>
            <wp:docPr id="1392901728" name="Grafik 1392901728"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text, screenshot, font&#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80355" cy="4054475"/>
                    </a:xfrm>
                    <a:prstGeom prst="rect">
                      <a:avLst/>
                    </a:prstGeom>
                    <a:noFill/>
                    <a:ln>
                      <a:noFill/>
                    </a:ln>
                  </pic:spPr>
                </pic:pic>
              </a:graphicData>
            </a:graphic>
          </wp:inline>
        </w:drawing>
      </w:r>
    </w:p>
    <w:p w14:paraId="417CEE44" w14:textId="77777777" w:rsidR="00361CB0" w:rsidRPr="00976D33" w:rsidRDefault="00361CB0" w:rsidP="00361CB0">
      <w:pPr>
        <w:spacing w:before="120"/>
        <w:rPr>
          <w:i/>
          <w:iCs/>
          <w:sz w:val="16"/>
          <w:szCs w:val="16"/>
        </w:rPr>
      </w:pPr>
      <w:r>
        <w:rPr>
          <w:i/>
          <w:sz w:val="16"/>
        </w:rPr>
        <w:t>Burimi:</w:t>
      </w:r>
      <w:r>
        <w:rPr>
          <w:sz w:val="16"/>
        </w:rPr>
        <w:t xml:space="preserve"> </w:t>
      </w:r>
      <w:r>
        <w:rPr>
          <w:i/>
          <w:sz w:val="16"/>
        </w:rPr>
        <w:t>Sistemi i Inventarizimit të GS-ve të Kosovës, prezantim nga Afrim Berisha, AKMM, uebinari “Strategjitë e reduktimit të GS-ve dhe dekarbonizimit afatgjatë – Gjendja në Kosovë dhe përvoja nga Kroacia, Maqedonia e Veriut dhe Republika Çeke”, Projekti i Premtimit për Klimë i UNDP-së, 03.12.2020</w:t>
      </w:r>
    </w:p>
    <w:p w14:paraId="70CD7F0A" w14:textId="45E7805B" w:rsidR="00361CB0" w:rsidRPr="00976D33" w:rsidRDefault="00361CB0" w:rsidP="00361CB0">
      <w:r>
        <w:t xml:space="preserve">Emetimet dhe largimet e GS-ve janë vlerësuar në përputhje me Udhëzimet e IPCC 2006, të grupuara në katër sektorë kryesorë: energji, procese industriale dhe përdorim të produkteve (PIPP), bujqësi, pylltari dhe përdorime të tjera të tokës (BPPTT), dhe mbeturina. Në nivel sektorial, vlerësimet e emetimeve ndahen sipas kategorive dhe nënkategorive, duke përdorur burime të ndryshme të disponueshme të të dhënave. Furnizuesit kryesorë të të dhënave janë institucionet qendrore si: Agjencia e Statistikave, Agjencia e Pyjeve, Agjencia Kadastrale, Dogana e Kosovës etj., si dhe operatorët e ndryshëm dhe kompanitë publike. </w:t>
      </w:r>
    </w:p>
    <w:p w14:paraId="168FA8C2" w14:textId="0500455B" w:rsidR="00361CB0" w:rsidRDefault="00361CB0" w:rsidP="00361CB0">
      <w:r>
        <w:lastRenderedPageBreak/>
        <w:t xml:space="preserve">Inventarizimi më i fundit kombëtar i GS-ve përfshin vlerësimet e qëndrueshme të emetimeve për periudhën 2008 - 2020. </w:t>
      </w:r>
      <w:bookmarkStart w:id="404" w:name="_Ref33638977"/>
      <w:bookmarkStart w:id="405" w:name="_Toc46216262"/>
      <w:r>
        <w:t>Siç sugjeron Figura 38, nivelet më të ulëta të emetimeve janë vërejtur në vitin 2014 (8868 Gg CO</w:t>
      </w:r>
      <w:r>
        <w:rPr>
          <w:vertAlign w:val="subscript"/>
        </w:rPr>
        <w:t>2</w:t>
      </w:r>
      <w:r>
        <w:t>-eq) dhe ato më të lartat në vitin 2016 (10687 Gg CO</w:t>
      </w:r>
      <w:r>
        <w:rPr>
          <w:vertAlign w:val="subscript"/>
        </w:rPr>
        <w:t>2</w:t>
      </w:r>
      <w:r>
        <w:t>-eq). Për më tepër, mund të vërehet vetëm një ndryshim i moderuar mes viteve. Emetimet në Kosovë varen kryesisht nga kërkesa për energji dhe aktivitetet e sektorit të transformimit, i cili është përgjegjës për 88% të emetimeve kombëtare në vitin 2020 (</w:t>
      </w:r>
      <w:r w:rsidRPr="00976D33">
        <w:fldChar w:fldCharType="begin"/>
      </w:r>
      <w:r w:rsidRPr="00976D33">
        <w:instrText xml:space="preserve"> REF _Ref69464834 \h  \* MERGEFORMAT </w:instrText>
      </w:r>
      <w:r w:rsidRPr="00976D33">
        <w:fldChar w:fldCharType="separate"/>
      </w:r>
      <w:r w:rsidR="003B7FFA">
        <w:t>Figura 38</w:t>
      </w:r>
      <w:r w:rsidRPr="00976D33">
        <w:fldChar w:fldCharType="end"/>
      </w:r>
      <w:r>
        <w:t>). Konkretisht për sektorin e energjisë, emetimet e GS-ve janë llogaritur për periudhën 2000-2020, si pjesë e informacionit të raportuar në Agjencinë Evropiane të Mjedisit (EEA), duke përdorur tabelat e formatit të përbashkët të raportimit (CRF). Emetimet kombëtare të GS-ve vlerësohen duke aplikuar metodën e nivelit 1, d.m.th., duke përdorur faktorët e paracaktuar të emetimeve për karburantet e parashikuar në Udhëzimet e IPCC të vitit 2006 mbi Inventarizimet Kombëtare të GS-ve. Për më tepër, është e rëndësishme të theksohet se emetimet dhe rezervuarët e GS-ve nga sektori i FOLU nuk janë përfshirë më parë në inventarizimin kombëtar të GS-ve të Kosovës. Megjithatë, për të pasur një pamje të plotë mbi emetimet e GS-ve, modeli i përdorur në këtë PKEK përfshin gjithashtu emetimet nga sektori i FOLU-së. Kjo çon në disa dallime në emetimet e GS-ve ndërmjet trendit historik dhe të parashikuar të emetimeve të GS-ve.</w:t>
      </w:r>
    </w:p>
    <w:p w14:paraId="2123BCFD" w14:textId="77777777" w:rsidR="00356AF7" w:rsidRDefault="00356AF7" w:rsidP="00361CB0"/>
    <w:p w14:paraId="2049D359" w14:textId="43BFDFA9" w:rsidR="00361CB0" w:rsidRPr="00976D33" w:rsidRDefault="00361CB0" w:rsidP="00361CB0">
      <w:pPr>
        <w:pStyle w:val="Caption"/>
      </w:pPr>
      <w:bookmarkStart w:id="406" w:name="_Ref69464834"/>
      <w:bookmarkStart w:id="407" w:name="_Toc181867241"/>
      <w:r>
        <w:t xml:space="preserve">Figura </w:t>
      </w:r>
      <w:r w:rsidRPr="00976D33">
        <w:fldChar w:fldCharType="begin"/>
      </w:r>
      <w:r w:rsidRPr="00976D33">
        <w:instrText>SEQ Figure \* ARABIC</w:instrText>
      </w:r>
      <w:r w:rsidRPr="00976D33">
        <w:fldChar w:fldCharType="separate"/>
      </w:r>
      <w:r w:rsidR="003B7FFA">
        <w:rPr>
          <w:noProof/>
        </w:rPr>
        <w:t>38</w:t>
      </w:r>
      <w:r w:rsidRPr="00976D33">
        <w:fldChar w:fldCharType="end"/>
      </w:r>
      <w:bookmarkEnd w:id="406"/>
      <w:r>
        <w:t>. Trendi i emetimeve totale të GS-ve në Kosovë, 2008-2020 (Mt CO</w:t>
      </w:r>
      <w:r>
        <w:rPr>
          <w:vertAlign w:val="subscript"/>
        </w:rPr>
        <w:t>2</w:t>
      </w:r>
      <w:r>
        <w:t>-eq)</w:t>
      </w:r>
      <w:bookmarkEnd w:id="407"/>
    </w:p>
    <w:p w14:paraId="4B3DD200" w14:textId="77777777" w:rsidR="00361CB0" w:rsidRPr="00976D33" w:rsidRDefault="00361CB0" w:rsidP="00361CB0">
      <w:r>
        <w:rPr>
          <w:noProof/>
          <w:lang w:val="en-US"/>
        </w:rPr>
        <w:drawing>
          <wp:inline distT="0" distB="0" distL="0" distR="0" wp14:anchorId="1F89280F" wp14:editId="3407B44D">
            <wp:extent cx="5869682" cy="2634429"/>
            <wp:effectExtent l="0" t="0" r="0" b="0"/>
            <wp:docPr id="785140284" name="Grafik 78514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873952" cy="2636345"/>
                    </a:xfrm>
                    <a:prstGeom prst="rect">
                      <a:avLst/>
                    </a:prstGeom>
                    <a:noFill/>
                    <a:ln>
                      <a:noFill/>
                    </a:ln>
                  </pic:spPr>
                </pic:pic>
              </a:graphicData>
            </a:graphic>
          </wp:inline>
        </w:drawing>
      </w:r>
    </w:p>
    <w:p w14:paraId="1DAE2D95" w14:textId="77777777" w:rsidR="00361CB0" w:rsidRPr="00976D33" w:rsidRDefault="00361CB0" w:rsidP="00361CB0">
      <w:pPr>
        <w:pStyle w:val="BodyText"/>
      </w:pPr>
      <w:bookmarkStart w:id="408" w:name="_Hlk137425170"/>
      <w:bookmarkEnd w:id="404"/>
      <w:bookmarkEnd w:id="405"/>
      <w:r>
        <w:t xml:space="preserve">Burimi: Raportet për emetimet e GS-ve në Kosovë për periudhën 2008 – 2013 </w:t>
      </w:r>
      <w:bookmarkEnd w:id="408"/>
      <w:r>
        <w:t>dhe 2014 – 2019, dhe të dhënat e vërtetuara nga AKMM</w:t>
      </w:r>
    </w:p>
    <w:p w14:paraId="6D058D20" w14:textId="77777777" w:rsidR="00FE486A" w:rsidRDefault="00FE486A" w:rsidP="00FE486A">
      <w:pPr>
        <w:spacing w:after="0"/>
      </w:pPr>
    </w:p>
    <w:p w14:paraId="64657859" w14:textId="6698B0BB" w:rsidR="00356AF7" w:rsidRPr="00976D33" w:rsidRDefault="00361CB0" w:rsidP="00361CB0">
      <w:r>
        <w:t>Figurat 39 dhe 40 ilustrojnë projeksionet e emetimeve sektoriale të GS-ve në skenarin WEM në periudhën 2021-2040</w:t>
      </w:r>
      <w:r w:rsidRPr="00976D33">
        <w:rPr>
          <w:rStyle w:val="FootnoteReference"/>
        </w:rPr>
        <w:footnoteReference w:id="42"/>
      </w:r>
      <w:r>
        <w:t xml:space="preserve">. Projeksionet treguese të skenarit WEM tregojnë se deri në vitin 2036, sektori i transformimit është emetuesi më i madh në ekonomi. Megjithatë, pjesëmarrja e saj parashikohet të ulet gradualisht në rreth 42% në vitin 2040. Në të njëjtin vit, parashikohet që 50% e emetimeve të rrjedhin nga sektori i kërkesës. Për më tepër, Figura 39 tregon se emetimet totale të GS-ve parashikohen të ulen me 20% në vitin 2030 ose 27% në vitin 2040 krahasuar me vitin 2021. </w:t>
      </w:r>
      <w:bookmarkStart w:id="409" w:name="_Hlk36551558"/>
      <w:r>
        <w:t>Sektorët e energjisë dhe transportit parashikohen të jenë burimet dominuese të emetimeve të gazeve serrë, duke kontribuar së bashku në rreth 80% të emetimeve totale. Megjithatë, ndërsa pesha e emetimeve nga sektori industrial parashikohet të ulet, pesha e emetimeve të sektorit të transportit në total pritet të rritet gradualisht nga 15% në vitin 2021 në 24% në vitin 2030 dhe 31% në vitin 2040, (</w:t>
      </w:r>
      <w:r w:rsidRPr="00976D33">
        <w:fldChar w:fldCharType="begin"/>
      </w:r>
      <w:r w:rsidRPr="00976D33">
        <w:instrText xml:space="preserve"> REF _Ref69473688 \h  \* MERGEFORMAT </w:instrText>
      </w:r>
      <w:r w:rsidRPr="00976D33">
        <w:fldChar w:fldCharType="separate"/>
      </w:r>
      <w:r w:rsidR="003B7FFA">
        <w:t>Figura 40</w:t>
      </w:r>
      <w:r w:rsidRPr="00976D33">
        <w:fldChar w:fldCharType="end"/>
      </w:r>
      <w:r>
        <w:t xml:space="preserve">). Parashikimet për sektorin e BPPTT-së, tregojnë se rezervuarët do të rriten në 282 Gg CO2-eq në vitin 2030 dhe në 383 Gg CO2-eq në vitin 2040.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794"/>
      </w:tblGrid>
      <w:tr w:rsidR="00361CB0" w:rsidRPr="00976D33" w14:paraId="70F500E2" w14:textId="77777777">
        <w:tc>
          <w:tcPr>
            <w:tcW w:w="4770" w:type="dxa"/>
            <w:hideMark/>
          </w:tcPr>
          <w:p w14:paraId="4189A129" w14:textId="17D07F69" w:rsidR="00361CB0" w:rsidRPr="00976D33" w:rsidRDefault="00361CB0" w:rsidP="00FE486A">
            <w:pPr>
              <w:pStyle w:val="Caption"/>
              <w:spacing w:after="0"/>
              <w:rPr>
                <w:szCs w:val="24"/>
              </w:rPr>
            </w:pPr>
            <w:bookmarkStart w:id="410" w:name="_Ref69473666"/>
            <w:bookmarkStart w:id="411" w:name="_Toc181867242"/>
            <w:bookmarkStart w:id="412" w:name="_Hlk36551551"/>
            <w:bookmarkEnd w:id="409"/>
            <w:r>
              <w:lastRenderedPageBreak/>
              <w:t xml:space="preserve">Figura </w:t>
            </w:r>
            <w:r w:rsidR="00062E07">
              <w:fldChar w:fldCharType="begin"/>
            </w:r>
            <w:r w:rsidR="00062E07">
              <w:instrText xml:space="preserve"> SEQ Figure \* ARABIC </w:instrText>
            </w:r>
            <w:r w:rsidR="00062E07">
              <w:fldChar w:fldCharType="separate"/>
            </w:r>
            <w:r w:rsidR="003B7FFA">
              <w:rPr>
                <w:noProof/>
              </w:rPr>
              <w:t>39</w:t>
            </w:r>
            <w:r w:rsidR="00062E07">
              <w:rPr>
                <w:noProof/>
              </w:rPr>
              <w:fldChar w:fldCharType="end"/>
            </w:r>
            <w:bookmarkEnd w:id="410"/>
            <w:r>
              <w:t>. Trendi i emetimeve totale të GS-ve në skenarin WEM sipas sektorëve kryesorë, 2021 - 2040 (Mt CO</w:t>
            </w:r>
            <w:r>
              <w:rPr>
                <w:vertAlign w:val="subscript"/>
              </w:rPr>
              <w:t>2</w:t>
            </w:r>
            <w:r>
              <w:t>-eq)</w:t>
            </w:r>
            <w:bookmarkEnd w:id="411"/>
          </w:p>
        </w:tc>
        <w:tc>
          <w:tcPr>
            <w:tcW w:w="4794" w:type="dxa"/>
            <w:hideMark/>
          </w:tcPr>
          <w:p w14:paraId="57F87032" w14:textId="34DAC4D0" w:rsidR="00361CB0" w:rsidRPr="00976D33" w:rsidRDefault="00361CB0" w:rsidP="00FE486A">
            <w:pPr>
              <w:pStyle w:val="Caption"/>
              <w:spacing w:after="0"/>
              <w:rPr>
                <w:szCs w:val="24"/>
              </w:rPr>
            </w:pPr>
            <w:bookmarkStart w:id="413" w:name="_Ref69473688"/>
            <w:bookmarkStart w:id="414" w:name="_Toc181867243"/>
            <w:r>
              <w:t xml:space="preserve">Figura </w:t>
            </w:r>
            <w:r w:rsidR="00062E07">
              <w:fldChar w:fldCharType="begin"/>
            </w:r>
            <w:r w:rsidR="00062E07">
              <w:instrText xml:space="preserve"> SEQ Figure \* ARABIC </w:instrText>
            </w:r>
            <w:r w:rsidR="00062E07">
              <w:fldChar w:fldCharType="separate"/>
            </w:r>
            <w:r w:rsidR="003B7FFA">
              <w:rPr>
                <w:noProof/>
              </w:rPr>
              <w:t>40</w:t>
            </w:r>
            <w:r w:rsidR="00062E07">
              <w:rPr>
                <w:noProof/>
              </w:rPr>
              <w:fldChar w:fldCharType="end"/>
            </w:r>
            <w:bookmarkEnd w:id="413"/>
            <w:r>
              <w:t>. Emetimet e GS-ve në Kosovë sipas kategorive, 2021 - 2040 (Mt CO</w:t>
            </w:r>
            <w:r>
              <w:rPr>
                <w:vertAlign w:val="subscript"/>
              </w:rPr>
              <w:t>2</w:t>
            </w:r>
            <w:r>
              <w:t>-eq)</w:t>
            </w:r>
            <w:bookmarkEnd w:id="414"/>
          </w:p>
        </w:tc>
      </w:tr>
    </w:tbl>
    <w:p w14:paraId="6780CA5A" w14:textId="098A144D" w:rsidR="00145D78" w:rsidRPr="008C14F9" w:rsidRDefault="00145D78" w:rsidP="00FE486A">
      <w:pPr>
        <w:spacing w:before="0" w:after="0"/>
        <w:rPr>
          <w:iCs/>
        </w:rPr>
      </w:pPr>
      <w:r>
        <w:rPr>
          <w:noProof/>
          <w:lang w:val="en-US"/>
        </w:rPr>
        <w:drawing>
          <wp:inline distT="0" distB="0" distL="0" distR="0" wp14:anchorId="4DBFAECC" wp14:editId="1D799A05">
            <wp:extent cx="6079490" cy="2369820"/>
            <wp:effectExtent l="0" t="0" r="0" b="0"/>
            <wp:docPr id="8969225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079490" cy="2369820"/>
                    </a:xfrm>
                    <a:prstGeom prst="rect">
                      <a:avLst/>
                    </a:prstGeom>
                    <a:noFill/>
                    <a:ln>
                      <a:noFill/>
                    </a:ln>
                  </pic:spPr>
                </pic:pic>
              </a:graphicData>
            </a:graphic>
          </wp:inline>
        </w:drawing>
      </w:r>
    </w:p>
    <w:p w14:paraId="64BB483A" w14:textId="5AC0950A" w:rsidR="00361CB0" w:rsidRPr="00976D33" w:rsidRDefault="00361CB0" w:rsidP="00361CB0">
      <w:pPr>
        <w:rPr>
          <w:i/>
          <w:sz w:val="16"/>
          <w:szCs w:val="16"/>
        </w:rPr>
      </w:pPr>
      <w:r>
        <w:rPr>
          <w:i/>
          <w:sz w:val="16"/>
        </w:rPr>
        <w:t xml:space="preserve">Burimi: rezultatet e modelimit vetanak     </w:t>
      </w:r>
      <w:r w:rsidR="00356AF7">
        <w:rPr>
          <w:i/>
          <w:sz w:val="16"/>
        </w:rPr>
        <w:tab/>
      </w:r>
      <w:r w:rsidR="00356AF7">
        <w:rPr>
          <w:i/>
          <w:sz w:val="16"/>
        </w:rPr>
        <w:tab/>
      </w:r>
      <w:r w:rsidR="00356AF7">
        <w:rPr>
          <w:i/>
          <w:sz w:val="16"/>
        </w:rPr>
        <w:tab/>
      </w:r>
      <w:r>
        <w:rPr>
          <w:i/>
          <w:sz w:val="16"/>
        </w:rPr>
        <w:t>Burimi: rezultatet e modelimit vetanak</w:t>
      </w:r>
    </w:p>
    <w:p w14:paraId="5249428B" w14:textId="147A7B69" w:rsidR="00F74707" w:rsidRPr="00976D33" w:rsidRDefault="00F74707" w:rsidP="006E6E51">
      <w:pPr>
        <w:spacing w:before="0" w:after="0"/>
        <w:rPr>
          <w:szCs w:val="20"/>
        </w:rPr>
      </w:pPr>
      <w:r>
        <w:t xml:space="preserve">Në vitin 2021, siç sugjeron </w:t>
      </w:r>
      <w:r w:rsidR="009E0E0E" w:rsidRPr="00976D33">
        <w:fldChar w:fldCharType="begin"/>
      </w:r>
      <w:r w:rsidR="009E0E0E" w:rsidRPr="00976D33">
        <w:instrText xml:space="preserve"> REF _Ref164902908 \h </w:instrText>
      </w:r>
      <w:r w:rsidR="004A7007" w:rsidRPr="00976D33">
        <w:instrText xml:space="preserve"> \* MERGEFORMAT </w:instrText>
      </w:r>
      <w:r w:rsidR="009E0E0E" w:rsidRPr="00976D33">
        <w:fldChar w:fldCharType="separate"/>
      </w:r>
      <w:r w:rsidR="003B7FFA">
        <w:t>Figura 41</w:t>
      </w:r>
      <w:r w:rsidR="009E0E0E" w:rsidRPr="00976D33">
        <w:fldChar w:fldCharType="end"/>
      </w:r>
      <w:r>
        <w:t xml:space="preserve">, </w:t>
      </w:r>
      <w:r>
        <w:rPr>
          <w:rFonts w:ascii="Aptos Narrow" w:hAnsi="Aptos Narrow"/>
          <w:color w:val="000000"/>
          <w:sz w:val="22"/>
        </w:rPr>
        <w:t>86.4% e emetimeve të GS-ve rrjedhin nga</w:t>
      </w:r>
      <w:r>
        <w:t xml:space="preserve"> CO</w:t>
      </w:r>
      <w:r>
        <w:rPr>
          <w:vertAlign w:val="subscript"/>
        </w:rPr>
        <w:t>2</w:t>
      </w:r>
      <w:r>
        <w:t>, 9.6% nga metani (CH</w:t>
      </w:r>
      <w:r>
        <w:rPr>
          <w:vertAlign w:val="subscript"/>
        </w:rPr>
        <w:t>4</w:t>
      </w:r>
      <w:r>
        <w:t>), 3,9% nga oksidi i azotit (N</w:t>
      </w:r>
      <w:r>
        <w:rPr>
          <w:vertAlign w:val="subscript"/>
        </w:rPr>
        <w:t>2</w:t>
      </w:r>
      <w:r>
        <w:t xml:space="preserve">O) dhe 0.2% nga hidrofluorokarburet (HFCs). </w:t>
      </w:r>
    </w:p>
    <w:p w14:paraId="7E16500E" w14:textId="77777777" w:rsidR="0021037F" w:rsidRPr="00976D33" w:rsidRDefault="0021037F" w:rsidP="00496147">
      <w:pPr>
        <w:spacing w:before="0" w:after="0"/>
        <w:rPr>
          <w:szCs w:val="20"/>
        </w:rPr>
      </w:pPr>
    </w:p>
    <w:p w14:paraId="09219301" w14:textId="05B0FC82" w:rsidR="009E0E0E" w:rsidRPr="00976D33" w:rsidRDefault="009E0E0E" w:rsidP="006E6E51">
      <w:pPr>
        <w:pStyle w:val="Caption"/>
      </w:pPr>
      <w:bookmarkStart w:id="415" w:name="_Ref164902908"/>
      <w:bookmarkStart w:id="416" w:name="_Toc181867244"/>
      <w:r>
        <w:t xml:space="preserve">Figura </w:t>
      </w:r>
      <w:r w:rsidR="00062E07">
        <w:fldChar w:fldCharType="begin"/>
      </w:r>
      <w:r w:rsidR="00062E07">
        <w:instrText xml:space="preserve"> SEQ Figure \* ARABIC </w:instrText>
      </w:r>
      <w:r w:rsidR="00062E07">
        <w:fldChar w:fldCharType="separate"/>
      </w:r>
      <w:r w:rsidR="003B7FFA">
        <w:rPr>
          <w:noProof/>
        </w:rPr>
        <w:t>41</w:t>
      </w:r>
      <w:r w:rsidR="00062E07">
        <w:rPr>
          <w:noProof/>
        </w:rPr>
        <w:fldChar w:fldCharType="end"/>
      </w:r>
      <w:bookmarkEnd w:id="415"/>
      <w:r>
        <w:t>. Emetimet e GS-ve në Kosovë sipas kategorive, 2021 - 2040 (Mt CO</w:t>
      </w:r>
      <w:r>
        <w:rPr>
          <w:vertAlign w:val="subscript"/>
        </w:rPr>
        <w:t>2</w:t>
      </w:r>
      <w:r>
        <w:t>-eq) skenari WEM</w:t>
      </w:r>
      <w:bookmarkEnd w:id="416"/>
    </w:p>
    <w:p w14:paraId="6802973B" w14:textId="7F48A038" w:rsidR="009E0E0E" w:rsidRDefault="009E0E0E" w:rsidP="00496147">
      <w:pPr>
        <w:spacing w:before="0" w:after="0"/>
        <w:rPr>
          <w:szCs w:val="20"/>
        </w:rPr>
      </w:pPr>
    </w:p>
    <w:p w14:paraId="0C2B5959" w14:textId="568F6665" w:rsidR="0029127D" w:rsidRPr="00976D33" w:rsidRDefault="0029127D" w:rsidP="00496147">
      <w:pPr>
        <w:spacing w:before="0" w:after="0"/>
        <w:rPr>
          <w:szCs w:val="20"/>
        </w:rPr>
      </w:pPr>
      <w:r>
        <w:rPr>
          <w:noProof/>
          <w:lang w:val="en-US"/>
        </w:rPr>
        <w:drawing>
          <wp:inline distT="0" distB="0" distL="0" distR="0" wp14:anchorId="78B9CD5A" wp14:editId="7F137A01">
            <wp:extent cx="6079490" cy="2897505"/>
            <wp:effectExtent l="0" t="0" r="0" b="0"/>
            <wp:docPr id="2051856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079490" cy="2897505"/>
                    </a:xfrm>
                    <a:prstGeom prst="rect">
                      <a:avLst/>
                    </a:prstGeom>
                    <a:noFill/>
                    <a:ln>
                      <a:noFill/>
                    </a:ln>
                  </pic:spPr>
                </pic:pic>
              </a:graphicData>
            </a:graphic>
          </wp:inline>
        </w:drawing>
      </w:r>
    </w:p>
    <w:p w14:paraId="3C91EE31" w14:textId="77777777" w:rsidR="00361CB0" w:rsidRPr="00976D33" w:rsidRDefault="00361CB0" w:rsidP="00925441">
      <w:pPr>
        <w:pStyle w:val="Heading3"/>
      </w:pPr>
      <w:bookmarkStart w:id="417" w:name="_Toc164909713"/>
      <w:bookmarkStart w:id="418" w:name="_Toc71271846"/>
      <w:bookmarkStart w:id="419" w:name="_Toc182302327"/>
      <w:bookmarkEnd w:id="412"/>
      <w:bookmarkEnd w:id="417"/>
      <w:r>
        <w:t>Energjia e ripërtëritshme</w:t>
      </w:r>
      <w:bookmarkEnd w:id="418"/>
      <w:bookmarkEnd w:id="419"/>
      <w:r>
        <w:t xml:space="preserve"> </w:t>
      </w:r>
    </w:p>
    <w:p w14:paraId="456B8F5D" w14:textId="77777777" w:rsidR="00361CB0" w:rsidRPr="00976D33" w:rsidRDefault="00361CB0" w:rsidP="00AF7BBF">
      <w:pPr>
        <w:pStyle w:val="Heading4"/>
        <w:numPr>
          <w:ilvl w:val="0"/>
          <w:numId w:val="57"/>
        </w:numPr>
      </w:pPr>
      <w:r>
        <w:t xml:space="preserve">Pjesa aktuale e energjisë së ripërtëritshme në bruto konsumin final të energjisë dhe në sektorë të ndryshëm (ngrohje dhe ftohje, energji elektrike dhe transport) si dhe në teknologjinë në secilin prej këtyre sektorëve </w:t>
      </w:r>
    </w:p>
    <w:p w14:paraId="4A67BA27" w14:textId="358E8929" w:rsidR="00361CB0" w:rsidRPr="004A64EF" w:rsidRDefault="00B44C24" w:rsidP="00361CB0">
      <w:r>
        <w:t>Përqindja e përgjithshme e burimeve të ripërtëritshme në bruto konsumin final të energjisë në Kosovë në vitin 2021 ishte 22.4%, ose pothuajse katër pikë përqindjeje më e lartë krahasuar me vitin 2015 për shkak të rritjes së përdorimit të energjisë së ripërtëritshme për ngrohje, si dhe rritjes së integrimit të burimeve të ripërtëritshme të prodhimit të energjisë elektrike. Konsumi i lëndës djegëse në masë të madhe ndikon në pjesën e BRE-ve në përzierjen e përgjithshme energjetike të Kosovës, siç mund të shihet nga pjesa e BRE-ve në ngrohje dhe ftohje, e cila arriti në 53.4% në vitin 2021 kundrejt 47% në vitin 2015(</w:t>
      </w:r>
      <w:r w:rsidR="00361CB0" w:rsidRPr="004A64EF">
        <w:fldChar w:fldCharType="begin"/>
      </w:r>
      <w:r w:rsidR="00361CB0" w:rsidRPr="004A64EF">
        <w:instrText xml:space="preserve"> REF _Ref137428283 \h </w:instrText>
      </w:r>
      <w:r w:rsidR="004A7007" w:rsidRPr="004A64EF">
        <w:instrText xml:space="preserve"> \* MERGEFORMAT </w:instrText>
      </w:r>
      <w:r w:rsidR="00361CB0" w:rsidRPr="004A64EF">
        <w:fldChar w:fldCharType="separate"/>
      </w:r>
      <w:r w:rsidR="003B7FFA">
        <w:t>Figura 42</w:t>
      </w:r>
      <w:r w:rsidR="00361CB0" w:rsidRPr="004A64EF">
        <w:fldChar w:fldCharType="end"/>
      </w:r>
      <w:r>
        <w:t xml:space="preserve">). Kontributi i energjisë termike </w:t>
      </w:r>
      <w:r>
        <w:lastRenderedPageBreak/>
        <w:t>solare është ende i vogël, por duke avancuar në mënyrë të moderuar, ndërsa format e tjera të ngrohjes dhe ftohjes së ripërtëritshme luajnë rol të vogël.</w:t>
      </w:r>
    </w:p>
    <w:p w14:paraId="085D3C11" w14:textId="603C1BBF" w:rsidR="00361CB0" w:rsidRDefault="00361CB0" w:rsidP="00361CB0">
      <w:r>
        <w:t>Lidhur me pjesëmarrjen sipas sektorëve, pjesëmarrja e BRE-ve në bruto prodhimin e energjisë elektrike arriti 5% në vitin 2021, ose tre pikë përqindje më e lartë krahasuar me vitin 2015. Pjesa më e madhe e kësaj rritje është nxitur nga ndërtimi i parqeve me erë Kitka dhe Bajgora. Biokarburantet nuk raportohen në Kosovë dhe nuk ka energji elektrike të konsumuar në sektorin e transportit në periudhën 2010-2021. Prandaj, pjesa e BRE-ve në sektorin e transportit është zero në vitet e kaluara.</w:t>
      </w:r>
    </w:p>
    <w:p w14:paraId="0894CA37" w14:textId="77777777" w:rsidR="00FE486A" w:rsidRPr="00976D33" w:rsidRDefault="00FE486A" w:rsidP="00361CB0">
      <w:pPr>
        <w:rPr>
          <w:color w:val="000000"/>
        </w:rPr>
      </w:pPr>
    </w:p>
    <w:p w14:paraId="7BD6201B" w14:textId="6BC74A93" w:rsidR="00361CB0" w:rsidRPr="00976D33" w:rsidRDefault="00361CB0" w:rsidP="00361CB0">
      <w:pPr>
        <w:pStyle w:val="Caption"/>
        <w:rPr>
          <w:color w:val="000000"/>
        </w:rPr>
      </w:pPr>
      <w:bookmarkStart w:id="420" w:name="_Ref137428283"/>
      <w:bookmarkStart w:id="421" w:name="_Toc181867245"/>
      <w:r>
        <w:t xml:space="preserve">Figura </w:t>
      </w:r>
      <w:r w:rsidRPr="00976D33">
        <w:fldChar w:fldCharType="begin"/>
      </w:r>
      <w:r w:rsidRPr="00976D33">
        <w:instrText>SEQ Figure \* ARABIC</w:instrText>
      </w:r>
      <w:r w:rsidRPr="00976D33">
        <w:fldChar w:fldCharType="separate"/>
      </w:r>
      <w:r w:rsidR="003B7FFA">
        <w:rPr>
          <w:noProof/>
        </w:rPr>
        <w:t>42</w:t>
      </w:r>
      <w:r w:rsidRPr="00976D33">
        <w:fldChar w:fldCharType="end"/>
      </w:r>
      <w:bookmarkEnd w:id="420"/>
      <w:r>
        <w:t>. Pjesëmarrja e BRE-ve në bruto konsumin final të energjisë, energjisë elektrike dhe konsumin e ngrohjes dhe ftohjes</w:t>
      </w:r>
      <w:bookmarkEnd w:id="421"/>
    </w:p>
    <w:p w14:paraId="609A9408" w14:textId="77777777" w:rsidR="00361CB0" w:rsidRPr="00976D33" w:rsidRDefault="00361CB0" w:rsidP="00361CB0">
      <w:r>
        <w:rPr>
          <w:noProof/>
          <w:lang w:val="en-US"/>
        </w:rPr>
        <w:drawing>
          <wp:inline distT="0" distB="0" distL="0" distR="0" wp14:anchorId="627245B2" wp14:editId="359CD188">
            <wp:extent cx="4373245" cy="2162175"/>
            <wp:effectExtent l="0" t="0" r="0" b="0"/>
            <wp:docPr id="457746440" name="Grafik 45774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373245" cy="2162175"/>
                    </a:xfrm>
                    <a:prstGeom prst="rect">
                      <a:avLst/>
                    </a:prstGeom>
                    <a:noFill/>
                    <a:ln>
                      <a:noFill/>
                    </a:ln>
                  </pic:spPr>
                </pic:pic>
              </a:graphicData>
            </a:graphic>
          </wp:inline>
        </w:drawing>
      </w:r>
    </w:p>
    <w:p w14:paraId="252DEA39" w14:textId="77777777" w:rsidR="00361CB0" w:rsidRPr="00976D33" w:rsidRDefault="00361CB0" w:rsidP="00361CB0">
      <w:pPr>
        <w:pStyle w:val="BodyText"/>
      </w:pPr>
      <w:r>
        <w:t>Burimi: Eurostat, rezultatet e detajuara të PJESËMARRJEVE (të dhënat e vitit 2021)</w:t>
      </w:r>
    </w:p>
    <w:p w14:paraId="6D7F5516" w14:textId="77777777" w:rsidR="00361CB0" w:rsidRPr="00976D33" w:rsidRDefault="00361CB0" w:rsidP="00361CB0"/>
    <w:p w14:paraId="48F018AA" w14:textId="77777777" w:rsidR="00361CB0" w:rsidRPr="00976D33" w:rsidRDefault="00361CB0" w:rsidP="00AF7BBF">
      <w:pPr>
        <w:pStyle w:val="Heading4"/>
        <w:numPr>
          <w:ilvl w:val="0"/>
          <w:numId w:val="57"/>
        </w:numPr>
      </w:pPr>
      <w:r>
        <w:t xml:space="preserve">Parashikimet indikative të zhvillimit me politikat ekzistuese për vitin 2030 (me perspektivë për vitin 2040) </w:t>
      </w:r>
    </w:p>
    <w:p w14:paraId="16B97CF7" w14:textId="75DA4101" w:rsidR="00361CB0" w:rsidRPr="004A64EF" w:rsidRDefault="00361CB0" w:rsidP="00361CB0">
      <w:r>
        <w:t>Me zbatimin e politikave dhe masave ekzistuese, pjesëmarrja e BRE-ve në bruto konsumin final të energjisë do të arrijë në 33% në vitin 2030 dhe do të avancojë në 38% në vitin 2040, duke shënuar një rritje prej 10 përkatësisht 15 pikë përqindje, krahasuar me vitin 2021 (</w:t>
      </w:r>
      <w:r w:rsidRPr="004A64EF">
        <w:fldChar w:fldCharType="begin"/>
      </w:r>
      <w:r w:rsidRPr="004A64EF">
        <w:instrText xml:space="preserve"> REF _Ref69826504 \h  \* MERGEFORMAT </w:instrText>
      </w:r>
      <w:r w:rsidRPr="004A64EF">
        <w:fldChar w:fldCharType="separate"/>
      </w:r>
      <w:r w:rsidR="003B7FFA">
        <w:t>Figura 43</w:t>
      </w:r>
      <w:r w:rsidRPr="004A64EF">
        <w:fldChar w:fldCharType="end"/>
      </w:r>
      <w:r>
        <w:t>). Për sa i përket pjesëmarrjeve sektoriale të BRE-ve, parashikohet që në vitin 2030 pjesëmarrja e BRE-ve në energjinë elektrike të jetë 43% dhe të rritet më tej në 66% në vitin 2040, që është 37 pikë përqindje (në vitin 2030) përkatësisht 60 pikë përqindje (në vitin 2040) më e lartë krahasuar me nivelin e viti 2021(</w:t>
      </w:r>
      <w:r w:rsidR="00B7749E" w:rsidRPr="004A64EF">
        <w:fldChar w:fldCharType="begin"/>
      </w:r>
      <w:r w:rsidR="00B7749E" w:rsidRPr="004A64EF">
        <w:instrText xml:space="preserve"> REF _Ref69826518 \h  \* MERGEFORMAT </w:instrText>
      </w:r>
      <w:r w:rsidR="00B7749E" w:rsidRPr="004A64EF">
        <w:fldChar w:fldCharType="separate"/>
      </w:r>
      <w:r w:rsidR="003B7FFA">
        <w:t>Figura 44</w:t>
      </w:r>
      <w:r w:rsidR="00B7749E" w:rsidRPr="004A64EF">
        <w:fldChar w:fldCharType="end"/>
      </w:r>
      <w:r>
        <w:t>). Kjo është në përputhje me objektivin strategjik të përcaktuar në Strategjinë Kombëtare të Energjisë dhe nxitet nga një integrim i shpejtë i teknologjive të ruajtjes së energjisë solare, erës dhe baterive nëpërmjet ankandeve, tenderëve të CPE-së nga ndërmarrjet shtetërore dhe projektet e financuara nga donatorët, dhe mundësisht investim</w:t>
      </w:r>
      <w:r w:rsidR="0037748E">
        <w:t>et e tjera</w:t>
      </w:r>
      <w:r>
        <w:t xml:space="preserve"> private ose partneritetet publiko-private</w:t>
      </w:r>
    </w:p>
    <w:p w14:paraId="64FBBFE8" w14:textId="27CCF468" w:rsidR="00361CB0" w:rsidRPr="00976D33" w:rsidRDefault="00361CB0" w:rsidP="00361CB0">
      <w:r>
        <w:t>Konsumi i biomasës në sektorin e ngrohjes dhe ftohjes parashikohet të ulet gradualisht, ndërsa përdorimi i energjisë solare pritet të rritet ndjeshëm (nga 0.4 ktoe në vitin 2021 në 19.4 ktoe në vitin 2030 dhe 21.4 ktoe në vitin 2040), megjithëse me një kontribut të vogël në pjesëmarrjen e BRE në konsumin e energjisë për ngrohje dhe ftohje. Megjithatë, pjesëmarrja e BRE-ve në këtë sektor do të ulet për tre pikë përqindje në vitin 2030 dhe 10 pikë përqindje në vitin 2040, si pasojë e rritjes së konsumit të energjisë në këtë sektor, dhe njëkohësisht uljes së vogël të konsumit të biomasës (</w:t>
      </w:r>
      <w:r w:rsidRPr="004A64EF">
        <w:fldChar w:fldCharType="begin"/>
      </w:r>
      <w:r w:rsidRPr="004A64EF">
        <w:instrText xml:space="preserve"> REF _Ref69826533 \h  \* MERGEFORMAT </w:instrText>
      </w:r>
      <w:r w:rsidRPr="004A64EF">
        <w:fldChar w:fldCharType="separate"/>
      </w:r>
      <w:r w:rsidR="003B7FFA">
        <w:t>Figura 45</w:t>
      </w:r>
      <w:r w:rsidRPr="004A64EF">
        <w:fldChar w:fldCharType="end"/>
      </w:r>
      <w:r>
        <w:t>). Pjesa e BRE-ve në transport parashikohet të përfshijë vetëm konsumin e energjisë elektrike nga burimet e ripërtëritshme, i cili gradualisht do të rritet gjatë periudhës së planifikimit (</w:t>
      </w:r>
      <w:r w:rsidRPr="004A64EF">
        <w:fldChar w:fldCharType="begin"/>
      </w:r>
      <w:r w:rsidRPr="004A64EF">
        <w:instrText xml:space="preserve"> REF _Ref137551942 \h  \* MERGEFORMAT </w:instrText>
      </w:r>
      <w:r w:rsidRPr="004A64EF">
        <w:fldChar w:fldCharType="separate"/>
      </w:r>
      <w:r w:rsidR="003B7FFA">
        <w:t>Figura 46</w:t>
      </w:r>
      <w:r w:rsidRPr="004A64EF">
        <w:fldChar w:fldCharType="end"/>
      </w:r>
      <w:r>
        <w:t>).</w:t>
      </w:r>
    </w:p>
    <w:p w14:paraId="4F2AAAB7" w14:textId="48C3C886" w:rsidR="00AA7CDF" w:rsidRPr="00976D33" w:rsidRDefault="00AA7CDF" w:rsidP="00361CB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920"/>
      </w:tblGrid>
      <w:tr w:rsidR="00361CB0" w:rsidRPr="00976D33" w14:paraId="04A2D337" w14:textId="77777777">
        <w:tc>
          <w:tcPr>
            <w:tcW w:w="4644" w:type="dxa"/>
            <w:hideMark/>
          </w:tcPr>
          <w:p w14:paraId="6F3D192F" w14:textId="3CB14ABB" w:rsidR="00361CB0" w:rsidRPr="00976D33" w:rsidRDefault="00361CB0">
            <w:pPr>
              <w:pStyle w:val="Caption"/>
              <w:rPr>
                <w:szCs w:val="24"/>
              </w:rPr>
            </w:pPr>
            <w:bookmarkStart w:id="422" w:name="_Ref69826504"/>
            <w:bookmarkStart w:id="423" w:name="_Toc181867246"/>
            <w:r>
              <w:lastRenderedPageBreak/>
              <w:t xml:space="preserve">Figura </w:t>
            </w:r>
            <w:r w:rsidR="00062E07">
              <w:fldChar w:fldCharType="begin"/>
            </w:r>
            <w:r w:rsidR="00062E07">
              <w:instrText xml:space="preserve"> SEQ Figure \* ARABIC </w:instrText>
            </w:r>
            <w:r w:rsidR="00062E07">
              <w:fldChar w:fldCharType="separate"/>
            </w:r>
            <w:r w:rsidR="003B7FFA">
              <w:rPr>
                <w:noProof/>
              </w:rPr>
              <w:t>43</w:t>
            </w:r>
            <w:r w:rsidR="00062E07">
              <w:rPr>
                <w:noProof/>
              </w:rPr>
              <w:fldChar w:fldCharType="end"/>
            </w:r>
            <w:bookmarkEnd w:id="422"/>
            <w:r>
              <w:t>. Pjesëmarrja e BRE-ve në bruto konsumin final të energjisë në periudhën deri në vitin 2040</w:t>
            </w:r>
            <w:bookmarkEnd w:id="423"/>
          </w:p>
        </w:tc>
        <w:tc>
          <w:tcPr>
            <w:tcW w:w="4920" w:type="dxa"/>
            <w:hideMark/>
          </w:tcPr>
          <w:p w14:paraId="15FC21A1" w14:textId="3DAE3157" w:rsidR="00361CB0" w:rsidRPr="00976D33" w:rsidRDefault="00361CB0">
            <w:pPr>
              <w:pStyle w:val="Caption"/>
              <w:rPr>
                <w:szCs w:val="24"/>
              </w:rPr>
            </w:pPr>
            <w:bookmarkStart w:id="424" w:name="_Ref69826518"/>
            <w:bookmarkStart w:id="425" w:name="_Toc181867247"/>
            <w:r>
              <w:t xml:space="preserve">Figura </w:t>
            </w:r>
            <w:r w:rsidR="00062E07">
              <w:fldChar w:fldCharType="begin"/>
            </w:r>
            <w:r w:rsidR="00062E07">
              <w:instrText xml:space="preserve"> SEQ Figure \* ARABIC </w:instrText>
            </w:r>
            <w:r w:rsidR="00062E07">
              <w:fldChar w:fldCharType="separate"/>
            </w:r>
            <w:r w:rsidR="003B7FFA">
              <w:rPr>
                <w:noProof/>
              </w:rPr>
              <w:t>44</w:t>
            </w:r>
            <w:r w:rsidR="00062E07">
              <w:rPr>
                <w:noProof/>
              </w:rPr>
              <w:fldChar w:fldCharType="end"/>
            </w:r>
            <w:bookmarkEnd w:id="424"/>
            <w:r>
              <w:t>. Pjesëmarrja e BRE-ve në bruto konsumin final të energjisë në periudhën deri në vitin 2040</w:t>
            </w:r>
            <w:bookmarkEnd w:id="425"/>
          </w:p>
        </w:tc>
      </w:tr>
    </w:tbl>
    <w:p w14:paraId="5322AE95" w14:textId="1125B039" w:rsidR="00361CB0" w:rsidRPr="00976D33" w:rsidRDefault="00B838B5" w:rsidP="00361CB0">
      <w:pPr>
        <w:spacing w:after="138" w:line="256" w:lineRule="auto"/>
        <w:jc w:val="left"/>
      </w:pPr>
      <w:r>
        <w:rPr>
          <w:noProof/>
          <w:lang w:val="en-US"/>
        </w:rPr>
        <w:drawing>
          <wp:inline distT="0" distB="0" distL="0" distR="0" wp14:anchorId="05DCE634" wp14:editId="3020CBF5">
            <wp:extent cx="6079490" cy="2446020"/>
            <wp:effectExtent l="0" t="0" r="0" b="0"/>
            <wp:docPr id="6928063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79490" cy="2446020"/>
                    </a:xfrm>
                    <a:prstGeom prst="rect">
                      <a:avLst/>
                    </a:prstGeom>
                    <a:noFill/>
                    <a:ln>
                      <a:noFill/>
                    </a:ln>
                  </pic:spPr>
                </pic:pic>
              </a:graphicData>
            </a:graphic>
          </wp:inline>
        </w:drawing>
      </w:r>
    </w:p>
    <w:p w14:paraId="7490664A" w14:textId="77777777" w:rsidR="00361CB0" w:rsidRPr="00976D33" w:rsidRDefault="00361CB0" w:rsidP="00361CB0">
      <w:pPr>
        <w:spacing w:after="138" w:line="256" w:lineRule="auto"/>
        <w:jc w:val="left"/>
      </w:pPr>
      <w:r>
        <w:rPr>
          <w:i/>
          <w:sz w:val="16"/>
        </w:rPr>
        <w:t>Burimi: rezultatet e modelimit vetanak     Burimi: rezultatet e modelimit vetanak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782"/>
      </w:tblGrid>
      <w:tr w:rsidR="00361CB0" w:rsidRPr="00976D33" w14:paraId="56C18599" w14:textId="77777777">
        <w:trPr>
          <w:trHeight w:val="512"/>
        </w:trPr>
        <w:tc>
          <w:tcPr>
            <w:tcW w:w="4644" w:type="dxa"/>
            <w:hideMark/>
          </w:tcPr>
          <w:p w14:paraId="62B10EC1" w14:textId="153CB643" w:rsidR="00361CB0" w:rsidRPr="00976D33" w:rsidRDefault="00361CB0">
            <w:pPr>
              <w:pStyle w:val="Caption"/>
              <w:rPr>
                <w:szCs w:val="24"/>
              </w:rPr>
            </w:pPr>
            <w:bookmarkStart w:id="426" w:name="_Ref69826533"/>
            <w:bookmarkStart w:id="427" w:name="_Toc181867248"/>
            <w:r>
              <w:t xml:space="preserve">Figura </w:t>
            </w:r>
            <w:r w:rsidR="00062E07">
              <w:fldChar w:fldCharType="begin"/>
            </w:r>
            <w:r w:rsidR="00062E07">
              <w:instrText xml:space="preserve"> SEQ Figure \* ARABIC </w:instrText>
            </w:r>
            <w:r w:rsidR="00062E07">
              <w:fldChar w:fldCharType="separate"/>
            </w:r>
            <w:r w:rsidR="003B7FFA">
              <w:rPr>
                <w:noProof/>
              </w:rPr>
              <w:t>45</w:t>
            </w:r>
            <w:r w:rsidR="00062E07">
              <w:rPr>
                <w:noProof/>
              </w:rPr>
              <w:fldChar w:fldCharType="end"/>
            </w:r>
            <w:bookmarkEnd w:id="426"/>
            <w:r>
              <w:t>. Pjesëmarrja e BRE-ve në bruto konsumin final të energjisë për ngrohje dhe ftohje në periudhën deri në vitin 2040</w:t>
            </w:r>
            <w:bookmarkEnd w:id="427"/>
          </w:p>
        </w:tc>
        <w:tc>
          <w:tcPr>
            <w:tcW w:w="4782" w:type="dxa"/>
            <w:hideMark/>
          </w:tcPr>
          <w:p w14:paraId="3D8FF547" w14:textId="7E0D3FD1" w:rsidR="00361CB0" w:rsidRPr="00976D33" w:rsidRDefault="00361CB0">
            <w:pPr>
              <w:pStyle w:val="Caption"/>
              <w:rPr>
                <w:szCs w:val="24"/>
              </w:rPr>
            </w:pPr>
            <w:bookmarkStart w:id="428" w:name="_Ref137551942"/>
            <w:bookmarkStart w:id="429" w:name="_Toc181867249"/>
            <w:r>
              <w:t xml:space="preserve">Figura </w:t>
            </w:r>
            <w:r w:rsidR="00062E07">
              <w:fldChar w:fldCharType="begin"/>
            </w:r>
            <w:r w:rsidR="00062E07">
              <w:instrText xml:space="preserve"> SEQ Figure \* ARABIC </w:instrText>
            </w:r>
            <w:r w:rsidR="00062E07">
              <w:fldChar w:fldCharType="separate"/>
            </w:r>
            <w:r w:rsidR="003B7FFA">
              <w:rPr>
                <w:noProof/>
              </w:rPr>
              <w:t>46</w:t>
            </w:r>
            <w:r w:rsidR="00062E07">
              <w:rPr>
                <w:noProof/>
              </w:rPr>
              <w:fldChar w:fldCharType="end"/>
            </w:r>
            <w:bookmarkEnd w:id="428"/>
            <w:r>
              <w:t>. Pjesëmarrja e BRE-ve në bruto konsumin final të energjisë në transport në periudhën deri në vitin 2040</w:t>
            </w:r>
            <w:bookmarkEnd w:id="429"/>
          </w:p>
        </w:tc>
      </w:tr>
    </w:tbl>
    <w:p w14:paraId="5D22679F" w14:textId="13839A9F" w:rsidR="00361CB0" w:rsidRPr="00976D33" w:rsidRDefault="0010150B" w:rsidP="00361CB0">
      <w:pPr>
        <w:spacing w:after="0" w:line="240" w:lineRule="auto"/>
        <w:jc w:val="left"/>
      </w:pPr>
      <w:r>
        <w:rPr>
          <w:noProof/>
          <w:lang w:val="en-US"/>
        </w:rPr>
        <w:drawing>
          <wp:inline distT="0" distB="0" distL="0" distR="0" wp14:anchorId="7F831649" wp14:editId="3AA6291A">
            <wp:extent cx="6079490" cy="2312035"/>
            <wp:effectExtent l="0" t="0" r="0" b="0"/>
            <wp:docPr id="6977392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079490" cy="2312035"/>
                    </a:xfrm>
                    <a:prstGeom prst="rect">
                      <a:avLst/>
                    </a:prstGeom>
                    <a:noFill/>
                    <a:ln>
                      <a:noFill/>
                    </a:ln>
                  </pic:spPr>
                </pic:pic>
              </a:graphicData>
            </a:graphic>
          </wp:inline>
        </w:drawing>
      </w:r>
    </w:p>
    <w:p w14:paraId="0BEE1C47" w14:textId="77777777" w:rsidR="00361CB0" w:rsidRPr="00976D33" w:rsidRDefault="00361CB0" w:rsidP="00361CB0">
      <w:pPr>
        <w:spacing w:after="0" w:line="240" w:lineRule="auto"/>
        <w:jc w:val="left"/>
      </w:pPr>
      <w:r>
        <w:rPr>
          <w:i/>
          <w:sz w:val="16"/>
        </w:rPr>
        <w:t>Burimi: rezultatet e modelimit vetanak     Burimi: rezultatet e modelimit vetanak</w:t>
      </w:r>
    </w:p>
    <w:p w14:paraId="48BF8E48" w14:textId="77777777" w:rsidR="00361CB0" w:rsidRPr="00976D33" w:rsidRDefault="00361CB0" w:rsidP="00361CB0">
      <w:pPr>
        <w:pStyle w:val="BodyText"/>
      </w:pPr>
      <w:r>
        <w:t xml:space="preserve">Shënim: Bruto konsumi final i energjisë për ngrohje dhe ftohje nuk përfshin konsumin e energjisë elektrike (në të gjithë sektorët) dhe konsumin e energjisë në sektorin e transportit </w:t>
      </w:r>
      <w:r>
        <w:br w:type="page"/>
      </w:r>
    </w:p>
    <w:p w14:paraId="77C24CB9" w14:textId="77777777" w:rsidR="00361CB0" w:rsidRPr="00976D33" w:rsidRDefault="00361CB0" w:rsidP="006E6E51">
      <w:pPr>
        <w:pStyle w:val="Heading2"/>
      </w:pPr>
      <w:bookmarkStart w:id="430" w:name="_Toc182302328"/>
      <w:r>
        <w:lastRenderedPageBreak/>
        <w:t>Dimensioni i efiçiencës së energjisë</w:t>
      </w:r>
      <w:bookmarkEnd w:id="430"/>
      <w:r>
        <w:t xml:space="preserve"> </w:t>
      </w:r>
    </w:p>
    <w:p w14:paraId="74065CF9" w14:textId="718E0CB2" w:rsidR="00361CB0" w:rsidRPr="00976D33" w:rsidRDefault="00361CB0" w:rsidP="00AF7BBF">
      <w:pPr>
        <w:pStyle w:val="Heading3"/>
        <w:numPr>
          <w:ilvl w:val="0"/>
          <w:numId w:val="66"/>
        </w:numPr>
      </w:pPr>
      <w:bookmarkStart w:id="431" w:name="_Toc71271848"/>
      <w:bookmarkStart w:id="432" w:name="_Toc182302329"/>
      <w:r>
        <w:t>Konsumi aktual primar dhe final i energjisë në ekonomi dhe për sektor</w:t>
      </w:r>
      <w:bookmarkEnd w:id="431"/>
      <w:bookmarkEnd w:id="432"/>
      <w:r>
        <w:t xml:space="preserve"> </w:t>
      </w:r>
    </w:p>
    <w:p w14:paraId="3329C1C1" w14:textId="2A011F60" w:rsidR="00361CB0" w:rsidRPr="00976D33" w:rsidRDefault="00361CB0" w:rsidP="00361CB0">
      <w:r>
        <w:t>Konsumi primar i energjisë në Kosovë përfshin përdorimin e thëngjillit, produkteve të naftës (benzinë, naftë, naftë për ngrohje, kerozinë dhe gaz i lëngshëm i naftës - LPG), biomasës, energjisë hidrike, erës dhe energjisë solare. Energjia elektrike trajtohet si energji primare vetëm në aspektin e importit dhe eksportit. Kjo qasje bazohet në metodologjinë e Eurostatit për bilancet e energjisë. Konsumi primar i energjisë në periudhën 2013 - 2021 u rrit për 25%, duke arritur në 2,888 ktoe në vitin 2021 (</w:t>
      </w:r>
      <w:r w:rsidRPr="00976D33">
        <w:fldChar w:fldCharType="begin"/>
      </w:r>
      <w:r w:rsidRPr="00976D33">
        <w:instrText xml:space="preserve"> REF _Ref69826639 \h </w:instrText>
      </w:r>
      <w:r w:rsidR="004A7007" w:rsidRPr="00976D33">
        <w:instrText xml:space="preserve"> \* MERGEFORMAT </w:instrText>
      </w:r>
      <w:r w:rsidRPr="00976D33">
        <w:fldChar w:fldCharType="separate"/>
      </w:r>
      <w:r w:rsidR="003B7FFA">
        <w:t>Figura 47</w:t>
      </w:r>
      <w:r w:rsidRPr="00976D33">
        <w:fldChar w:fldCharType="end"/>
      </w:r>
      <w:r>
        <w:t>), nga të cilat afro 97% janë qymyr (54%), produkte të naftës (30%) dhe biomasë (13%) (</w:t>
      </w:r>
      <w:r w:rsidRPr="00976D33">
        <w:fldChar w:fldCharType="begin"/>
      </w:r>
      <w:r w:rsidRPr="00976D33">
        <w:instrText xml:space="preserve"> REF _Ref69826689 \h  \* MERGEFORMAT </w:instrText>
      </w:r>
      <w:r w:rsidRPr="00976D33">
        <w:fldChar w:fldCharType="separate"/>
      </w:r>
      <w:r w:rsidR="003B7FFA">
        <w:t>Figura 48</w:t>
      </w:r>
      <w:r w:rsidRPr="00976D33">
        <w:fldChar w:fldCharType="end"/>
      </w:r>
      <w:r>
        <w:t>). Në të njëjtën kohë, konsumi final i energjisë është rritur për 42% (</w:t>
      </w:r>
      <w:r w:rsidRPr="00976D33">
        <w:fldChar w:fldCharType="begin"/>
      </w:r>
      <w:r w:rsidRPr="00976D33">
        <w:instrText xml:space="preserve"> REF _Ref137552705 \h </w:instrText>
      </w:r>
      <w:r w:rsidR="004A7007" w:rsidRPr="00976D33">
        <w:instrText xml:space="preserve"> \* MERGEFORMAT </w:instrText>
      </w:r>
      <w:r w:rsidRPr="00976D33">
        <w:fldChar w:fldCharType="separate"/>
      </w:r>
      <w:r w:rsidR="003B7FFA">
        <w:t>Figura 49</w:t>
      </w:r>
      <w:r w:rsidRPr="00976D33">
        <w:fldChar w:fldCharType="end"/>
      </w:r>
      <w:r>
        <w:t>). Sektori i ekonomive familjare mbetet dominues sa i përket kërkesës (40% në 2021), i pasuar nga sektori i transportit (28%) dhe industria (20%) (</w:t>
      </w:r>
      <w:r w:rsidRPr="00976D33">
        <w:fldChar w:fldCharType="begin"/>
      </w:r>
      <w:r w:rsidRPr="00976D33">
        <w:instrText xml:space="preserve"> REF _Ref69827017 \h  \* MERGEFORMAT </w:instrText>
      </w:r>
      <w:r w:rsidRPr="00976D33">
        <w:fldChar w:fldCharType="separate"/>
      </w:r>
      <w:r w:rsidR="003B7FFA">
        <w:t>Figura 50</w:t>
      </w:r>
      <w:r w:rsidRPr="00976D33">
        <w:fldChar w:fldCharType="end"/>
      </w:r>
      <w:r>
        <w:t xml:space="preserve">).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3184"/>
      </w:tblGrid>
      <w:tr w:rsidR="00361CB0" w:rsidRPr="00976D33" w14:paraId="2B38AA95" w14:textId="77777777">
        <w:tc>
          <w:tcPr>
            <w:tcW w:w="6300" w:type="dxa"/>
            <w:hideMark/>
          </w:tcPr>
          <w:p w14:paraId="63FAE858" w14:textId="78254532" w:rsidR="00361CB0" w:rsidRPr="00976D33" w:rsidRDefault="00361CB0">
            <w:pPr>
              <w:pStyle w:val="Caption"/>
              <w:rPr>
                <w:szCs w:val="24"/>
              </w:rPr>
            </w:pPr>
            <w:bookmarkStart w:id="433" w:name="_Ref69826639"/>
            <w:bookmarkStart w:id="434" w:name="_Toc181867250"/>
            <w:r>
              <w:t xml:space="preserve">Figura </w:t>
            </w:r>
            <w:r w:rsidR="00062E07">
              <w:fldChar w:fldCharType="begin"/>
            </w:r>
            <w:r w:rsidR="00062E07">
              <w:instrText xml:space="preserve"> SEQ Figure \* ARABIC </w:instrText>
            </w:r>
            <w:r w:rsidR="00062E07">
              <w:fldChar w:fldCharType="separate"/>
            </w:r>
            <w:r w:rsidR="003B7FFA">
              <w:rPr>
                <w:noProof/>
              </w:rPr>
              <w:t>47</w:t>
            </w:r>
            <w:r w:rsidR="00062E07">
              <w:rPr>
                <w:noProof/>
              </w:rPr>
              <w:fldChar w:fldCharType="end"/>
            </w:r>
            <w:bookmarkEnd w:id="433"/>
            <w:r>
              <w:t>. Pasqyra e përgjithshme e konsumit primar të energjisë sipas lëndëve djegëse 2013-2021</w:t>
            </w:r>
            <w:bookmarkEnd w:id="434"/>
            <w:r>
              <w:t xml:space="preserve"> </w:t>
            </w:r>
          </w:p>
        </w:tc>
        <w:tc>
          <w:tcPr>
            <w:tcW w:w="3184" w:type="dxa"/>
            <w:hideMark/>
          </w:tcPr>
          <w:p w14:paraId="2BB07301" w14:textId="47371F19" w:rsidR="00361CB0" w:rsidRPr="00976D33" w:rsidRDefault="00361CB0">
            <w:pPr>
              <w:pStyle w:val="Caption"/>
              <w:rPr>
                <w:szCs w:val="24"/>
              </w:rPr>
            </w:pPr>
            <w:bookmarkStart w:id="435" w:name="_Ref69826689"/>
            <w:bookmarkStart w:id="436" w:name="_Toc181867251"/>
            <w:r>
              <w:t xml:space="preserve">Figura </w:t>
            </w:r>
            <w:r w:rsidR="00062E07">
              <w:fldChar w:fldCharType="begin"/>
            </w:r>
            <w:r w:rsidR="00062E07">
              <w:instrText xml:space="preserve"> SEQ Figure \* ARABIC </w:instrText>
            </w:r>
            <w:r w:rsidR="00062E07">
              <w:fldChar w:fldCharType="separate"/>
            </w:r>
            <w:r w:rsidR="003B7FFA">
              <w:rPr>
                <w:noProof/>
              </w:rPr>
              <w:t>48</w:t>
            </w:r>
            <w:r w:rsidR="00062E07">
              <w:rPr>
                <w:noProof/>
              </w:rPr>
              <w:fldChar w:fldCharType="end"/>
            </w:r>
            <w:bookmarkEnd w:id="435"/>
            <w:r>
              <w:t>. Pjesëmarrja sipas karburanteve në konsumin primar të energjisë, 2021</w:t>
            </w:r>
            <w:bookmarkEnd w:id="436"/>
          </w:p>
        </w:tc>
      </w:tr>
    </w:tbl>
    <w:p w14:paraId="37F4D8F7" w14:textId="77777777" w:rsidR="00361CB0" w:rsidRPr="00976D33" w:rsidRDefault="00361CB0" w:rsidP="00361CB0">
      <w:pPr>
        <w:ind w:left="-142"/>
        <w:rPr>
          <w:rFonts w:ascii="Calibri" w:hAnsi="Calibri"/>
        </w:rPr>
      </w:pPr>
      <w:r>
        <w:rPr>
          <w:noProof/>
          <w:lang w:val="en-US"/>
        </w:rPr>
        <w:drawing>
          <wp:inline distT="0" distB="0" distL="0" distR="0" wp14:anchorId="619420A1" wp14:editId="4D5E039E">
            <wp:extent cx="6079490" cy="2482850"/>
            <wp:effectExtent l="0" t="0" r="0" b="0"/>
            <wp:docPr id="1477423737" name="Grafik 147742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79490" cy="2482850"/>
                    </a:xfrm>
                    <a:prstGeom prst="rect">
                      <a:avLst/>
                    </a:prstGeom>
                    <a:noFill/>
                    <a:ln>
                      <a:noFill/>
                    </a:ln>
                  </pic:spPr>
                </pic:pic>
              </a:graphicData>
            </a:graphic>
          </wp:inline>
        </w:drawing>
      </w:r>
    </w:p>
    <w:p w14:paraId="47345678" w14:textId="77777777" w:rsidR="00361CB0" w:rsidRPr="00976D33" w:rsidRDefault="00361CB0" w:rsidP="00361CB0">
      <w:pPr>
        <w:ind w:left="-142"/>
        <w:rPr>
          <w:rFonts w:ascii="Calibri" w:hAnsi="Calibri"/>
        </w:rPr>
      </w:pPr>
      <w:r>
        <w:rPr>
          <w:i/>
          <w:sz w:val="16"/>
        </w:rPr>
        <w:t>Burimi: Eurostat</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3094"/>
      </w:tblGrid>
      <w:tr w:rsidR="00361CB0" w:rsidRPr="00976D33" w14:paraId="23F6B9E3" w14:textId="77777777">
        <w:tc>
          <w:tcPr>
            <w:tcW w:w="6210" w:type="dxa"/>
            <w:hideMark/>
          </w:tcPr>
          <w:p w14:paraId="3DE61229" w14:textId="05C732E3" w:rsidR="00361CB0" w:rsidRPr="00976D33" w:rsidRDefault="00361CB0">
            <w:pPr>
              <w:pStyle w:val="Caption"/>
              <w:rPr>
                <w:szCs w:val="24"/>
              </w:rPr>
            </w:pPr>
            <w:bookmarkStart w:id="437" w:name="_Ref137552705"/>
            <w:bookmarkStart w:id="438" w:name="_Toc181867252"/>
            <w:r>
              <w:t xml:space="preserve">Figura </w:t>
            </w:r>
            <w:r w:rsidR="00062E07">
              <w:fldChar w:fldCharType="begin"/>
            </w:r>
            <w:r w:rsidR="00062E07">
              <w:instrText xml:space="preserve"> SEQ Figure \* ARABIC </w:instrText>
            </w:r>
            <w:r w:rsidR="00062E07">
              <w:fldChar w:fldCharType="separate"/>
            </w:r>
            <w:r w:rsidR="003B7FFA">
              <w:rPr>
                <w:noProof/>
              </w:rPr>
              <w:t>49</w:t>
            </w:r>
            <w:r w:rsidR="00062E07">
              <w:rPr>
                <w:noProof/>
              </w:rPr>
              <w:fldChar w:fldCharType="end"/>
            </w:r>
            <w:bookmarkEnd w:id="437"/>
            <w:r>
              <w:t>. Pasqyra e përgjithshme e konsumit final sipas sektorëve, 2013-2021</w:t>
            </w:r>
            <w:bookmarkEnd w:id="438"/>
          </w:p>
        </w:tc>
        <w:tc>
          <w:tcPr>
            <w:tcW w:w="3094" w:type="dxa"/>
            <w:hideMark/>
          </w:tcPr>
          <w:p w14:paraId="3E537D32" w14:textId="16325AB5" w:rsidR="00361CB0" w:rsidRPr="00976D33" w:rsidRDefault="00361CB0">
            <w:pPr>
              <w:pStyle w:val="Caption"/>
              <w:rPr>
                <w:szCs w:val="24"/>
              </w:rPr>
            </w:pPr>
            <w:bookmarkStart w:id="439" w:name="_Ref69827017"/>
            <w:bookmarkStart w:id="440" w:name="_Toc181867253"/>
            <w:r>
              <w:t xml:space="preserve">Figura </w:t>
            </w:r>
            <w:r w:rsidR="00062E07">
              <w:fldChar w:fldCharType="begin"/>
            </w:r>
            <w:r w:rsidR="00062E07">
              <w:instrText xml:space="preserve"> SEQ Figure \* ARABIC </w:instrText>
            </w:r>
            <w:r w:rsidR="00062E07">
              <w:fldChar w:fldCharType="separate"/>
            </w:r>
            <w:r w:rsidR="003B7FFA">
              <w:rPr>
                <w:noProof/>
              </w:rPr>
              <w:t>50</w:t>
            </w:r>
            <w:r w:rsidR="00062E07">
              <w:rPr>
                <w:noProof/>
              </w:rPr>
              <w:fldChar w:fldCharType="end"/>
            </w:r>
            <w:bookmarkEnd w:id="439"/>
            <w:r>
              <w:t>. Pjesëmarrja sipas karburanteve në konsumin final të energjisë, 2021</w:t>
            </w:r>
            <w:bookmarkEnd w:id="440"/>
          </w:p>
        </w:tc>
      </w:tr>
    </w:tbl>
    <w:p w14:paraId="4B460152" w14:textId="77777777" w:rsidR="00361CB0" w:rsidRPr="00976D33" w:rsidRDefault="00361CB0" w:rsidP="00361CB0">
      <w:pPr>
        <w:rPr>
          <w:rFonts w:ascii="Calibri" w:hAnsi="Calibri"/>
        </w:rPr>
      </w:pPr>
      <w:r>
        <w:rPr>
          <w:noProof/>
          <w:lang w:val="en-US"/>
        </w:rPr>
        <w:drawing>
          <wp:inline distT="0" distB="0" distL="0" distR="0" wp14:anchorId="493A4FD3" wp14:editId="4AD074C6">
            <wp:extent cx="6079490" cy="2525395"/>
            <wp:effectExtent l="0" t="0" r="0" b="0"/>
            <wp:docPr id="1965075432" name="Grafik 196507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79490" cy="2525395"/>
                    </a:xfrm>
                    <a:prstGeom prst="rect">
                      <a:avLst/>
                    </a:prstGeom>
                    <a:noFill/>
                    <a:ln>
                      <a:noFill/>
                    </a:ln>
                  </pic:spPr>
                </pic:pic>
              </a:graphicData>
            </a:graphic>
          </wp:inline>
        </w:drawing>
      </w:r>
    </w:p>
    <w:p w14:paraId="57AD880B" w14:textId="77777777" w:rsidR="00361CB0" w:rsidRPr="00976D33" w:rsidRDefault="00361CB0" w:rsidP="00361CB0">
      <w:pPr>
        <w:ind w:left="-142"/>
        <w:rPr>
          <w:rFonts w:ascii="Calibri" w:hAnsi="Calibri"/>
        </w:rPr>
      </w:pPr>
      <w:r>
        <w:rPr>
          <w:i/>
          <w:sz w:val="16"/>
        </w:rPr>
        <w:t>Burimi: Eurostat</w:t>
      </w:r>
    </w:p>
    <w:p w14:paraId="3749055C" w14:textId="77777777" w:rsidR="00361CB0" w:rsidRPr="00976D33" w:rsidRDefault="00361CB0" w:rsidP="00AF7BBF">
      <w:pPr>
        <w:pStyle w:val="Heading3"/>
        <w:numPr>
          <w:ilvl w:val="0"/>
          <w:numId w:val="66"/>
        </w:numPr>
      </w:pPr>
      <w:bookmarkStart w:id="441" w:name="_Toc71271849"/>
      <w:bookmarkStart w:id="442" w:name="_Toc182302330"/>
      <w:r>
        <w:lastRenderedPageBreak/>
        <w:t>Potenciali aktual për aplikimin e kogjenerimit me efiçiencë të lartë dhe ngrohjes dhe ftohjes qendrore efiçiente</w:t>
      </w:r>
      <w:bookmarkEnd w:id="441"/>
      <w:bookmarkEnd w:id="442"/>
    </w:p>
    <w:p w14:paraId="075F5B77" w14:textId="38EFD25D" w:rsidR="00361CB0" w:rsidRPr="00976D33" w:rsidRDefault="00361CB0" w:rsidP="00361CB0">
      <w:r>
        <w:t>Sistemet e ngrohjes qendrore (NQ) në Kosovë janë të kufizuara në vetëm katër komuna (Prishtinë, Gjakovë, Mitrovicë dhe Zveçan). Sipas Raportit Vjetor për vitin 2022 të Zyrës së Rregullatorit për Energji, aktualisht kapaciteti operativ i sistemeve të ngrohjes qendrore të Kosovës përfshin:</w:t>
      </w:r>
    </w:p>
    <w:p w14:paraId="70448AD1" w14:textId="77777777" w:rsidR="00361CB0" w:rsidRPr="00976D33" w:rsidRDefault="00361CB0" w:rsidP="00AF7BBF">
      <w:pPr>
        <w:numPr>
          <w:ilvl w:val="0"/>
          <w:numId w:val="58"/>
        </w:numPr>
      </w:pPr>
      <w:r>
        <w:t>NQ Termokos në Prishtinë, që përbëhet nga dy impiante të ngrohjes qendrore (120 MW</w:t>
      </w:r>
      <w:r>
        <w:rPr>
          <w:vertAlign w:val="subscript"/>
        </w:rPr>
        <w:t>th</w:t>
      </w:r>
      <w:r>
        <w:t>, dhe 14 MW</w:t>
      </w:r>
      <w:r>
        <w:rPr>
          <w:vertAlign w:val="subscript"/>
        </w:rPr>
        <w:t>th</w:t>
      </w:r>
      <w:r>
        <w:t>, - Qendra Klinike Universitare) dhe një PNQ (140 MW</w:t>
      </w:r>
      <w:r>
        <w:rPr>
          <w:vertAlign w:val="subscript"/>
        </w:rPr>
        <w:t>th</w:t>
      </w:r>
      <w:r>
        <w:t xml:space="preserve"> stacioni i nxjerrjes së energjisë në njësitë B1 dhe B2 të TC Kosova B). </w:t>
      </w:r>
    </w:p>
    <w:p w14:paraId="108E62AC" w14:textId="636606BC" w:rsidR="00361CB0" w:rsidRPr="00976D33" w:rsidRDefault="00361CB0" w:rsidP="00AF7BBF">
      <w:pPr>
        <w:numPr>
          <w:ilvl w:val="0"/>
          <w:numId w:val="58"/>
        </w:numPr>
      </w:pPr>
      <w:r>
        <w:t>NQ Gjakova në Gjakovë përbëhet nga një impiant i ngrohjes qendrore me biomasë (dy njësi prej 5.5 MW</w:t>
      </w:r>
      <w:r>
        <w:rPr>
          <w:vertAlign w:val="subscript"/>
        </w:rPr>
        <w:t>th</w:t>
      </w:r>
      <w:r>
        <w:t>) dhe një PNQ me biomasë (4 MW</w:t>
      </w:r>
      <w:r>
        <w:rPr>
          <w:vertAlign w:val="subscript"/>
        </w:rPr>
        <w:t>th</w:t>
      </w:r>
      <w:r>
        <w:t>).</w:t>
      </w:r>
    </w:p>
    <w:p w14:paraId="416C25F1" w14:textId="287F00DB" w:rsidR="00361CB0" w:rsidRPr="00976D33" w:rsidRDefault="00361CB0" w:rsidP="00361CB0">
      <w:r>
        <w:t>Gjatë sezonit të ngrohjes 2020-2022, e gjithë kërkesa për ngrohje e sistemit të ngrohjes qendrore të Prishtinës është siguruar nga PNQ në TC Kosova B. Pas periudhës së testimit në vitin 2020/2021, NQ Gjakova ka filluar me funksionimin komercial në sezonin e ngrohjes 2021/2022.</w:t>
      </w:r>
    </w:p>
    <w:p w14:paraId="12FA1CC9" w14:textId="16FBBF08" w:rsidR="00361CB0" w:rsidRPr="00976D33" w:rsidRDefault="00361CB0" w:rsidP="00361CB0">
      <w:r>
        <w:t>Sa i përket potencialit për aplikimin e kogjenerimit me efiçiencë të lartë dhe ngrohjes qendrore efiçiente, në vitin 2022 është kryer studimi i fizibilitetit për sistemet e NQ-së në tetë komuna (Pejë, Prizren, Gjilan, Ferizaj, Mitrovicë, Drenas, Obiliq dhe Zveçan). Qëllimi kryesor i këtij studimi është të analizohen fizibilitetin ekonomiko-financiar dhe teknik të sistemit të NQ-së bazuar në BRE (p.sh., biomasë, gjeotermale, pompë termike solare).</w:t>
      </w:r>
    </w:p>
    <w:p w14:paraId="202F0025" w14:textId="71705F66" w:rsidR="00361CB0" w:rsidRPr="00976D33" w:rsidRDefault="00361CB0" w:rsidP="00361CB0">
      <w:r>
        <w:t>Një masë tjetër është diversifikimi i sistemit ekzistues të NQ-së të Prishtinës duke përfshirë të paktën 50 MW</w:t>
      </w:r>
      <w:r>
        <w:rPr>
          <w:vertAlign w:val="subscript"/>
        </w:rPr>
        <w:t>th</w:t>
      </w:r>
      <w:r>
        <w:t xml:space="preserve"> me teknologji të ngrohjes me bazë solare deri në vitin 2028.</w:t>
      </w:r>
    </w:p>
    <w:p w14:paraId="46255CF7" w14:textId="6D5BC0F1" w:rsidR="00361CB0" w:rsidRPr="00976D33" w:rsidRDefault="00361CB0" w:rsidP="00361CB0">
      <w:r>
        <w:t>Plani zhvillimor i NQ Termokos për periudhën 2021-2040 (</w:t>
      </w:r>
      <w:r w:rsidRPr="00976D33">
        <w:fldChar w:fldCharType="begin"/>
      </w:r>
      <w:r w:rsidRPr="00976D33">
        <w:instrText xml:space="preserve"> REF _Ref137650764 \h </w:instrText>
      </w:r>
      <w:r w:rsidR="004A7007" w:rsidRPr="00976D33">
        <w:instrText xml:space="preserve"> \* MERGEFORMAT </w:instrText>
      </w:r>
      <w:r w:rsidRPr="00976D33">
        <w:fldChar w:fldCharType="separate"/>
      </w:r>
      <w:r w:rsidR="003B7FFA">
        <w:t>Tabela 15</w:t>
      </w:r>
      <w:r w:rsidRPr="00976D33">
        <w:fldChar w:fldCharType="end"/>
      </w:r>
      <w:r>
        <w:t xml:space="preserve">) tregon se sipërfaqja totale e ngrohjes (ekonomitë familjare dhe objektet publike dhe komerciale) planifikohet të rritet për gati tri herë. Gjatë kësaj periudhe kohore, parashikohet që numri i ekonomive familjare të lidhura në sistemin e NQ-së do të rritet për 2.3 herë, ndërsa numri i objekteve publike dhe komerciale parashikohet të rritet për rreth dy herë më shumë. Në të njëjtën kohë, kërkesa totale për ngrohje, në vitin 2040, parashikohet të arrijë në 729 GWh, një rritje prej gati 2.5 herë krahasuar me nivelet e vitit 2021. </w:t>
      </w:r>
    </w:p>
    <w:p w14:paraId="226C3B2F" w14:textId="704B78CB" w:rsidR="00361CB0" w:rsidRPr="00976D33" w:rsidRDefault="00361CB0" w:rsidP="00361CB0">
      <w:pPr>
        <w:pStyle w:val="Caption"/>
      </w:pPr>
      <w:bookmarkStart w:id="443" w:name="_Ref137650764"/>
      <w:bookmarkStart w:id="444" w:name="_Toc181867308"/>
      <w:r>
        <w:t xml:space="preserve">Tabela </w:t>
      </w:r>
      <w:r w:rsidRPr="00976D33">
        <w:fldChar w:fldCharType="begin"/>
      </w:r>
      <w:r w:rsidRPr="00976D33">
        <w:instrText>SEQ Table \* ARABIC</w:instrText>
      </w:r>
      <w:r w:rsidRPr="00976D33">
        <w:fldChar w:fldCharType="separate"/>
      </w:r>
      <w:r w:rsidR="003B7FFA">
        <w:rPr>
          <w:noProof/>
        </w:rPr>
        <w:t>15</w:t>
      </w:r>
      <w:r w:rsidRPr="00976D33">
        <w:fldChar w:fldCharType="end"/>
      </w:r>
      <w:bookmarkEnd w:id="443"/>
      <w:r>
        <w:t>. Parashikimet për konsumin e energjisë dhe sipërfaqen e ngrohur nga NQ Termokos, 2021-2040</w:t>
      </w:r>
      <w:bookmarkEnd w:id="444"/>
    </w:p>
    <w:tbl>
      <w:tblPr>
        <w:tblStyle w:val="GridTable5DarkAccent100"/>
        <w:tblW w:w="9569" w:type="dxa"/>
        <w:tblInd w:w="-5" w:type="dxa"/>
        <w:tblLook w:val="04A0" w:firstRow="1" w:lastRow="0" w:firstColumn="1" w:lastColumn="0" w:noHBand="0" w:noVBand="1"/>
      </w:tblPr>
      <w:tblGrid>
        <w:gridCol w:w="852"/>
        <w:gridCol w:w="1035"/>
        <w:gridCol w:w="1214"/>
        <w:gridCol w:w="1307"/>
        <w:gridCol w:w="1151"/>
        <w:gridCol w:w="1331"/>
        <w:gridCol w:w="1340"/>
        <w:gridCol w:w="1339"/>
      </w:tblGrid>
      <w:tr w:rsidR="00FC05C4" w:rsidRPr="00976D33" w14:paraId="76CA52E3" w14:textId="77777777" w:rsidTr="00FC05C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53" w:type="dxa"/>
            <w:noWrap/>
            <w:hideMark/>
          </w:tcPr>
          <w:p w14:paraId="5849AF80" w14:textId="77777777" w:rsidR="00361CB0" w:rsidRPr="00976D33" w:rsidRDefault="00361CB0">
            <w:pPr>
              <w:spacing w:before="0" w:after="0" w:line="240" w:lineRule="auto"/>
              <w:jc w:val="left"/>
              <w:rPr>
                <w:rFonts w:asciiTheme="majorHAnsi" w:eastAsia="Times New Roman" w:hAnsiTheme="majorHAnsi" w:cstheme="majorHAnsi"/>
                <w:color w:val="FFFFFF" w:themeColor="background1"/>
                <w:sz w:val="16"/>
                <w:szCs w:val="16"/>
                <w:lang w:eastAsia="en-GB"/>
              </w:rPr>
            </w:pPr>
          </w:p>
        </w:tc>
        <w:tc>
          <w:tcPr>
            <w:tcW w:w="2253" w:type="dxa"/>
            <w:gridSpan w:val="2"/>
            <w:noWrap/>
            <w:vAlign w:val="center"/>
            <w:hideMark/>
          </w:tcPr>
          <w:p w14:paraId="1DDE9486" w14:textId="77777777" w:rsidR="00361CB0" w:rsidRPr="00976D33" w:rsidRDefault="00361CB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sz w:val="16"/>
                <w:szCs w:val="16"/>
              </w:rPr>
            </w:pPr>
            <w:r>
              <w:rPr>
                <w:rFonts w:asciiTheme="majorHAnsi" w:hAnsiTheme="majorHAnsi"/>
                <w:color w:val="FFFFFF" w:themeColor="background1"/>
                <w:sz w:val="16"/>
              </w:rPr>
              <w:t>Kërkesa totale në të gjithë sistemin dhe ngarkesa maksimale</w:t>
            </w:r>
          </w:p>
        </w:tc>
        <w:tc>
          <w:tcPr>
            <w:tcW w:w="2444" w:type="dxa"/>
            <w:gridSpan w:val="2"/>
            <w:noWrap/>
            <w:vAlign w:val="center"/>
            <w:hideMark/>
          </w:tcPr>
          <w:p w14:paraId="7EF4960B" w14:textId="77777777" w:rsidR="00361CB0" w:rsidRPr="00976D33" w:rsidRDefault="00361CB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sz w:val="16"/>
                <w:szCs w:val="16"/>
              </w:rPr>
            </w:pPr>
            <w:r>
              <w:rPr>
                <w:rFonts w:asciiTheme="majorHAnsi" w:hAnsiTheme="majorHAnsi"/>
                <w:color w:val="FFFFFF" w:themeColor="background1"/>
                <w:sz w:val="16"/>
              </w:rPr>
              <w:t>Ndërtesat rezidenciale</w:t>
            </w:r>
          </w:p>
        </w:tc>
        <w:tc>
          <w:tcPr>
            <w:tcW w:w="2677" w:type="dxa"/>
            <w:gridSpan w:val="2"/>
            <w:noWrap/>
            <w:vAlign w:val="center"/>
            <w:hideMark/>
          </w:tcPr>
          <w:p w14:paraId="082D1B23" w14:textId="77777777" w:rsidR="00361CB0" w:rsidRPr="00976D33" w:rsidRDefault="00361CB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sz w:val="16"/>
                <w:szCs w:val="16"/>
              </w:rPr>
            </w:pPr>
            <w:r>
              <w:rPr>
                <w:rFonts w:asciiTheme="majorHAnsi" w:hAnsiTheme="majorHAnsi"/>
                <w:color w:val="FFFFFF" w:themeColor="background1"/>
                <w:sz w:val="16"/>
              </w:rPr>
              <w:t>Ndërtesa publike dhe komerciale</w:t>
            </w:r>
          </w:p>
        </w:tc>
        <w:tc>
          <w:tcPr>
            <w:tcW w:w="1342" w:type="dxa"/>
            <w:noWrap/>
            <w:vAlign w:val="center"/>
            <w:hideMark/>
          </w:tcPr>
          <w:p w14:paraId="4576B9FF" w14:textId="77777777" w:rsidR="00361CB0" w:rsidRPr="00976D33" w:rsidRDefault="00361CB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sz w:val="16"/>
                <w:szCs w:val="16"/>
              </w:rPr>
            </w:pPr>
            <w:r>
              <w:rPr>
                <w:rFonts w:asciiTheme="majorHAnsi" w:hAnsiTheme="majorHAnsi"/>
                <w:color w:val="FFFFFF" w:themeColor="background1"/>
                <w:sz w:val="16"/>
              </w:rPr>
              <w:t>Gjithsej</w:t>
            </w:r>
          </w:p>
        </w:tc>
      </w:tr>
      <w:tr w:rsidR="00305800" w:rsidRPr="00976D33" w14:paraId="6E412EA2" w14:textId="77777777" w:rsidTr="00FC05C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53" w:type="dxa"/>
            <w:noWrap/>
            <w:hideMark/>
          </w:tcPr>
          <w:p w14:paraId="4ADAB3D8" w14:textId="77777777" w:rsidR="00361CB0" w:rsidRPr="00976D33" w:rsidRDefault="00361CB0">
            <w:pPr>
              <w:spacing w:before="0" w:after="0" w:line="240" w:lineRule="auto"/>
              <w:jc w:val="center"/>
              <w:rPr>
                <w:rFonts w:asciiTheme="majorHAnsi" w:eastAsia="Times New Roman" w:hAnsiTheme="majorHAnsi" w:cstheme="majorHAnsi"/>
                <w:color w:val="FFFFFF" w:themeColor="background1"/>
                <w:sz w:val="16"/>
                <w:szCs w:val="16"/>
                <w:lang w:eastAsia="en-GB"/>
              </w:rPr>
            </w:pPr>
          </w:p>
        </w:tc>
        <w:tc>
          <w:tcPr>
            <w:tcW w:w="1037" w:type="dxa"/>
            <w:noWrap/>
            <w:vAlign w:val="center"/>
            <w:hideMark/>
          </w:tcPr>
          <w:p w14:paraId="4332362B" w14:textId="77777777" w:rsidR="00361CB0" w:rsidRPr="00976D33" w:rsidRDefault="00361C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olor w:val="000000"/>
                <w:sz w:val="16"/>
              </w:rPr>
              <w:t>Kërkesa totale vjetore për ngrohje (GWh)</w:t>
            </w:r>
          </w:p>
        </w:tc>
        <w:tc>
          <w:tcPr>
            <w:tcW w:w="1216" w:type="dxa"/>
            <w:noWrap/>
            <w:vAlign w:val="center"/>
            <w:hideMark/>
          </w:tcPr>
          <w:p w14:paraId="7854DB25" w14:textId="77777777" w:rsidR="00361CB0" w:rsidRPr="00976D33" w:rsidRDefault="00361C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olor w:val="000000"/>
                <w:sz w:val="16"/>
              </w:rPr>
              <w:t>Ngarkesa vjetore maksimale (MW në orën me kërkesën më të lartë)</w:t>
            </w:r>
          </w:p>
        </w:tc>
        <w:tc>
          <w:tcPr>
            <w:tcW w:w="1291" w:type="dxa"/>
            <w:noWrap/>
            <w:vAlign w:val="center"/>
            <w:hideMark/>
          </w:tcPr>
          <w:p w14:paraId="6A681E3D" w14:textId="77777777" w:rsidR="00361CB0" w:rsidRPr="00976D33" w:rsidRDefault="00361C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olor w:val="000000"/>
                <w:sz w:val="16"/>
              </w:rPr>
              <w:t>Numri i konsumatorëve (ekonomive familjare) të lidhur me NQ</w:t>
            </w:r>
          </w:p>
        </w:tc>
        <w:tc>
          <w:tcPr>
            <w:tcW w:w="1153" w:type="dxa"/>
            <w:noWrap/>
            <w:vAlign w:val="center"/>
            <w:hideMark/>
          </w:tcPr>
          <w:p w14:paraId="375CF77B" w14:textId="77777777" w:rsidR="00361CB0" w:rsidRPr="00976D33" w:rsidRDefault="00361C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olor w:val="000000"/>
                <w:sz w:val="16"/>
              </w:rPr>
              <w:t>Sipërfaqja e ngrohur (metra katrorë) e lidhur me NQ</w:t>
            </w:r>
          </w:p>
        </w:tc>
        <w:tc>
          <w:tcPr>
            <w:tcW w:w="1334" w:type="dxa"/>
            <w:noWrap/>
            <w:vAlign w:val="center"/>
            <w:hideMark/>
          </w:tcPr>
          <w:p w14:paraId="048F040D" w14:textId="77777777" w:rsidR="00361CB0" w:rsidRPr="00976D33" w:rsidRDefault="00361C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olor w:val="000000"/>
                <w:sz w:val="16"/>
              </w:rPr>
              <w:t>Numri i konsumatorëve të lidhur me NQ</w:t>
            </w:r>
          </w:p>
        </w:tc>
        <w:tc>
          <w:tcPr>
            <w:tcW w:w="1343" w:type="dxa"/>
            <w:noWrap/>
            <w:vAlign w:val="center"/>
            <w:hideMark/>
          </w:tcPr>
          <w:p w14:paraId="7D9B1C71" w14:textId="77777777" w:rsidR="00361CB0" w:rsidRPr="00976D33" w:rsidRDefault="00361C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olor w:val="000000"/>
                <w:sz w:val="16"/>
              </w:rPr>
              <w:t>Sipërfaqja e ngrohur (metra katrorë) e lidhur me NQ</w:t>
            </w:r>
          </w:p>
        </w:tc>
        <w:tc>
          <w:tcPr>
            <w:tcW w:w="1342" w:type="dxa"/>
            <w:noWrap/>
            <w:vAlign w:val="center"/>
            <w:hideMark/>
          </w:tcPr>
          <w:p w14:paraId="429F2452" w14:textId="77777777" w:rsidR="00361CB0" w:rsidRPr="00976D33" w:rsidRDefault="00361C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olor w:val="000000"/>
                <w:sz w:val="16"/>
              </w:rPr>
              <w:t>Sipërfaqja totale e ngrohur (metra katrorë) e lidhur me NQ</w:t>
            </w:r>
          </w:p>
        </w:tc>
      </w:tr>
      <w:tr w:rsidR="00305800" w:rsidRPr="00976D33" w14:paraId="6FF4ED4F" w14:textId="77777777" w:rsidTr="00FC05C4">
        <w:trPr>
          <w:trHeight w:val="290"/>
        </w:trPr>
        <w:tc>
          <w:tcPr>
            <w:cnfStyle w:val="001000000000" w:firstRow="0" w:lastRow="0" w:firstColumn="1" w:lastColumn="0" w:oddVBand="0" w:evenVBand="0" w:oddHBand="0" w:evenHBand="0" w:firstRowFirstColumn="0" w:firstRowLastColumn="0" w:lastRowFirstColumn="0" w:lastRowLastColumn="0"/>
            <w:tcW w:w="853" w:type="dxa"/>
            <w:noWrap/>
            <w:hideMark/>
          </w:tcPr>
          <w:p w14:paraId="55A6FCAE" w14:textId="77777777" w:rsidR="00361CB0" w:rsidRPr="00976D33" w:rsidRDefault="00361CB0">
            <w:pPr>
              <w:spacing w:before="0" w:after="0" w:line="240" w:lineRule="auto"/>
              <w:jc w:val="left"/>
              <w:rPr>
                <w:rFonts w:asciiTheme="majorHAnsi" w:eastAsia="Times New Roman" w:hAnsiTheme="majorHAnsi" w:cstheme="majorHAnsi"/>
                <w:color w:val="FFFFFF" w:themeColor="background1"/>
                <w:sz w:val="16"/>
                <w:szCs w:val="16"/>
              </w:rPr>
            </w:pPr>
            <w:r>
              <w:rPr>
                <w:rFonts w:asciiTheme="majorHAnsi" w:hAnsiTheme="majorHAnsi"/>
                <w:color w:val="FFFFFF" w:themeColor="background1"/>
                <w:sz w:val="16"/>
              </w:rPr>
              <w:t> </w:t>
            </w:r>
          </w:p>
        </w:tc>
        <w:tc>
          <w:tcPr>
            <w:tcW w:w="1037" w:type="dxa"/>
            <w:noWrap/>
            <w:hideMark/>
          </w:tcPr>
          <w:p w14:paraId="0238748F" w14:textId="77777777" w:rsidR="00361CB0" w:rsidRPr="00976D33" w:rsidRDefault="00361CB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olor w:val="000000"/>
                <w:sz w:val="16"/>
              </w:rPr>
              <w:t> </w:t>
            </w:r>
          </w:p>
        </w:tc>
        <w:tc>
          <w:tcPr>
            <w:tcW w:w="1216" w:type="dxa"/>
            <w:noWrap/>
            <w:hideMark/>
          </w:tcPr>
          <w:p w14:paraId="4ADC4127" w14:textId="77777777" w:rsidR="00361CB0" w:rsidRPr="00976D33" w:rsidRDefault="00361CB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olor w:val="000000"/>
                <w:sz w:val="16"/>
              </w:rPr>
              <w:t> </w:t>
            </w:r>
          </w:p>
        </w:tc>
        <w:tc>
          <w:tcPr>
            <w:tcW w:w="1291" w:type="dxa"/>
            <w:noWrap/>
            <w:hideMark/>
          </w:tcPr>
          <w:p w14:paraId="7EBC5FA4" w14:textId="77777777" w:rsidR="00361CB0" w:rsidRPr="00976D33" w:rsidRDefault="00361CB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olor w:val="000000"/>
                <w:sz w:val="16"/>
              </w:rPr>
              <w:t> </w:t>
            </w:r>
          </w:p>
        </w:tc>
        <w:tc>
          <w:tcPr>
            <w:tcW w:w="1153" w:type="dxa"/>
            <w:noWrap/>
            <w:hideMark/>
          </w:tcPr>
          <w:p w14:paraId="1BAE0BB2" w14:textId="77777777" w:rsidR="00361CB0" w:rsidRPr="00976D33" w:rsidRDefault="00361CB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olor w:val="000000"/>
                <w:sz w:val="16"/>
              </w:rPr>
              <w:t> </w:t>
            </w:r>
          </w:p>
        </w:tc>
        <w:tc>
          <w:tcPr>
            <w:tcW w:w="1334" w:type="dxa"/>
            <w:noWrap/>
            <w:hideMark/>
          </w:tcPr>
          <w:p w14:paraId="7F035B8A" w14:textId="77777777" w:rsidR="00361CB0" w:rsidRPr="00976D33" w:rsidRDefault="00361CB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olor w:val="000000"/>
                <w:sz w:val="16"/>
              </w:rPr>
              <w:t> </w:t>
            </w:r>
          </w:p>
        </w:tc>
        <w:tc>
          <w:tcPr>
            <w:tcW w:w="1343" w:type="dxa"/>
            <w:noWrap/>
            <w:hideMark/>
          </w:tcPr>
          <w:p w14:paraId="3EDBBFF5" w14:textId="77777777" w:rsidR="00361CB0" w:rsidRPr="00976D33" w:rsidRDefault="00361CB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olor w:val="000000"/>
                <w:sz w:val="16"/>
              </w:rPr>
              <w:t> </w:t>
            </w:r>
          </w:p>
        </w:tc>
        <w:tc>
          <w:tcPr>
            <w:tcW w:w="1342" w:type="dxa"/>
            <w:noWrap/>
            <w:hideMark/>
          </w:tcPr>
          <w:p w14:paraId="0F5FF98A" w14:textId="77777777" w:rsidR="00361CB0" w:rsidRPr="00976D33" w:rsidRDefault="00361CB0">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Pr>
                <w:rFonts w:asciiTheme="majorHAnsi" w:hAnsiTheme="majorHAnsi"/>
                <w:color w:val="000000"/>
                <w:sz w:val="16"/>
              </w:rPr>
              <w:t> </w:t>
            </w:r>
          </w:p>
        </w:tc>
      </w:tr>
      <w:tr w:rsidR="00305800" w:rsidRPr="00976D33" w14:paraId="4C48D9B6" w14:textId="77777777" w:rsidTr="00FC05C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53" w:type="dxa"/>
            <w:noWrap/>
            <w:vAlign w:val="center"/>
            <w:hideMark/>
          </w:tcPr>
          <w:p w14:paraId="2240E929" w14:textId="77777777" w:rsidR="00361CB0" w:rsidRPr="00976D33" w:rsidRDefault="00361CB0">
            <w:pPr>
              <w:spacing w:before="0" w:after="0" w:line="240" w:lineRule="auto"/>
              <w:jc w:val="right"/>
              <w:rPr>
                <w:rFonts w:asciiTheme="majorHAnsi" w:eastAsia="Times New Roman" w:hAnsiTheme="majorHAnsi" w:cstheme="majorHAnsi"/>
                <w:color w:val="FFFFFF" w:themeColor="background1"/>
                <w:sz w:val="16"/>
                <w:szCs w:val="16"/>
              </w:rPr>
            </w:pPr>
            <w:r>
              <w:rPr>
                <w:rFonts w:asciiTheme="majorHAnsi" w:hAnsiTheme="majorHAnsi"/>
                <w:color w:val="FFFFFF" w:themeColor="background1"/>
                <w:sz w:val="16"/>
              </w:rPr>
              <w:t>2021</w:t>
            </w:r>
          </w:p>
        </w:tc>
        <w:tc>
          <w:tcPr>
            <w:tcW w:w="1037" w:type="dxa"/>
            <w:noWrap/>
            <w:vAlign w:val="center"/>
            <w:hideMark/>
          </w:tcPr>
          <w:p w14:paraId="2F3D8E4E" w14:textId="77777777" w:rsidR="00361CB0" w:rsidRPr="00976D33" w:rsidRDefault="00361C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296</w:t>
            </w:r>
          </w:p>
        </w:tc>
        <w:tc>
          <w:tcPr>
            <w:tcW w:w="1216" w:type="dxa"/>
            <w:noWrap/>
            <w:vAlign w:val="center"/>
            <w:hideMark/>
          </w:tcPr>
          <w:p w14:paraId="678919F4" w14:textId="77777777" w:rsidR="00361CB0" w:rsidRPr="00976D33" w:rsidRDefault="00361C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102</w:t>
            </w:r>
          </w:p>
        </w:tc>
        <w:tc>
          <w:tcPr>
            <w:tcW w:w="1291" w:type="dxa"/>
            <w:noWrap/>
            <w:vAlign w:val="center"/>
            <w:hideMark/>
          </w:tcPr>
          <w:p w14:paraId="11B59AC2" w14:textId="77777777" w:rsidR="00361CB0" w:rsidRPr="00976D33" w:rsidRDefault="00361C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14,249</w:t>
            </w:r>
          </w:p>
        </w:tc>
        <w:tc>
          <w:tcPr>
            <w:tcW w:w="1153" w:type="dxa"/>
            <w:noWrap/>
            <w:vAlign w:val="center"/>
            <w:hideMark/>
          </w:tcPr>
          <w:p w14:paraId="7EFEB447" w14:textId="77777777" w:rsidR="00361CB0" w:rsidRPr="00976D33" w:rsidRDefault="00361C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865,367</w:t>
            </w:r>
          </w:p>
        </w:tc>
        <w:tc>
          <w:tcPr>
            <w:tcW w:w="1334" w:type="dxa"/>
            <w:noWrap/>
            <w:vAlign w:val="center"/>
            <w:hideMark/>
          </w:tcPr>
          <w:p w14:paraId="0C5703A7" w14:textId="77777777" w:rsidR="00361CB0" w:rsidRPr="00976D33" w:rsidRDefault="00361C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1,542</w:t>
            </w:r>
          </w:p>
        </w:tc>
        <w:tc>
          <w:tcPr>
            <w:tcW w:w="1343" w:type="dxa"/>
            <w:noWrap/>
            <w:vAlign w:val="center"/>
            <w:hideMark/>
          </w:tcPr>
          <w:p w14:paraId="0133DAE3" w14:textId="77777777" w:rsidR="00361CB0" w:rsidRPr="00976D33" w:rsidRDefault="00361C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596,689</w:t>
            </w:r>
          </w:p>
        </w:tc>
        <w:tc>
          <w:tcPr>
            <w:tcW w:w="1342" w:type="dxa"/>
            <w:noWrap/>
            <w:vAlign w:val="center"/>
            <w:hideMark/>
          </w:tcPr>
          <w:p w14:paraId="3D60F94D" w14:textId="77777777" w:rsidR="00361CB0" w:rsidRPr="00976D33" w:rsidRDefault="00361C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1,462,056</w:t>
            </w:r>
          </w:p>
        </w:tc>
      </w:tr>
      <w:tr w:rsidR="00305800" w:rsidRPr="00976D33" w14:paraId="3465E2DA" w14:textId="77777777" w:rsidTr="00FC05C4">
        <w:trPr>
          <w:trHeight w:val="290"/>
        </w:trPr>
        <w:tc>
          <w:tcPr>
            <w:cnfStyle w:val="001000000000" w:firstRow="0" w:lastRow="0" w:firstColumn="1" w:lastColumn="0" w:oddVBand="0" w:evenVBand="0" w:oddHBand="0" w:evenHBand="0" w:firstRowFirstColumn="0" w:firstRowLastColumn="0" w:lastRowFirstColumn="0" w:lastRowLastColumn="0"/>
            <w:tcW w:w="853" w:type="dxa"/>
            <w:noWrap/>
            <w:vAlign w:val="center"/>
            <w:hideMark/>
          </w:tcPr>
          <w:p w14:paraId="21D4FF26" w14:textId="77777777" w:rsidR="00361CB0" w:rsidRPr="00976D33" w:rsidRDefault="00361CB0">
            <w:pPr>
              <w:spacing w:before="0" w:after="0" w:line="240" w:lineRule="auto"/>
              <w:jc w:val="right"/>
              <w:rPr>
                <w:rFonts w:asciiTheme="majorHAnsi" w:eastAsia="Times New Roman" w:hAnsiTheme="majorHAnsi" w:cstheme="majorHAnsi"/>
                <w:color w:val="FFFFFF" w:themeColor="background1"/>
                <w:sz w:val="16"/>
                <w:szCs w:val="16"/>
              </w:rPr>
            </w:pPr>
            <w:r>
              <w:rPr>
                <w:rFonts w:asciiTheme="majorHAnsi" w:hAnsiTheme="majorHAnsi"/>
                <w:color w:val="FFFFFF" w:themeColor="background1"/>
                <w:sz w:val="16"/>
              </w:rPr>
              <w:t>2025</w:t>
            </w:r>
          </w:p>
        </w:tc>
        <w:tc>
          <w:tcPr>
            <w:tcW w:w="1037" w:type="dxa"/>
            <w:noWrap/>
            <w:vAlign w:val="bottom"/>
            <w:hideMark/>
          </w:tcPr>
          <w:p w14:paraId="034D1B17" w14:textId="5C97F9D5" w:rsidR="00361CB0" w:rsidRPr="00976D33" w:rsidRDefault="00361C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 xml:space="preserve">                                                           398 </w:t>
            </w:r>
          </w:p>
        </w:tc>
        <w:tc>
          <w:tcPr>
            <w:tcW w:w="1216" w:type="dxa"/>
            <w:noWrap/>
            <w:vAlign w:val="bottom"/>
            <w:hideMark/>
          </w:tcPr>
          <w:p w14:paraId="4015035E" w14:textId="4D584203" w:rsidR="00361CB0" w:rsidRPr="00976D33" w:rsidRDefault="00361C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 xml:space="preserve">                                                                                                  140 </w:t>
            </w:r>
          </w:p>
        </w:tc>
        <w:tc>
          <w:tcPr>
            <w:tcW w:w="1291" w:type="dxa"/>
            <w:noWrap/>
            <w:vAlign w:val="bottom"/>
            <w:hideMark/>
          </w:tcPr>
          <w:p w14:paraId="012F07F8" w14:textId="4DE93A91" w:rsidR="00361CB0" w:rsidRPr="00976D33" w:rsidRDefault="00361C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 xml:space="preserve">                                                                                              24,764.00 </w:t>
            </w:r>
          </w:p>
        </w:tc>
        <w:tc>
          <w:tcPr>
            <w:tcW w:w="1153" w:type="dxa"/>
            <w:noWrap/>
            <w:vAlign w:val="bottom"/>
            <w:hideMark/>
          </w:tcPr>
          <w:p w14:paraId="04515EE8" w14:textId="07789F7A" w:rsidR="00361CB0" w:rsidRPr="00976D33" w:rsidRDefault="00361C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 xml:space="preserve">                                                                                           1,699,100.00 </w:t>
            </w:r>
          </w:p>
        </w:tc>
        <w:tc>
          <w:tcPr>
            <w:tcW w:w="1334" w:type="dxa"/>
            <w:noWrap/>
            <w:vAlign w:val="bottom"/>
            <w:hideMark/>
          </w:tcPr>
          <w:p w14:paraId="40B2AB65" w14:textId="398AB3C8" w:rsidR="00361CB0" w:rsidRPr="00976D33" w:rsidRDefault="00361C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 xml:space="preserve">                                                                                         2,500.00 </w:t>
            </w:r>
          </w:p>
        </w:tc>
        <w:tc>
          <w:tcPr>
            <w:tcW w:w="1343" w:type="dxa"/>
            <w:noWrap/>
            <w:vAlign w:val="bottom"/>
            <w:hideMark/>
          </w:tcPr>
          <w:p w14:paraId="2166211C" w14:textId="191FDCCB" w:rsidR="00361CB0" w:rsidRPr="00976D33" w:rsidRDefault="00361C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 xml:space="preserve">                                                                                    754,695.00 </w:t>
            </w:r>
          </w:p>
        </w:tc>
        <w:tc>
          <w:tcPr>
            <w:tcW w:w="1342" w:type="dxa"/>
            <w:noWrap/>
            <w:vAlign w:val="bottom"/>
            <w:hideMark/>
          </w:tcPr>
          <w:p w14:paraId="6610FA79" w14:textId="7666291D" w:rsidR="00361CB0" w:rsidRPr="00976D33" w:rsidRDefault="00361C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 xml:space="preserve">                                                                                                                       2,453,795.00 </w:t>
            </w:r>
          </w:p>
        </w:tc>
      </w:tr>
      <w:tr w:rsidR="00305800" w:rsidRPr="00976D33" w14:paraId="2F0C62E0" w14:textId="77777777" w:rsidTr="00FC05C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53" w:type="dxa"/>
            <w:noWrap/>
            <w:vAlign w:val="center"/>
            <w:hideMark/>
          </w:tcPr>
          <w:p w14:paraId="43BC9871" w14:textId="77777777" w:rsidR="00361CB0" w:rsidRPr="00976D33" w:rsidRDefault="00361CB0">
            <w:pPr>
              <w:spacing w:before="0" w:after="0" w:line="240" w:lineRule="auto"/>
              <w:jc w:val="right"/>
              <w:rPr>
                <w:rFonts w:asciiTheme="majorHAnsi" w:eastAsia="Times New Roman" w:hAnsiTheme="majorHAnsi" w:cstheme="majorHAnsi"/>
                <w:color w:val="FFFFFF" w:themeColor="background1"/>
                <w:sz w:val="16"/>
                <w:szCs w:val="16"/>
              </w:rPr>
            </w:pPr>
            <w:r>
              <w:rPr>
                <w:rFonts w:asciiTheme="majorHAnsi" w:hAnsiTheme="majorHAnsi"/>
                <w:color w:val="FFFFFF" w:themeColor="background1"/>
                <w:sz w:val="16"/>
              </w:rPr>
              <w:t>2030</w:t>
            </w:r>
          </w:p>
        </w:tc>
        <w:tc>
          <w:tcPr>
            <w:tcW w:w="1037" w:type="dxa"/>
            <w:noWrap/>
            <w:vAlign w:val="bottom"/>
            <w:hideMark/>
          </w:tcPr>
          <w:p w14:paraId="3530F953" w14:textId="484447C7" w:rsidR="00361CB0" w:rsidRPr="00976D33" w:rsidRDefault="00361C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 xml:space="preserve">                                                           542 </w:t>
            </w:r>
          </w:p>
        </w:tc>
        <w:tc>
          <w:tcPr>
            <w:tcW w:w="1216" w:type="dxa"/>
            <w:noWrap/>
            <w:vAlign w:val="bottom"/>
            <w:hideMark/>
          </w:tcPr>
          <w:p w14:paraId="32D9A990" w14:textId="7E827C13" w:rsidR="00361CB0" w:rsidRPr="00976D33" w:rsidRDefault="00361C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 xml:space="preserve">                                                                                                  220 </w:t>
            </w:r>
          </w:p>
        </w:tc>
        <w:tc>
          <w:tcPr>
            <w:tcW w:w="1291" w:type="dxa"/>
            <w:noWrap/>
            <w:vAlign w:val="bottom"/>
            <w:hideMark/>
          </w:tcPr>
          <w:p w14:paraId="634ACCEE" w14:textId="6EDEDC7C" w:rsidR="00361CB0" w:rsidRPr="00976D33" w:rsidRDefault="00361C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 xml:space="preserve">                                                                                              31,173.00 </w:t>
            </w:r>
          </w:p>
        </w:tc>
        <w:tc>
          <w:tcPr>
            <w:tcW w:w="1153" w:type="dxa"/>
            <w:noWrap/>
            <w:vAlign w:val="bottom"/>
            <w:hideMark/>
          </w:tcPr>
          <w:p w14:paraId="47A4BB93" w14:textId="76BD7D5A" w:rsidR="00361CB0" w:rsidRPr="00976D33" w:rsidRDefault="00361C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 xml:space="preserve">                                                                                           2,207,100.00 </w:t>
            </w:r>
          </w:p>
        </w:tc>
        <w:tc>
          <w:tcPr>
            <w:tcW w:w="1334" w:type="dxa"/>
            <w:noWrap/>
            <w:vAlign w:val="bottom"/>
            <w:hideMark/>
          </w:tcPr>
          <w:p w14:paraId="15BCCC93" w14:textId="5E7ECCB8" w:rsidR="00361CB0" w:rsidRPr="00976D33" w:rsidRDefault="00361C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 xml:space="preserve">                                                                                         3,147.00 </w:t>
            </w:r>
          </w:p>
        </w:tc>
        <w:tc>
          <w:tcPr>
            <w:tcW w:w="1343" w:type="dxa"/>
            <w:noWrap/>
            <w:vAlign w:val="bottom"/>
            <w:hideMark/>
          </w:tcPr>
          <w:p w14:paraId="0700D289" w14:textId="4180A5C1" w:rsidR="00361CB0" w:rsidRPr="00976D33" w:rsidRDefault="00361C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 xml:space="preserve">                                                                                    881,695.00 </w:t>
            </w:r>
          </w:p>
        </w:tc>
        <w:tc>
          <w:tcPr>
            <w:tcW w:w="1342" w:type="dxa"/>
            <w:noWrap/>
            <w:vAlign w:val="bottom"/>
            <w:hideMark/>
          </w:tcPr>
          <w:p w14:paraId="45998EE9" w14:textId="7F63C110" w:rsidR="00361CB0" w:rsidRPr="00976D33" w:rsidRDefault="00361C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 xml:space="preserve">                                                                                                                       3,088,795.00 </w:t>
            </w:r>
          </w:p>
        </w:tc>
      </w:tr>
      <w:tr w:rsidR="00305800" w:rsidRPr="00976D33" w14:paraId="095D988C" w14:textId="77777777" w:rsidTr="00FC05C4">
        <w:trPr>
          <w:trHeight w:val="290"/>
        </w:trPr>
        <w:tc>
          <w:tcPr>
            <w:cnfStyle w:val="001000000000" w:firstRow="0" w:lastRow="0" w:firstColumn="1" w:lastColumn="0" w:oddVBand="0" w:evenVBand="0" w:oddHBand="0" w:evenHBand="0" w:firstRowFirstColumn="0" w:firstRowLastColumn="0" w:lastRowFirstColumn="0" w:lastRowLastColumn="0"/>
            <w:tcW w:w="853" w:type="dxa"/>
            <w:noWrap/>
            <w:vAlign w:val="center"/>
            <w:hideMark/>
          </w:tcPr>
          <w:p w14:paraId="093A0A3D" w14:textId="77777777" w:rsidR="00361CB0" w:rsidRPr="00976D33" w:rsidRDefault="00361CB0">
            <w:pPr>
              <w:spacing w:before="0" w:after="0" w:line="240" w:lineRule="auto"/>
              <w:jc w:val="right"/>
              <w:rPr>
                <w:rFonts w:asciiTheme="majorHAnsi" w:eastAsia="Times New Roman" w:hAnsiTheme="majorHAnsi" w:cstheme="majorHAnsi"/>
                <w:color w:val="FFFFFF" w:themeColor="background1"/>
                <w:sz w:val="16"/>
                <w:szCs w:val="16"/>
              </w:rPr>
            </w:pPr>
            <w:r>
              <w:rPr>
                <w:rFonts w:asciiTheme="majorHAnsi" w:hAnsiTheme="majorHAnsi"/>
                <w:color w:val="FFFFFF" w:themeColor="background1"/>
                <w:sz w:val="16"/>
              </w:rPr>
              <w:t>2035</w:t>
            </w:r>
          </w:p>
        </w:tc>
        <w:tc>
          <w:tcPr>
            <w:tcW w:w="1037" w:type="dxa"/>
            <w:noWrap/>
            <w:vAlign w:val="bottom"/>
            <w:hideMark/>
          </w:tcPr>
          <w:p w14:paraId="12A777FE" w14:textId="30F28EDB" w:rsidR="00361CB0" w:rsidRPr="00976D33" w:rsidRDefault="00361C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 xml:space="preserve">                                                           623 </w:t>
            </w:r>
          </w:p>
        </w:tc>
        <w:tc>
          <w:tcPr>
            <w:tcW w:w="1216" w:type="dxa"/>
            <w:noWrap/>
            <w:vAlign w:val="bottom"/>
            <w:hideMark/>
          </w:tcPr>
          <w:p w14:paraId="3DB2F6BB" w14:textId="645F2DC4" w:rsidR="00361CB0" w:rsidRPr="00976D33" w:rsidRDefault="00361C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 xml:space="preserve">                                                                                                  260 </w:t>
            </w:r>
          </w:p>
        </w:tc>
        <w:tc>
          <w:tcPr>
            <w:tcW w:w="1291" w:type="dxa"/>
            <w:noWrap/>
            <w:vAlign w:val="bottom"/>
            <w:hideMark/>
          </w:tcPr>
          <w:p w14:paraId="15B04B43" w14:textId="326B999C" w:rsidR="00361CB0" w:rsidRPr="00976D33" w:rsidRDefault="00361C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 xml:space="preserve">                                                                                              40,306.00 </w:t>
            </w:r>
          </w:p>
        </w:tc>
        <w:tc>
          <w:tcPr>
            <w:tcW w:w="1153" w:type="dxa"/>
            <w:noWrap/>
            <w:vAlign w:val="bottom"/>
            <w:hideMark/>
          </w:tcPr>
          <w:p w14:paraId="27440F53" w14:textId="64F0D49B" w:rsidR="00361CB0" w:rsidRPr="00976D33" w:rsidRDefault="00361C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 xml:space="preserve">                                                                                           2,591,500.00 </w:t>
            </w:r>
          </w:p>
        </w:tc>
        <w:tc>
          <w:tcPr>
            <w:tcW w:w="1334" w:type="dxa"/>
            <w:noWrap/>
            <w:vAlign w:val="bottom"/>
            <w:hideMark/>
          </w:tcPr>
          <w:p w14:paraId="790CAFA7" w14:textId="06191D79" w:rsidR="00361CB0" w:rsidRPr="00976D33" w:rsidRDefault="00361C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 xml:space="preserve">                                                                                         4,069.00 </w:t>
            </w:r>
          </w:p>
        </w:tc>
        <w:tc>
          <w:tcPr>
            <w:tcW w:w="1343" w:type="dxa"/>
            <w:noWrap/>
            <w:vAlign w:val="bottom"/>
            <w:hideMark/>
          </w:tcPr>
          <w:p w14:paraId="76BB84F6" w14:textId="0C8C524C" w:rsidR="00361CB0" w:rsidRPr="00976D33" w:rsidRDefault="00361C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 xml:space="preserve">                                                                                    958,500.00 </w:t>
            </w:r>
          </w:p>
        </w:tc>
        <w:tc>
          <w:tcPr>
            <w:tcW w:w="1342" w:type="dxa"/>
            <w:noWrap/>
            <w:vAlign w:val="bottom"/>
            <w:hideMark/>
          </w:tcPr>
          <w:p w14:paraId="12E8D5C5" w14:textId="7E3DEEF2" w:rsidR="00361CB0" w:rsidRPr="00976D33" w:rsidRDefault="00361C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 xml:space="preserve">                                                                                                                       3,550,000.00 </w:t>
            </w:r>
          </w:p>
        </w:tc>
      </w:tr>
      <w:tr w:rsidR="00305800" w:rsidRPr="00976D33" w14:paraId="20D61A9E" w14:textId="77777777" w:rsidTr="00FC05C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53" w:type="dxa"/>
            <w:noWrap/>
            <w:vAlign w:val="center"/>
            <w:hideMark/>
          </w:tcPr>
          <w:p w14:paraId="66B1EC41" w14:textId="77777777" w:rsidR="00361CB0" w:rsidRPr="00976D33" w:rsidRDefault="00361CB0">
            <w:pPr>
              <w:spacing w:before="0" w:after="0" w:line="240" w:lineRule="auto"/>
              <w:jc w:val="right"/>
              <w:rPr>
                <w:rFonts w:asciiTheme="majorHAnsi" w:eastAsia="Times New Roman" w:hAnsiTheme="majorHAnsi" w:cstheme="majorHAnsi"/>
                <w:color w:val="FFFFFF" w:themeColor="background1"/>
                <w:sz w:val="16"/>
                <w:szCs w:val="16"/>
              </w:rPr>
            </w:pPr>
            <w:r>
              <w:rPr>
                <w:rFonts w:asciiTheme="majorHAnsi" w:hAnsiTheme="majorHAnsi"/>
                <w:color w:val="FFFFFF" w:themeColor="background1"/>
                <w:sz w:val="16"/>
              </w:rPr>
              <w:t>2040</w:t>
            </w:r>
          </w:p>
        </w:tc>
        <w:tc>
          <w:tcPr>
            <w:tcW w:w="1037" w:type="dxa"/>
            <w:noWrap/>
            <w:vAlign w:val="bottom"/>
            <w:hideMark/>
          </w:tcPr>
          <w:p w14:paraId="52C158B2" w14:textId="2904A2BE" w:rsidR="00361CB0" w:rsidRPr="00976D33" w:rsidRDefault="00361C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 xml:space="preserve">                                                           729 </w:t>
            </w:r>
          </w:p>
        </w:tc>
        <w:tc>
          <w:tcPr>
            <w:tcW w:w="1216" w:type="dxa"/>
            <w:noWrap/>
            <w:vAlign w:val="bottom"/>
            <w:hideMark/>
          </w:tcPr>
          <w:p w14:paraId="5E7491C2" w14:textId="31E40AFF" w:rsidR="00361CB0" w:rsidRPr="00976D33" w:rsidRDefault="00361C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 xml:space="preserve">                                                                                                  280 </w:t>
            </w:r>
          </w:p>
        </w:tc>
        <w:tc>
          <w:tcPr>
            <w:tcW w:w="1291" w:type="dxa"/>
            <w:noWrap/>
            <w:vAlign w:val="bottom"/>
            <w:hideMark/>
          </w:tcPr>
          <w:p w14:paraId="3908AB4D" w14:textId="1486A66A" w:rsidR="00361CB0" w:rsidRPr="00976D33" w:rsidRDefault="00361C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 xml:space="preserve">                                                                                              47,117.00 </w:t>
            </w:r>
          </w:p>
        </w:tc>
        <w:tc>
          <w:tcPr>
            <w:tcW w:w="1153" w:type="dxa"/>
            <w:noWrap/>
            <w:vAlign w:val="bottom"/>
            <w:hideMark/>
          </w:tcPr>
          <w:p w14:paraId="1CA06B10" w14:textId="0CAAF8D1" w:rsidR="00361CB0" w:rsidRPr="00976D33" w:rsidRDefault="00361C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 xml:space="preserve">                                                                                           3,112,500.00 </w:t>
            </w:r>
          </w:p>
        </w:tc>
        <w:tc>
          <w:tcPr>
            <w:tcW w:w="1334" w:type="dxa"/>
            <w:noWrap/>
            <w:vAlign w:val="bottom"/>
            <w:hideMark/>
          </w:tcPr>
          <w:p w14:paraId="5138003B" w14:textId="16182845" w:rsidR="00361CB0" w:rsidRPr="00976D33" w:rsidRDefault="00361C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 xml:space="preserve">                                                                                         4,757.00 </w:t>
            </w:r>
          </w:p>
        </w:tc>
        <w:tc>
          <w:tcPr>
            <w:tcW w:w="1343" w:type="dxa"/>
            <w:noWrap/>
            <w:vAlign w:val="bottom"/>
            <w:hideMark/>
          </w:tcPr>
          <w:p w14:paraId="6C6DB2D8" w14:textId="37CD9757" w:rsidR="00361CB0" w:rsidRPr="00976D33" w:rsidRDefault="00361C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 xml:space="preserve">                                                                                1,037,500.00 </w:t>
            </w:r>
          </w:p>
        </w:tc>
        <w:tc>
          <w:tcPr>
            <w:tcW w:w="1342" w:type="dxa"/>
            <w:noWrap/>
            <w:vAlign w:val="bottom"/>
            <w:hideMark/>
          </w:tcPr>
          <w:p w14:paraId="4772F963" w14:textId="6533A7E4" w:rsidR="00361CB0" w:rsidRPr="00976D33" w:rsidRDefault="00361C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asciiTheme="majorHAnsi" w:hAnsiTheme="majorHAnsi"/>
                <w:color w:val="000000"/>
                <w:sz w:val="16"/>
              </w:rPr>
              <w:t xml:space="preserve">                                                                                                                       4,150,000.00 </w:t>
            </w:r>
          </w:p>
        </w:tc>
      </w:tr>
    </w:tbl>
    <w:p w14:paraId="1D6D477D" w14:textId="77777777" w:rsidR="00361CB0" w:rsidRPr="00976D33" w:rsidRDefault="00361CB0" w:rsidP="00361CB0">
      <w:pPr>
        <w:pStyle w:val="BodyText"/>
      </w:pPr>
      <w:r>
        <w:t>Burimi: NQ Termokos SH.A</w:t>
      </w:r>
    </w:p>
    <w:p w14:paraId="045C480D" w14:textId="123B158F" w:rsidR="00361CB0" w:rsidRPr="00976D33" w:rsidRDefault="00361CB0" w:rsidP="00925441">
      <w:pPr>
        <w:pStyle w:val="Heading3"/>
      </w:pPr>
      <w:bookmarkStart w:id="445" w:name="_Toc71271850"/>
      <w:bookmarkStart w:id="446" w:name="_Toc182302331"/>
      <w:r>
        <w:t>Projeksionet duke marrë parasysh politikat, masat dhe programet ekzistuese të efiçiencës së energjisë siç përshkruhet në pikën 1.2.(ii)</w:t>
      </w:r>
      <w:bookmarkEnd w:id="445"/>
      <w:bookmarkEnd w:id="446"/>
    </w:p>
    <w:p w14:paraId="6344D2B1" w14:textId="37500A64" w:rsidR="00361CB0" w:rsidRPr="00976D33" w:rsidRDefault="00361CB0" w:rsidP="00361CB0">
      <w:r>
        <w:t>Konsumi primar i energjisë në skenarin WEM parashikohet të arrijë në 2,571 ktoe në vitin 2030 dhe 2,680 ktoe në vitin 2040, që paraqet një ulje prej 6,8% dhe 2,9% në krahasim me nivelin e vitit 2021 (</w:t>
      </w:r>
      <w:r w:rsidRPr="00976D33">
        <w:fldChar w:fldCharType="begin"/>
      </w:r>
      <w:r w:rsidRPr="00976D33">
        <w:instrText xml:space="preserve"> REF _Ref69827031 \h  \* MERGEFORMAT </w:instrText>
      </w:r>
      <w:r w:rsidRPr="00976D33">
        <w:fldChar w:fldCharType="separate"/>
      </w:r>
      <w:r w:rsidR="003B7FFA">
        <w:t>Figura 51</w:t>
      </w:r>
      <w:r w:rsidRPr="00976D33">
        <w:fldChar w:fldCharType="end"/>
      </w:r>
      <w:r>
        <w:t xml:space="preserve">). Linjiti, që është lënda djegëse dominues në vitin 2021 me një pjesëmarrje prej 56%, do të ulet në një pjesëmarrje prej 27% deri në vitin 2040. Kjo është kryesisht për shkak të instalimit progresiv të BRE-ve, i cili </w:t>
      </w:r>
      <w:r>
        <w:lastRenderedPageBreak/>
        <w:t xml:space="preserve">do të zvogëlojë varësinë e sistemit nga flota joefiçiente e prodhimit të energjisë me linjit gjatë gjithë skenarit WEM. Për shkak të kostos më të ulët margjinale të prodhimit të energjisë elektrike nga BRE-të, dinamika e tregut redukton automatikisht prodhimin e energjisë elektrike të bazuar në linjit. Rritja e depërtimit të BRE-ve në sistem do të lehtësohet nga zbatimi i kombinimit ambicioz të politikave të parashikuara në Kapitullin 3 të këtij PKEK. Masat kryesore të planifikuara për të promovuar BRE-të në sektorin e energjisë elektrike përfshijnë ankandet konkurruese për tarifat nxitëse, premiumet nxitëse dhe kontratat e CPE-ve, si dhe grantet për të mbështetur instalimet e paneleve solare PV në çati të konsumatorëve. Në përgjithësi, një rritje e ndjeshme e pjesëmarrjes së shfrytëzimit të BRE-ve vërehet në skenarin WEM, duke arritur në 11% të konsumit primar të energjisë në vitin 2040 në rastin e energjisë së erës dhe </w:t>
      </w:r>
      <w:r>
        <w:rPr>
          <w:color w:val="auto"/>
        </w:rPr>
        <w:t xml:space="preserve">8% </w:t>
      </w:r>
      <w:r>
        <w:t>në rastin e energjisë solare.</w:t>
      </w:r>
    </w:p>
    <w:p w14:paraId="42A3EB5B" w14:textId="16C0ABC1" w:rsidR="00361CB0" w:rsidRPr="00976D33" w:rsidRDefault="00361CB0" w:rsidP="00361CB0">
      <w:r>
        <w:t xml:space="preserve">Paralelisht, konsumi i karburantit të naftës do të rritet gradualisht me kalimin e kohës, kryesisht për shkak të rritjes së kërkesës për transport dhe do të përbëjë 32% të konsumit të përgjithshëm të energjisë primare në vitin 2040, 12 pikë përqindje më shumë se në vitin 2021. Pjesa e biomasës do të mbetet pothuajse e njëjtë, megjithëse në vlerë absolute ajo gradualisht do të ulet me kalimin e kohës. </w:t>
      </w:r>
    </w:p>
    <w:p w14:paraId="2588E6C4" w14:textId="24008860" w:rsidR="00361CB0" w:rsidRPr="00976D33" w:rsidRDefault="00361CB0" w:rsidP="00361CB0">
      <w:pPr>
        <w:pStyle w:val="Caption"/>
      </w:pPr>
      <w:bookmarkStart w:id="447" w:name="_Ref69827031"/>
      <w:bookmarkStart w:id="448" w:name="_Toc181867254"/>
      <w:r>
        <w:t xml:space="preserve">Figura </w:t>
      </w:r>
      <w:r w:rsidRPr="00976D33">
        <w:fldChar w:fldCharType="begin"/>
      </w:r>
      <w:r w:rsidRPr="00976D33">
        <w:instrText>SEQ Figure \* ARABIC</w:instrText>
      </w:r>
      <w:r w:rsidRPr="00976D33">
        <w:fldChar w:fldCharType="separate"/>
      </w:r>
      <w:r w:rsidR="003B7FFA">
        <w:rPr>
          <w:noProof/>
        </w:rPr>
        <w:t>51</w:t>
      </w:r>
      <w:r w:rsidRPr="00976D33">
        <w:fldChar w:fldCharType="end"/>
      </w:r>
      <w:bookmarkEnd w:id="447"/>
      <w:r>
        <w:t>. Konsumi primar i energjisë sipas lëndëve djegëse, 2021-2040 (ktoe), skenari WEM</w:t>
      </w:r>
      <w:bookmarkEnd w:id="448"/>
      <w:r>
        <w:t xml:space="preserve"> </w:t>
      </w:r>
    </w:p>
    <w:p w14:paraId="35E409B8" w14:textId="77701A30" w:rsidR="00A636E0" w:rsidRPr="00976D33" w:rsidRDefault="00A636E0" w:rsidP="00361CB0">
      <w:r>
        <w:rPr>
          <w:noProof/>
          <w:lang w:val="en-US"/>
        </w:rPr>
        <w:drawing>
          <wp:inline distT="0" distB="0" distL="0" distR="0" wp14:anchorId="09F0F1F5" wp14:editId="7351FE2E">
            <wp:extent cx="6079490" cy="2499995"/>
            <wp:effectExtent l="0" t="0" r="0" b="0"/>
            <wp:docPr id="16313795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79490" cy="2499995"/>
                    </a:xfrm>
                    <a:prstGeom prst="rect">
                      <a:avLst/>
                    </a:prstGeom>
                    <a:noFill/>
                    <a:ln>
                      <a:noFill/>
                    </a:ln>
                  </pic:spPr>
                </pic:pic>
              </a:graphicData>
            </a:graphic>
          </wp:inline>
        </w:drawing>
      </w:r>
    </w:p>
    <w:p w14:paraId="6270A47E" w14:textId="77777777" w:rsidR="00361CB0" w:rsidRPr="00976D33" w:rsidRDefault="00361CB0" w:rsidP="00361CB0">
      <w:pPr>
        <w:spacing w:after="0" w:line="240" w:lineRule="auto"/>
        <w:jc w:val="left"/>
      </w:pPr>
      <w:r>
        <w:rPr>
          <w:i/>
          <w:sz w:val="16"/>
        </w:rPr>
        <w:t>Burimi: rezultatet e modelimit vetanak</w:t>
      </w:r>
    </w:p>
    <w:p w14:paraId="16635BFA" w14:textId="77777777" w:rsidR="00361CB0" w:rsidRPr="00976D33" w:rsidRDefault="00361CB0" w:rsidP="00361CB0"/>
    <w:p w14:paraId="7CCC565D" w14:textId="21E05DA1" w:rsidR="00AA7CDF" w:rsidRPr="00976D33" w:rsidRDefault="00361CB0" w:rsidP="00361CB0">
      <w:r>
        <w:t>Parashikimet e konsumit final të energjisë tregojnë një rritje graduale duke arritur vlerën 1,922 ktoe në vitin 2030 dhe 2,226 në vitin 2040, që korrespondon me një rritje prej 17% deri në vitin 2030 dhe 35% deri në vitin 2040 në krahasim me nivelin e vitit 2021 (</w:t>
      </w:r>
      <w:r w:rsidRPr="00976D33">
        <w:fldChar w:fldCharType="begin"/>
      </w:r>
      <w:r w:rsidRPr="00976D33">
        <w:instrText xml:space="preserve"> REF _Ref69842651 \h  \* MERGEFORMAT </w:instrText>
      </w:r>
      <w:r w:rsidRPr="00976D33">
        <w:fldChar w:fldCharType="separate"/>
      </w:r>
      <w:r w:rsidR="003B7FFA">
        <w:t>Figura 52</w:t>
      </w:r>
      <w:r w:rsidRPr="00976D33">
        <w:fldChar w:fldCharType="end"/>
      </w:r>
      <w:r>
        <w:t xml:space="preserve">). Për sa i përket pjesëmarrjes së lëndëve djegëse në totalin e konsumit final të energjisë, pjesëmarrja e naftës parashikohet të rritet për katër pikë përqindje në vitin 2040, (duke arritur në 39%) dhe pjesëmarrja e energjisë elektrike për një pikë përqindje (duke arritur në 32%), ndërsa pjesëmarrja e biomasës do të ulet për tetë pikë përqindjeje (duke arritur në 15%). Pjesëmarrja e lëndëve djegëse të tjera do të mbetet relativisht në të njëjtin nivel. </w:t>
      </w:r>
      <w:r>
        <w:br w:type="page"/>
      </w:r>
    </w:p>
    <w:p w14:paraId="76E72345" w14:textId="40309246" w:rsidR="00361CB0" w:rsidRPr="00976D33" w:rsidRDefault="00361CB0" w:rsidP="00361CB0">
      <w:pPr>
        <w:pStyle w:val="Caption"/>
      </w:pPr>
      <w:bookmarkStart w:id="449" w:name="_Ref69842651"/>
      <w:bookmarkStart w:id="450" w:name="_Toc181867255"/>
      <w:r>
        <w:lastRenderedPageBreak/>
        <w:t xml:space="preserve">Figura </w:t>
      </w:r>
      <w:r w:rsidRPr="00976D33">
        <w:fldChar w:fldCharType="begin"/>
      </w:r>
      <w:r w:rsidRPr="00976D33">
        <w:instrText>SEQ Figure \* ARABIC</w:instrText>
      </w:r>
      <w:r w:rsidRPr="00976D33">
        <w:fldChar w:fldCharType="separate"/>
      </w:r>
      <w:r w:rsidR="003B7FFA">
        <w:rPr>
          <w:noProof/>
        </w:rPr>
        <w:t>52</w:t>
      </w:r>
      <w:r w:rsidRPr="00976D33">
        <w:fldChar w:fldCharType="end"/>
      </w:r>
      <w:bookmarkEnd w:id="449"/>
      <w:r>
        <w:t>. Konsumi final i energjisë sipas lëndëve djegëse, 2021-2040 (ktoe), skenari WEM</w:t>
      </w:r>
      <w:bookmarkEnd w:id="450"/>
    </w:p>
    <w:p w14:paraId="1D05B198" w14:textId="5340C45E" w:rsidR="000557F0" w:rsidRPr="00976D33" w:rsidRDefault="000557F0" w:rsidP="00361CB0">
      <w:r>
        <w:rPr>
          <w:noProof/>
          <w:lang w:val="en-US"/>
        </w:rPr>
        <w:drawing>
          <wp:inline distT="0" distB="0" distL="0" distR="0" wp14:anchorId="34AF0DF7" wp14:editId="4C05619B">
            <wp:extent cx="6079490" cy="2766060"/>
            <wp:effectExtent l="0" t="0" r="0" b="0"/>
            <wp:docPr id="8891723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079490" cy="2766060"/>
                    </a:xfrm>
                    <a:prstGeom prst="rect">
                      <a:avLst/>
                    </a:prstGeom>
                    <a:noFill/>
                    <a:ln>
                      <a:noFill/>
                    </a:ln>
                  </pic:spPr>
                </pic:pic>
              </a:graphicData>
            </a:graphic>
          </wp:inline>
        </w:drawing>
      </w:r>
    </w:p>
    <w:p w14:paraId="5FC49835" w14:textId="77777777" w:rsidR="00361CB0" w:rsidRPr="00976D33" w:rsidRDefault="00361CB0" w:rsidP="00361CB0">
      <w:pPr>
        <w:spacing w:after="0" w:line="240" w:lineRule="auto"/>
        <w:jc w:val="left"/>
      </w:pPr>
      <w:r>
        <w:rPr>
          <w:i/>
          <w:sz w:val="16"/>
        </w:rPr>
        <w:t>Burimi: rezultatet e modelimit vetanak</w:t>
      </w:r>
    </w:p>
    <w:p w14:paraId="14101F1E" w14:textId="77777777" w:rsidR="00361CB0" w:rsidRPr="00976D33" w:rsidRDefault="00361CB0" w:rsidP="00361CB0"/>
    <w:p w14:paraId="49869106" w14:textId="6B5318F5" w:rsidR="00361CB0" w:rsidRPr="00976D33" w:rsidRDefault="00361CB0" w:rsidP="00361CB0">
      <w:r>
        <w:t>Sa i përket pjesëmarrjes së sektorëve në konsumin final të energjisë, rritja më e lartë e konsumit final të energjisë parashikohet në sektorin e transportit, ndërsa rënia më e madhe parashikohet në sektorin rezidencial. Në vitin 2040, sektori rezidencial dhe ai i shërbimeve parashikohet të kenë një pjesëmarrje në konsumin final të energjisë prej 34% dhe tjetri 9%. (</w:t>
      </w:r>
      <w:r w:rsidRPr="00976D33">
        <w:fldChar w:fldCharType="begin"/>
      </w:r>
      <w:r w:rsidRPr="00976D33">
        <w:instrText xml:space="preserve"> REF _Ref69842850 \h  \* MERGEFORMAT </w:instrText>
      </w:r>
      <w:r w:rsidRPr="00976D33">
        <w:fldChar w:fldCharType="separate"/>
      </w:r>
      <w:r w:rsidR="003B7FFA">
        <w:t>Figura 53</w:t>
      </w:r>
      <w:r w:rsidRPr="00976D33">
        <w:fldChar w:fldCharType="end"/>
      </w:r>
      <w:r>
        <w:t>). Sektori i shërbimeve është pothuajse në të njëjtin nivel në periudhën 2021-2030 (pjesëmarrje prej 10%), ndërsa në periudhën pasuese parashikohet të ulet për 1 pikë përqindje.</w:t>
      </w:r>
    </w:p>
    <w:p w14:paraId="2FAF8F5C" w14:textId="4657DB30" w:rsidR="00361CB0" w:rsidRPr="00976D33" w:rsidRDefault="00361CB0" w:rsidP="006E6E51">
      <w:pPr>
        <w:pStyle w:val="Caption"/>
      </w:pPr>
      <w:bookmarkStart w:id="451" w:name="_Ref69842850"/>
      <w:bookmarkStart w:id="452" w:name="_Toc181867256"/>
      <w:r>
        <w:t xml:space="preserve">Figura </w:t>
      </w:r>
      <w:r w:rsidRPr="00976D33">
        <w:fldChar w:fldCharType="begin"/>
      </w:r>
      <w:r w:rsidRPr="00976D33">
        <w:instrText>SEQ Figure \* ARABIC</w:instrText>
      </w:r>
      <w:r w:rsidRPr="00976D33">
        <w:fldChar w:fldCharType="separate"/>
      </w:r>
      <w:r w:rsidR="003B7FFA">
        <w:rPr>
          <w:noProof/>
        </w:rPr>
        <w:t>53</w:t>
      </w:r>
      <w:r w:rsidRPr="00976D33">
        <w:fldChar w:fldCharType="end"/>
      </w:r>
      <w:bookmarkEnd w:id="451"/>
      <w:r>
        <w:t>. Konsumi final i energjisë sipas sektorëve, 2021-2040 (ktoe), skenari WEM</w:t>
      </w:r>
      <w:bookmarkEnd w:id="452"/>
      <w:r>
        <w:t xml:space="preserve"> </w:t>
      </w:r>
    </w:p>
    <w:p w14:paraId="21C8AEE8" w14:textId="1540F9C8" w:rsidR="00361CB0" w:rsidRPr="00976D33" w:rsidRDefault="00056924" w:rsidP="00361CB0">
      <w:r>
        <w:rPr>
          <w:noProof/>
          <w:lang w:val="en-US"/>
        </w:rPr>
        <w:drawing>
          <wp:inline distT="0" distB="0" distL="0" distR="0" wp14:anchorId="5673412B" wp14:editId="34149C72">
            <wp:extent cx="6079490" cy="2746375"/>
            <wp:effectExtent l="0" t="0" r="0" b="0"/>
            <wp:docPr id="1329463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079490" cy="2746375"/>
                    </a:xfrm>
                    <a:prstGeom prst="rect">
                      <a:avLst/>
                    </a:prstGeom>
                    <a:noFill/>
                    <a:ln>
                      <a:noFill/>
                    </a:ln>
                  </pic:spPr>
                </pic:pic>
              </a:graphicData>
            </a:graphic>
          </wp:inline>
        </w:drawing>
      </w:r>
    </w:p>
    <w:p w14:paraId="0D6B3FDA" w14:textId="32F60FDA" w:rsidR="00361CB0" w:rsidRPr="00976D33" w:rsidRDefault="00361CB0" w:rsidP="006E6E51">
      <w:pPr>
        <w:spacing w:after="0" w:line="240" w:lineRule="auto"/>
        <w:jc w:val="left"/>
      </w:pPr>
      <w:r>
        <w:rPr>
          <w:i/>
          <w:sz w:val="16"/>
        </w:rPr>
        <w:t>Burimi: rezultatet e modelimit vetanak</w:t>
      </w:r>
    </w:p>
    <w:p w14:paraId="6EB4B07F" w14:textId="3CA42DA3" w:rsidR="00361CB0" w:rsidRPr="00976D33" w:rsidRDefault="00361CB0" w:rsidP="00925441">
      <w:pPr>
        <w:pStyle w:val="Heading3"/>
      </w:pPr>
      <w:bookmarkStart w:id="453" w:name="_Toc71271851"/>
      <w:bookmarkStart w:id="454" w:name="_Toc182302332"/>
      <w:r>
        <w:t>Nivelet e kostos optimale të kërkesave minimale të performancës energjetike</w:t>
      </w:r>
      <w:bookmarkEnd w:id="453"/>
      <w:bookmarkEnd w:id="454"/>
    </w:p>
    <w:p w14:paraId="596D2B55" w14:textId="08E47BB6" w:rsidR="00361CB0" w:rsidRPr="00976D33" w:rsidRDefault="00361CB0" w:rsidP="00361CB0">
      <w:r>
        <w:t>Kërkesat minimale të performancës energjetike në ndërtesa përcaktohen me metodën e kostos optimale në përputhje me nenin 5 të Direktivës 2010/31/BE për performancën energjetike në ndërtesa në vitet 2013 dhe 2014, për ndërtesat rezidenciale (njëfamiljarëshe dhe me shumë apartamente) dhe ndërtesa jorezidenciale (zyra, ndërtesa arsimore, ndërtesa komerciale me shumicë dhe pakicë, spitale, hotele, restorante dhe salla sportive).</w:t>
      </w:r>
    </w:p>
    <w:p w14:paraId="4C244946" w14:textId="406AA1DA" w:rsidR="00361CB0" w:rsidRPr="00976D33" w:rsidRDefault="00361CB0" w:rsidP="00361CB0">
      <w:r>
        <w:lastRenderedPageBreak/>
        <w:t xml:space="preserve">Procesi në vazhdim për rishikimin e Ligjit për Performancën Energjetike në Ndërtesa, dhe më pas miratimi i akteve nënligjore lidhur me performancën energjetike në ndërtesa, pritet të finalizohet në vitin 2024. </w:t>
      </w:r>
    </w:p>
    <w:p w14:paraId="271BE3C3" w14:textId="425451A7" w:rsidR="00361CB0" w:rsidRPr="004A64EF" w:rsidRDefault="00361CB0" w:rsidP="00361CB0">
      <w:r>
        <w:t>Ministria e Mjedisit, Planifikimit Hapësinor dhe Infrastrukturës së Kosovës ka publikuar Udhëzuesin për aplikimin dhe vlerësimin e kërkesave për performancë minimale energjetike të ndërtesave dhe tipologjinë dhe performancën energjetike të ndërtesave rezidenciale në Republikën e Kosovës. Studimi për vlerësimin e nivelit të kostos optimale të EE-së në ndërtesat rezidenciale dhe jorezidenciale është në vazhdim e sipër.</w:t>
      </w:r>
      <w:r>
        <w:rPr>
          <w:b/>
        </w:rPr>
        <w:t xml:space="preserve"> </w:t>
      </w:r>
    </w:p>
    <w:p w14:paraId="604FCD1D" w14:textId="6F91E7F9" w:rsidR="00361CB0" w:rsidRPr="00976D33" w:rsidRDefault="00361CB0" w:rsidP="00361CB0">
      <w:pPr>
        <w:spacing w:after="138" w:line="259" w:lineRule="auto"/>
        <w:jc w:val="left"/>
      </w:pPr>
    </w:p>
    <w:p w14:paraId="707CC54C" w14:textId="77777777" w:rsidR="00361CB0" w:rsidRPr="00976D33" w:rsidRDefault="00361CB0" w:rsidP="006E6E51">
      <w:pPr>
        <w:pStyle w:val="Heading2"/>
      </w:pPr>
      <w:bookmarkStart w:id="455" w:name="_Toc182302333"/>
      <w:r>
        <w:t>Dimensioni i sigurisë energjetike</w:t>
      </w:r>
      <w:bookmarkEnd w:id="455"/>
      <w:r>
        <w:t xml:space="preserve"> </w:t>
      </w:r>
    </w:p>
    <w:p w14:paraId="7DA9E6CC" w14:textId="77777777" w:rsidR="00361CB0" w:rsidRPr="00976D33" w:rsidRDefault="00361CB0" w:rsidP="00AF7BBF">
      <w:pPr>
        <w:pStyle w:val="Heading3"/>
        <w:numPr>
          <w:ilvl w:val="0"/>
          <w:numId w:val="19"/>
        </w:numPr>
      </w:pPr>
      <w:bookmarkStart w:id="456" w:name="_Toc182302334"/>
      <w:r>
        <w:t>Përzierja aktuale e energjisë, burimet e brendshme të energjisë, varësia nga importi, duke përfshirë rreziqet përkatëse</w:t>
      </w:r>
      <w:bookmarkEnd w:id="456"/>
      <w:r>
        <w:t xml:space="preserve"> </w:t>
      </w:r>
    </w:p>
    <w:p w14:paraId="7A08196A" w14:textId="614565B6" w:rsidR="00361CB0" w:rsidRPr="00976D33" w:rsidRDefault="00361CB0" w:rsidP="00361CB0">
      <w:r>
        <w:t xml:space="preserve">Edhe pse Kosova është prodhues i madh i linjitit dhe biomasës (biokarburanteve të ngurta) në përgjithësi, ajo mbetet importues neto i konsiderueshëm i energjisë. Në vitin 2021, Kosova ka prodhuar 1591 ktoe linjit dhe 308 ktoe biomasë. Biomasa përdoret kryesisht për ngrohjen e banesave. Linjiti ka dominuar në prodhimin e energjisë elektrike në Kosovë me mbi 93% të prodhimit të energjisë elektrike në vitin 2021. Për të adresuar rrezikun e furnizimit që lidhet me varësinë e lartë në impiantet e vjetruara të linjitit, diversifikimi është thelbësor. Kjo është reflektuar edhe në Strategjinë Kombëtare të Energjisë së Kosovës me fokus në rritjen e prodhimit vendor të burimeve të ripërtëritshme, si dhe rinovimin dhe rehabilitimin e njësive të mbetura të linjitit. </w:t>
      </w:r>
    </w:p>
    <w:p w14:paraId="23C3FAB6" w14:textId="72A6F0B6" w:rsidR="00361CB0" w:rsidRPr="00976D33" w:rsidRDefault="00361CB0" w:rsidP="00361CB0">
      <w:r>
        <w:t>Edhe importet e energjisë elektrike paraqesin një barrë për Kosovën. Në vitin 2021, Kosova importoi 59 ktoe, ose rreth 10% të bruto konsumit final të energjisë elektrike (importet neto) për shkak të kërkesës së lartë gjatë sezonit të ngrohjes dhe ndërprerjeve të paplanifikuara të disa njësive të linjitit. Varësia nga importi i energjisë elektrike mbart kryesisht një rrezik financiar, siç është demonstruar nga barra e çmimit të importit në vitin 2021 dhe 2022 në kontekstin e çmimeve jashtëzakonisht të larta evropiane të energjisë elektrike. Gjysma (50%) e importeve fizike të energjisë elektrike të Kosovës në vitin 2022 ka ardhur vetëm nga Serbia dhe energjia tjetër prej 25% është furnizuar nga Maqedonia e Veriut</w:t>
      </w:r>
      <w:r>
        <w:rPr>
          <w:color w:val="auto"/>
        </w:rPr>
        <w:t xml:space="preserve">. </w:t>
      </w:r>
      <w:r>
        <w:t>Meqenëse OST i Serbisë aktualisht nuk ka përcaktuar një vlerë për kapacitetin e disponueshëm të interkoneksionit dhe autoriteti rregullator serb ka dështuar të sigurojë pajtueshmërinë e OST-së me detyrimet e tij në përputhje me Opinionin e Arsyetuar të Sekretariatit të Komunitetit të Energjisë në rastin e procedurës së zgjidhjes së kontestit ECS-2 /21, aktualisht nuk ka kapacitet të transmisionit të disponueshëm komercial me fqinjin verior.</w:t>
      </w:r>
      <w:r w:rsidRPr="00976D33">
        <w:rPr>
          <w:rStyle w:val="FootnoteReference"/>
        </w:rPr>
        <w:footnoteReference w:id="43"/>
      </w:r>
      <w:r>
        <w:t xml:space="preserve"> Kjo ndikon në tregtinë e energjisë elektrike të Kosovës dhe rajonit në përgjithësi, duke rritur më tej koston e importit të energjisë elektrike.</w:t>
      </w:r>
    </w:p>
    <w:p w14:paraId="3075CDB1" w14:textId="5D66D265" w:rsidR="00361CB0" w:rsidRPr="00976D33" w:rsidRDefault="00361CB0" w:rsidP="00361CB0">
      <w:r>
        <w:t>Në mungesë të kapacitetit vendor të rafinimit, Kosova është plotësisht e varur nga importi i produkteve të naftës siç është dizelli (608 ktoe në vitin 2021) si dhe benzina për motor (66 ktoe në vitin 2021). Produkt</w:t>
      </w:r>
      <w:r w:rsidR="0037748E">
        <w:t>et e tjera</w:t>
      </w:r>
      <w:r>
        <w:t xml:space="preserve"> të importuara neto të naftës përfshijnë bitumin (59 ktoe në vitin 2021) dhe koksin e naftës (57 ktoe në vitin 2021). Importet neto të të gjitha produkteve të naftës në vitin 2021 arritën në 833 ktoe. Importet neto të të gjithë transportuesve të energjisë në përgjithësi arritën në 918 ktoe në vitin 2021, ose afërsisht 32% të furnizimit total me energji.</w:t>
      </w:r>
    </w:p>
    <w:p w14:paraId="3260D445" w14:textId="19406624" w:rsidR="00361CB0" w:rsidRPr="00976D33" w:rsidRDefault="00361CB0" w:rsidP="00361CB0">
      <w:pPr>
        <w:rPr>
          <w:rStyle w:val="CommentReference"/>
        </w:rPr>
      </w:pPr>
      <w:r>
        <w:t>BE-ja është një furnizues i rëndësishëm për disa nga produktet më të rëndësishme energjetike të Kosovës. Në vitin 2021, BE27 furnizoi 49% të importeve me naftë, 22% të benzinës motorike dhe gazrave të lëngshëm të naftës, 44% të koksit të naftës dhe 40% të bitumit. Vendet më të rëndësishme furnizuese të naftës janë Greqia (32%), Arabia Saudite (18%) dhe Italia (14%). Për benzinë motorike, tre furnizuesit kryesorë ishin Serbia (35%), Greqia (31%) dhe Rumania (11%).</w:t>
      </w:r>
    </w:p>
    <w:p w14:paraId="1202949D" w14:textId="409B0A10" w:rsidR="00FC05C4" w:rsidRDefault="00361CB0" w:rsidP="00361CB0">
      <w:r>
        <w:t>Në përgjithësi, importet e produkteve të naftës në Kosovë janë relativisht të diversifikuara (</w:t>
      </w:r>
      <w:r w:rsidRPr="00976D33">
        <w:fldChar w:fldCharType="begin"/>
      </w:r>
      <w:r w:rsidRPr="00976D33">
        <w:instrText xml:space="preserve"> REF _Ref164760489 \h </w:instrText>
      </w:r>
      <w:r w:rsidR="004A7007" w:rsidRPr="00976D33">
        <w:instrText xml:space="preserve"> \* MERGEFORMAT </w:instrText>
      </w:r>
      <w:r w:rsidRPr="00976D33">
        <w:fldChar w:fldCharType="separate"/>
      </w:r>
      <w:r w:rsidR="003B7FFA">
        <w:t>Figura 54</w:t>
      </w:r>
      <w:r w:rsidRPr="00976D33">
        <w:fldChar w:fldCharType="end"/>
      </w:r>
      <w:r>
        <w:t>), dhe furnizuesit mund të ndërrohen për shkak të natyrës globale të tregtisë së produkteve të naftës. Kështu që, importet e produkteve të naftës nuk përbëjnë një rrezik veçanërisht të lartë të sigurisë energjetike.</w:t>
      </w:r>
    </w:p>
    <w:p w14:paraId="50776A85" w14:textId="77777777" w:rsidR="00FC05C4" w:rsidRDefault="00FC05C4" w:rsidP="00361CB0"/>
    <w:p w14:paraId="1A29BB40" w14:textId="2A85F214" w:rsidR="00361CB0" w:rsidRPr="00976D33" w:rsidRDefault="00361CB0" w:rsidP="00361CB0">
      <w:pPr>
        <w:pStyle w:val="Caption"/>
        <w:rPr>
          <w:color w:val="auto"/>
        </w:rPr>
      </w:pPr>
      <w:bookmarkStart w:id="457" w:name="_Ref164760489"/>
      <w:bookmarkStart w:id="458" w:name="_Toc181867257"/>
      <w:r>
        <w:lastRenderedPageBreak/>
        <w:t xml:space="preserve">Figura </w:t>
      </w:r>
      <w:r w:rsidRPr="00976D33">
        <w:fldChar w:fldCharType="begin"/>
      </w:r>
      <w:r w:rsidRPr="00976D33">
        <w:instrText>SEQ Figure \* ARABIC</w:instrText>
      </w:r>
      <w:r w:rsidRPr="00976D33">
        <w:fldChar w:fldCharType="separate"/>
      </w:r>
      <w:r w:rsidR="003B7FFA">
        <w:rPr>
          <w:noProof/>
        </w:rPr>
        <w:t>54</w:t>
      </w:r>
      <w:r w:rsidRPr="00976D33">
        <w:fldChar w:fldCharType="end"/>
      </w:r>
      <w:bookmarkEnd w:id="457"/>
      <w:r>
        <w:t>. Importet e produkteve të naftës sipas vendit të origjinës (2021)</w:t>
      </w:r>
      <w:bookmarkEnd w:id="458"/>
    </w:p>
    <w:p w14:paraId="4E013C1F" w14:textId="77777777" w:rsidR="00361CB0" w:rsidRPr="00976D33" w:rsidRDefault="00361CB0" w:rsidP="00361CB0">
      <w:pPr>
        <w:pStyle w:val="Tabellenberschrift"/>
        <w:spacing w:after="0" w:line="240" w:lineRule="auto"/>
        <w:rPr>
          <w:color w:val="auto"/>
        </w:rPr>
      </w:pPr>
      <w:r>
        <w:rPr>
          <w:noProof/>
          <w:lang w:val="en-US" w:eastAsia="en-US"/>
        </w:rPr>
        <w:drawing>
          <wp:inline distT="0" distB="0" distL="0" distR="0" wp14:anchorId="5167DD3D" wp14:editId="33F4CCAA">
            <wp:extent cx="2467992" cy="2060636"/>
            <wp:effectExtent l="0" t="0" r="0" b="0"/>
            <wp:docPr id="477985330" name="Grafik 47798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09992" cy="2095703"/>
                    </a:xfrm>
                    <a:prstGeom prst="rect">
                      <a:avLst/>
                    </a:prstGeom>
                    <a:noFill/>
                    <a:ln>
                      <a:noFill/>
                    </a:ln>
                  </pic:spPr>
                </pic:pic>
              </a:graphicData>
            </a:graphic>
          </wp:inline>
        </w:drawing>
      </w:r>
    </w:p>
    <w:p w14:paraId="206C621B" w14:textId="77777777" w:rsidR="00361CB0" w:rsidRPr="00976D33" w:rsidRDefault="00361CB0" w:rsidP="00361CB0">
      <w:pPr>
        <w:spacing w:after="160" w:line="259" w:lineRule="auto"/>
        <w:rPr>
          <w:sz w:val="16"/>
          <w:szCs w:val="16"/>
        </w:rPr>
      </w:pPr>
      <w:r>
        <w:rPr>
          <w:i/>
          <w:sz w:val="16"/>
        </w:rPr>
        <w:t>Burimi: Eurostat</w:t>
      </w:r>
    </w:p>
    <w:p w14:paraId="78FC6E69" w14:textId="1BF6233B" w:rsidR="00361CB0" w:rsidRPr="00976D33" w:rsidRDefault="00361CB0" w:rsidP="00361CB0">
      <w:pPr>
        <w:pStyle w:val="Heading3"/>
      </w:pPr>
      <w:bookmarkStart w:id="459" w:name="_Toc182302335"/>
      <w:r>
        <w:t>Projeksionet e zhvillimit me politikat dhe masat ekzistuese deri në vitin 2040</w:t>
      </w:r>
      <w:bookmarkEnd w:id="459"/>
      <w:r>
        <w:t xml:space="preserve"> </w:t>
      </w:r>
    </w:p>
    <w:p w14:paraId="0724B2BA" w14:textId="328E0B68" w:rsidR="00361CB0" w:rsidRPr="004A64EF" w:rsidRDefault="00361CB0" w:rsidP="00361CB0">
      <w:r>
        <w:t>Për shkak të planeve ambicioze të Kosovës për zgjerimin e BRE-ve, energjia solare dhe nga era parashikohet të përbëjnë një pjesë në rritje progresive të përzierjes së energjisë elektrike (</w:t>
      </w:r>
      <w:r w:rsidRPr="004A64EF">
        <w:fldChar w:fldCharType="begin"/>
      </w:r>
      <w:r w:rsidRPr="004A64EF">
        <w:instrText xml:space="preserve"> REF _Ref139004209 \h </w:instrText>
      </w:r>
      <w:r w:rsidR="004A7007" w:rsidRPr="004A64EF">
        <w:instrText xml:space="preserve"> \* MERGEFORMAT </w:instrText>
      </w:r>
      <w:r w:rsidRPr="004A64EF">
        <w:fldChar w:fldCharType="separate"/>
      </w:r>
      <w:r w:rsidR="003B7FFA">
        <w:t>Figura 55</w:t>
      </w:r>
      <w:r w:rsidRPr="004A64EF">
        <w:fldChar w:fldCharType="end"/>
      </w:r>
      <w:r>
        <w:t>). Në vitin 2030 (2040), energjia solare do të mund të përbënte 13% (23%) dhe era 24% (39%) të bruto konsumit final të energjisë elektrike, ndërsa pjesa e linjitit të bie në 57% (33%).</w:t>
      </w:r>
    </w:p>
    <w:p w14:paraId="25E9315C" w14:textId="1F8118B3" w:rsidR="00361CB0" w:rsidRPr="00976D33" w:rsidRDefault="00F40766" w:rsidP="00361CB0">
      <w:bookmarkStart w:id="460" w:name="_Hlk170826158"/>
      <w:r>
        <w:t>Importet neto të energjisë elektrike do të arrinin kulmin në vitin 2026 (me 16%) për shkak të disponueshmërisë më të ulët të njësive të linjitit të Kosovës gjatë punimeve të rinovimit. Megjithatë, rinovimi i tri deri në katër njësive të Kosovës A dhe B (dy njësitë e Kosovës B dhe një ose dy njësive të Kosovës A) i planifikuar në periudhën kohore 2025-2027 pritet të përmirësojë efiçiencën neto energjetike të njësive (nga 28% në 34% për Kosovën A dhe nga 38% në 40% për Kosovën B) dhe rritjen e besueshmërisë së furnizimit me energji elektrike nga këto asete gjeneruese deri në fund të dekadës dhe më tej (Kosova A do të vendoset në një rezervë strategjike nga viti 2031).</w:t>
      </w:r>
      <w:bookmarkEnd w:id="460"/>
      <w:r>
        <w:t xml:space="preserve"> Njësoj me praktikat e mëparshme, do të planifikohen dhe do të menaxhohen rinovimet dhe ndërprerjet përkatëse për të shmangur varësinë e tepërt nga importi. Nga fundi i viteve 2020</w:t>
      </w:r>
      <w:r>
        <w:rPr>
          <w:vertAlign w:val="superscript"/>
        </w:rPr>
        <w:t>-ta</w:t>
      </w:r>
      <w:r>
        <w:t xml:space="preserve"> e tutje, parashikohet një bilanc tregtar relativisht i barabartë për eksportet dhe importet e energjisë elektrike të Kosovës pasi njësitë e linjitit të kthehen në funksion pas rinovimit.</w:t>
      </w:r>
    </w:p>
    <w:p w14:paraId="7E175B34" w14:textId="4B251602" w:rsidR="00361CB0" w:rsidRPr="00976D33" w:rsidRDefault="00361CB0" w:rsidP="00361CB0">
      <w:pPr>
        <w:pStyle w:val="Caption"/>
        <w:rPr>
          <w:color w:val="auto"/>
        </w:rPr>
      </w:pPr>
      <w:bookmarkStart w:id="461" w:name="_Ref139004209"/>
      <w:bookmarkStart w:id="462" w:name="_Hlk137491761"/>
      <w:bookmarkStart w:id="463" w:name="_Toc181867258"/>
      <w:r>
        <w:t xml:space="preserve">Figura </w:t>
      </w:r>
      <w:r w:rsidRPr="00976D33">
        <w:fldChar w:fldCharType="begin"/>
      </w:r>
      <w:r w:rsidRPr="00976D33">
        <w:instrText>SEQ Figure \* ARABIC</w:instrText>
      </w:r>
      <w:r w:rsidRPr="00976D33">
        <w:fldChar w:fldCharType="separate"/>
      </w:r>
      <w:r w:rsidR="003B7FFA">
        <w:rPr>
          <w:noProof/>
        </w:rPr>
        <w:t>55</w:t>
      </w:r>
      <w:r w:rsidRPr="00976D33">
        <w:fldChar w:fldCharType="end"/>
      </w:r>
      <w:bookmarkEnd w:id="461"/>
      <w:r>
        <w:t>. Përzierja e energjisë elektrike në bruto konsumin final sipas burimit (pas vitit 2021: projeksionet)</w:t>
      </w:r>
      <w:bookmarkEnd w:id="462"/>
      <w:bookmarkEnd w:id="463"/>
    </w:p>
    <w:p w14:paraId="5DBBAD0B" w14:textId="4B954B0F" w:rsidR="00DA05CF" w:rsidRPr="00976D33" w:rsidRDefault="001F4865" w:rsidP="00361CB0">
      <w:pPr>
        <w:spacing w:after="0" w:line="240" w:lineRule="auto"/>
        <w:rPr>
          <w:color w:val="024F75" w:themeColor="accent1"/>
        </w:rPr>
      </w:pPr>
      <w:r>
        <w:rPr>
          <w:noProof/>
          <w:lang w:val="en-US"/>
        </w:rPr>
        <w:drawing>
          <wp:inline distT="0" distB="0" distL="0" distR="0" wp14:anchorId="49C0C551" wp14:editId="638F3A13">
            <wp:extent cx="6079490" cy="2442845"/>
            <wp:effectExtent l="0" t="0" r="0" b="0"/>
            <wp:docPr id="10330053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079490" cy="2442845"/>
                    </a:xfrm>
                    <a:prstGeom prst="rect">
                      <a:avLst/>
                    </a:prstGeom>
                    <a:noFill/>
                    <a:ln>
                      <a:noFill/>
                    </a:ln>
                  </pic:spPr>
                </pic:pic>
              </a:graphicData>
            </a:graphic>
          </wp:inline>
        </w:drawing>
      </w:r>
    </w:p>
    <w:p w14:paraId="28CE9BCE" w14:textId="77777777" w:rsidR="00361CB0" w:rsidRPr="00976D33" w:rsidRDefault="00361CB0" w:rsidP="00361CB0">
      <w:pPr>
        <w:spacing w:before="0" w:after="160" w:line="259" w:lineRule="auto"/>
        <w:rPr>
          <w:color w:val="024F75" w:themeColor="accent1"/>
        </w:rPr>
      </w:pPr>
      <w:r>
        <w:rPr>
          <w:i/>
          <w:sz w:val="16"/>
        </w:rPr>
        <w:t>Burimi: Eurostat, projeksionet dhe modelimi vetanak</w:t>
      </w:r>
    </w:p>
    <w:p w14:paraId="2B16F687" w14:textId="245490FB" w:rsidR="00361CB0" w:rsidRPr="00976D33" w:rsidRDefault="008A72A6" w:rsidP="00361CB0">
      <w:r>
        <w:t>Prodhimi vendor i linjitit parashikohet të bjerë në 1,004 ktoe deri në vitin 2030 dhe më tej në 719 ktoe në vitin 2040 (</w:t>
      </w:r>
      <w:r w:rsidRPr="00976D33">
        <w:fldChar w:fldCharType="begin"/>
      </w:r>
      <w:r w:rsidRPr="00976D33">
        <w:instrText xml:space="preserve"> REF _Ref164760751 \h  \* MERGEFORMAT </w:instrText>
      </w:r>
      <w:r w:rsidRPr="00976D33">
        <w:fldChar w:fldCharType="separate"/>
      </w:r>
      <w:r w:rsidR="003B7FFA">
        <w:t>Figura 56</w:t>
      </w:r>
      <w:r w:rsidRPr="00976D33">
        <w:fldChar w:fldCharType="end"/>
      </w:r>
      <w:r>
        <w:t xml:space="preserve">), në përputhje me rënien e prodhimit të energjisë elektrike me linjit. Prodhimi i bioenergjisë (kryesisht i përbërë nga nxjerrja e druve për zjarr nga pyjet) pritet të bjerë gradualisht në 303 ktoe në vitin 2030 (kundrejt 308 ktoe në vitin 2021) dhe në 287 ktoe në vitin 2040, kryesisht për shkak të ndryshimeve </w:t>
      </w:r>
      <w:r>
        <w:lastRenderedPageBreak/>
        <w:t>demografike, d.m.th., urbanizimit dhe migrimit jashtë zonave rurale. Prodhimi i energjisë nga panelet solare PV dhe era parashikohet të arrijë në 103 respektivisht 160 ktoe në vitin 2030 dhe 197 respektivisht 303 ktoe në vitin 2040.</w:t>
      </w:r>
    </w:p>
    <w:p w14:paraId="2AFC5AC2" w14:textId="77777777" w:rsidR="00361CB0" w:rsidRPr="00976D33" w:rsidRDefault="00361CB0" w:rsidP="00361CB0"/>
    <w:p w14:paraId="5282E796" w14:textId="274E3971" w:rsidR="00361CB0" w:rsidRPr="00976D33" w:rsidRDefault="00361CB0" w:rsidP="00361CB0">
      <w:pPr>
        <w:pStyle w:val="Caption"/>
      </w:pPr>
      <w:bookmarkStart w:id="464" w:name="_Ref139004233"/>
      <w:bookmarkStart w:id="465" w:name="_Ref164760751"/>
      <w:bookmarkStart w:id="466" w:name="_Toc181867259"/>
      <w:r>
        <w:t xml:space="preserve">Figura </w:t>
      </w:r>
      <w:r w:rsidRPr="00976D33">
        <w:fldChar w:fldCharType="begin"/>
      </w:r>
      <w:r w:rsidRPr="00976D33">
        <w:instrText>SEQ Figure \* ARABIC</w:instrText>
      </w:r>
      <w:r w:rsidRPr="00976D33">
        <w:fldChar w:fldCharType="separate"/>
      </w:r>
      <w:r w:rsidR="003B7FFA">
        <w:rPr>
          <w:noProof/>
        </w:rPr>
        <w:t>56</w:t>
      </w:r>
      <w:r w:rsidRPr="00976D33">
        <w:fldChar w:fldCharType="end"/>
      </w:r>
      <w:bookmarkEnd w:id="464"/>
      <w:bookmarkEnd w:id="465"/>
      <w:r>
        <w:t>. Prodhimi i brendshëm i energjisë sipas burimit (pas vitit 2021: projeksionet)</w:t>
      </w:r>
      <w:bookmarkEnd w:id="466"/>
    </w:p>
    <w:p w14:paraId="25FF9DBA" w14:textId="0D66C1FC" w:rsidR="00361CB0" w:rsidRPr="00976D33" w:rsidRDefault="00361CB0" w:rsidP="00361CB0">
      <w:pPr>
        <w:spacing w:after="0" w:line="240" w:lineRule="auto"/>
      </w:pPr>
      <w:r>
        <w:rPr>
          <w:noProof/>
          <w:lang w:val="en-US"/>
        </w:rPr>
        <w:drawing>
          <wp:inline distT="0" distB="0" distL="0" distR="0" wp14:anchorId="138C03CD" wp14:editId="2017197E">
            <wp:extent cx="6079490" cy="3025775"/>
            <wp:effectExtent l="0" t="0" r="0" b="0"/>
            <wp:docPr id="4710278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079490" cy="3025775"/>
                    </a:xfrm>
                    <a:prstGeom prst="rect">
                      <a:avLst/>
                    </a:prstGeom>
                    <a:noFill/>
                    <a:ln>
                      <a:noFill/>
                    </a:ln>
                  </pic:spPr>
                </pic:pic>
              </a:graphicData>
            </a:graphic>
          </wp:inline>
        </w:drawing>
      </w:r>
    </w:p>
    <w:p w14:paraId="5A52A722" w14:textId="77777777" w:rsidR="00361CB0" w:rsidRPr="00976D33" w:rsidRDefault="00361CB0" w:rsidP="00361CB0">
      <w:pPr>
        <w:spacing w:before="0" w:after="160" w:line="259" w:lineRule="auto"/>
        <w:rPr>
          <w:i/>
          <w:sz w:val="16"/>
          <w:szCs w:val="16"/>
        </w:rPr>
      </w:pPr>
      <w:r>
        <w:rPr>
          <w:i/>
          <w:sz w:val="16"/>
        </w:rPr>
        <w:t>Burimi: Eurostat, projeksionet dhe modelimi vetanak</w:t>
      </w:r>
    </w:p>
    <w:p w14:paraId="2FE2B6E4" w14:textId="2CFDA6BA" w:rsidR="00361CB0" w:rsidRPr="00976D33" w:rsidRDefault="00361CB0" w:rsidP="00361CB0">
      <w:r>
        <w:t>Importet e produkteve të naftës parashihet se do të rriten në 903 ktoe në vitin 2030 dhe 1,078 ktoe në vitin 2040 (</w:t>
      </w:r>
      <w:r w:rsidRPr="00976D33">
        <w:fldChar w:fldCharType="begin"/>
      </w:r>
      <w:r w:rsidRPr="00976D33">
        <w:instrText xml:space="preserve"> REF _Ref139004253 \h  \* MERGEFORMAT </w:instrText>
      </w:r>
      <w:r w:rsidRPr="00976D33">
        <w:fldChar w:fldCharType="separate"/>
      </w:r>
      <w:r w:rsidR="003B7FFA">
        <w:t>Figura 57</w:t>
      </w:r>
      <w:r w:rsidRPr="00976D33">
        <w:fldChar w:fldCharType="end"/>
      </w:r>
      <w:r>
        <w:t>), të nxitura kryesisht nga karburantet e transportit rrugor për makinat e udhëtarëve dhe kamionët. Në të njëjtën kohë, importet e thëngjillit (antracit, qymyr tjetër bituminoz dhe linjit) janë të papërfillshme dhe parashikohen të arrijnë në 9 ktoe në vitin 2030 dhe 10 ktoe në vitin 2040. Importet e bioenergjisë parashikohen të arrijnë në 46 ktoe dhe 44 ktoe në vitin 2040.</w:t>
      </w:r>
    </w:p>
    <w:p w14:paraId="278F261E" w14:textId="7FD9C4B3" w:rsidR="00361CB0" w:rsidRPr="00976D33" w:rsidRDefault="00361CB0" w:rsidP="00361CB0">
      <w:pPr>
        <w:pStyle w:val="Caption"/>
      </w:pPr>
      <w:bookmarkStart w:id="467" w:name="_Ref139004253"/>
      <w:bookmarkStart w:id="468" w:name="_Toc181867260"/>
      <w:r>
        <w:t xml:space="preserve">Figura </w:t>
      </w:r>
      <w:r w:rsidRPr="00976D33">
        <w:fldChar w:fldCharType="begin"/>
      </w:r>
      <w:r w:rsidRPr="00976D33">
        <w:instrText>SEQ Figure \* ARABIC</w:instrText>
      </w:r>
      <w:r w:rsidRPr="00976D33">
        <w:fldChar w:fldCharType="separate"/>
      </w:r>
      <w:r w:rsidR="003B7FFA">
        <w:rPr>
          <w:noProof/>
        </w:rPr>
        <w:t>57</w:t>
      </w:r>
      <w:r w:rsidRPr="00976D33">
        <w:fldChar w:fldCharType="end"/>
      </w:r>
      <w:bookmarkEnd w:id="467"/>
      <w:r>
        <w:t>. Importet neto nga transportuesit e energjisë (pas vitit 2021: projeksionet)</w:t>
      </w:r>
      <w:bookmarkEnd w:id="468"/>
    </w:p>
    <w:p w14:paraId="57D29A70" w14:textId="69DAAC5B" w:rsidR="009F2240" w:rsidRPr="00976D33" w:rsidRDefault="009F2240" w:rsidP="00361CB0">
      <w:r>
        <w:rPr>
          <w:noProof/>
          <w:lang w:val="en-US"/>
        </w:rPr>
        <w:drawing>
          <wp:inline distT="0" distB="0" distL="0" distR="0" wp14:anchorId="3F68BB00" wp14:editId="747DEB05">
            <wp:extent cx="6079490" cy="2839720"/>
            <wp:effectExtent l="0" t="0" r="0" b="0"/>
            <wp:docPr id="3305722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79490" cy="2839720"/>
                    </a:xfrm>
                    <a:prstGeom prst="rect">
                      <a:avLst/>
                    </a:prstGeom>
                    <a:noFill/>
                    <a:ln>
                      <a:noFill/>
                    </a:ln>
                  </pic:spPr>
                </pic:pic>
              </a:graphicData>
            </a:graphic>
          </wp:inline>
        </w:drawing>
      </w:r>
    </w:p>
    <w:p w14:paraId="1DB5EA45" w14:textId="77777777" w:rsidR="00361CB0" w:rsidRPr="00976D33" w:rsidRDefault="00361CB0" w:rsidP="00361CB0">
      <w:pPr>
        <w:spacing w:before="0" w:after="160" w:line="259" w:lineRule="auto"/>
        <w:rPr>
          <w:i/>
          <w:sz w:val="16"/>
          <w:szCs w:val="16"/>
        </w:rPr>
      </w:pPr>
      <w:r>
        <w:rPr>
          <w:i/>
          <w:sz w:val="16"/>
        </w:rPr>
        <w:t>Burimi: Eurostat, projeksionet dhe modelimi vetanak</w:t>
      </w:r>
    </w:p>
    <w:p w14:paraId="66E91C46" w14:textId="77777777" w:rsidR="00361CB0" w:rsidRPr="00976D33" w:rsidRDefault="00361CB0" w:rsidP="00361CB0">
      <w:r>
        <w:br w:type="page"/>
      </w:r>
    </w:p>
    <w:p w14:paraId="17EEA703" w14:textId="77777777" w:rsidR="00361CB0" w:rsidRPr="00976D33" w:rsidRDefault="00361CB0" w:rsidP="006E6E51">
      <w:pPr>
        <w:pStyle w:val="Heading2"/>
      </w:pPr>
      <w:bookmarkStart w:id="469" w:name="_Toc182302336"/>
      <w:r>
        <w:lastRenderedPageBreak/>
        <w:t>Dimensioni i tregut të brendshëm energjetik</w:t>
      </w:r>
      <w:bookmarkEnd w:id="469"/>
      <w:r>
        <w:t xml:space="preserve"> </w:t>
      </w:r>
    </w:p>
    <w:p w14:paraId="3989E20D" w14:textId="77777777" w:rsidR="00361CB0" w:rsidRPr="00976D33" w:rsidRDefault="00361CB0" w:rsidP="00AF7BBF">
      <w:pPr>
        <w:pStyle w:val="Heading3"/>
        <w:numPr>
          <w:ilvl w:val="0"/>
          <w:numId w:val="20"/>
        </w:numPr>
      </w:pPr>
      <w:bookmarkStart w:id="470" w:name="_Toc182302337"/>
      <w:r>
        <w:t>Interkoneksioni i energjisë elektrike</w:t>
      </w:r>
      <w:bookmarkEnd w:id="470"/>
      <w:r>
        <w:t xml:space="preserve"> </w:t>
      </w:r>
    </w:p>
    <w:p w14:paraId="79B1DCE5" w14:textId="77777777" w:rsidR="00361CB0" w:rsidRPr="00976D33" w:rsidRDefault="00361CB0" w:rsidP="00AF7BBF">
      <w:pPr>
        <w:pStyle w:val="Heading4"/>
        <w:numPr>
          <w:ilvl w:val="0"/>
          <w:numId w:val="21"/>
        </w:numPr>
      </w:pPr>
      <w:r>
        <w:t>Niveli aktual i interkoneksonit dhe interkonektorët kryesorë</w:t>
      </w:r>
    </w:p>
    <w:p w14:paraId="377424AB" w14:textId="535C6C89" w:rsidR="00361CB0" w:rsidRPr="00976D33" w:rsidRDefault="00361CB0" w:rsidP="00361CB0">
      <w:r>
        <w:t>Rrjeti i transmisionit të Kosovës është i lidhur mirë me sistemin rajonal dhe evropian përmes linjave të interkoneksionit (</w:t>
      </w:r>
      <w:r w:rsidRPr="00976D33">
        <w:fldChar w:fldCharType="begin"/>
      </w:r>
      <w:r w:rsidRPr="00976D33">
        <w:instrText xml:space="preserve"> REF _Ref139004278 \h </w:instrText>
      </w:r>
      <w:r w:rsidR="004A7007" w:rsidRPr="00976D33">
        <w:instrText xml:space="preserve"> \* MERGEFORMAT </w:instrText>
      </w:r>
      <w:r w:rsidRPr="00976D33">
        <w:fldChar w:fldCharType="separate"/>
      </w:r>
      <w:r w:rsidR="003B7FFA">
        <w:t>Figura 58</w:t>
      </w:r>
      <w:r w:rsidRPr="00976D33">
        <w:fldChar w:fldCharType="end"/>
      </w:r>
      <w:r>
        <w:t>) me:</w:t>
      </w:r>
    </w:p>
    <w:p w14:paraId="7DAF881D" w14:textId="77777777" w:rsidR="00361CB0" w:rsidRPr="00976D33" w:rsidRDefault="00361CB0" w:rsidP="00361CB0">
      <w:pPr>
        <w:pStyle w:val="ListParagraph"/>
      </w:pPr>
      <w:r>
        <w:t>Shqipërinë, Maqedoninë, Malin e Zi dhe Serbinë: një linjë 400 kV</w:t>
      </w:r>
    </w:p>
    <w:p w14:paraId="5205B220" w14:textId="77777777" w:rsidR="00361CB0" w:rsidRPr="00976D33" w:rsidDel="00600F48" w:rsidRDefault="00361CB0" w:rsidP="00361CB0">
      <w:pPr>
        <w:pStyle w:val="ListParagraph"/>
      </w:pPr>
      <w:r>
        <w:t>Shqipërinë dhe Serbinë: një linjë 220 kV</w:t>
      </w:r>
    </w:p>
    <w:p w14:paraId="3F8F5D8D" w14:textId="77777777" w:rsidR="00361CB0" w:rsidRPr="00976D33" w:rsidDel="00600F48" w:rsidRDefault="00361CB0" w:rsidP="00361CB0">
      <w:pPr>
        <w:pStyle w:val="ListParagraph"/>
      </w:pPr>
      <w:r>
        <w:t>Serbinë: dy linja 110 kV</w:t>
      </w:r>
    </w:p>
    <w:p w14:paraId="7A04C196" w14:textId="77777777" w:rsidR="00361CB0" w:rsidRPr="00976D33" w:rsidDel="00600F48" w:rsidRDefault="00361CB0" w:rsidP="00361CB0">
      <w:r>
        <w:t>Më konkretisht, linjat e mëposhtme të interkoneksionit janë aktualisht në funksion:</w:t>
      </w:r>
    </w:p>
    <w:p w14:paraId="23838FC1" w14:textId="77777777" w:rsidR="00361CB0" w:rsidRPr="00976D33" w:rsidDel="00600F48" w:rsidRDefault="00361CB0" w:rsidP="00361CB0">
      <w:pPr>
        <w:rPr>
          <w:rFonts w:eastAsia="Calibri"/>
        </w:rPr>
      </w:pPr>
      <w:r>
        <w:t>400 kV:</w:t>
      </w:r>
    </w:p>
    <w:p w14:paraId="092EA71F" w14:textId="77777777" w:rsidR="00361CB0" w:rsidRPr="001F4906" w:rsidDel="00600F48" w:rsidRDefault="00361CB0" w:rsidP="00361CB0">
      <w:pPr>
        <w:pStyle w:val="ListParagraph"/>
      </w:pPr>
      <w:r>
        <w:t>NS Kosova B - NS Koman (Shqipëri)</w:t>
      </w:r>
    </w:p>
    <w:p w14:paraId="5DCE1917" w14:textId="77777777" w:rsidR="00361CB0" w:rsidRPr="001F4906" w:rsidDel="00600F48" w:rsidRDefault="00361CB0" w:rsidP="00361CB0">
      <w:pPr>
        <w:pStyle w:val="ListParagraph"/>
      </w:pPr>
      <w:r>
        <w:t>NS Kosova B - NS Nish (Serbi)</w:t>
      </w:r>
    </w:p>
    <w:p w14:paraId="46A57679" w14:textId="77777777" w:rsidR="00361CB0" w:rsidRPr="001F4906" w:rsidDel="00600F48" w:rsidRDefault="00361CB0" w:rsidP="00361CB0">
      <w:pPr>
        <w:pStyle w:val="ListParagraph"/>
      </w:pPr>
      <w:r>
        <w:t>NS Peja 3 - NS Ribarevina (Mali i Zi)</w:t>
      </w:r>
    </w:p>
    <w:p w14:paraId="54BEE81B" w14:textId="77777777" w:rsidR="00361CB0" w:rsidRPr="00976D33" w:rsidDel="00600F48" w:rsidRDefault="00361CB0" w:rsidP="00361CB0">
      <w:pPr>
        <w:pStyle w:val="ListParagraph"/>
      </w:pPr>
      <w:r>
        <w:t>NS Ferizaj 2 - NS Shkupi 5 (Maqedoni e Veriut)</w:t>
      </w:r>
    </w:p>
    <w:p w14:paraId="3ADB4015" w14:textId="77777777" w:rsidR="00361CB0" w:rsidRPr="00976D33" w:rsidDel="00600F48" w:rsidRDefault="00361CB0" w:rsidP="00361CB0">
      <w:r>
        <w:t>220 kV:</w:t>
      </w:r>
    </w:p>
    <w:p w14:paraId="08362B2B" w14:textId="77777777" w:rsidR="00361CB0" w:rsidRPr="001F4906" w:rsidDel="00600F48" w:rsidRDefault="00361CB0" w:rsidP="00361CB0">
      <w:pPr>
        <w:pStyle w:val="ListParagraph"/>
      </w:pPr>
      <w:bookmarkStart w:id="471" w:name="_Hlk135900717"/>
      <w:r>
        <w:t>NS Prizreni 2 - NS Fierza (Shqipëri)</w:t>
      </w:r>
    </w:p>
    <w:p w14:paraId="2122B351" w14:textId="77777777" w:rsidR="00361CB0" w:rsidRPr="001F4906" w:rsidDel="00600F48" w:rsidRDefault="00361CB0" w:rsidP="00361CB0">
      <w:pPr>
        <w:pStyle w:val="ListParagraph"/>
      </w:pPr>
      <w:r>
        <w:t>NS Podujeva - NS Krushevci (Serbi)</w:t>
      </w:r>
    </w:p>
    <w:bookmarkEnd w:id="471"/>
    <w:p w14:paraId="4B45E1B9" w14:textId="77777777" w:rsidR="00361CB0" w:rsidRPr="00976D33" w:rsidDel="00600F48" w:rsidRDefault="00361CB0" w:rsidP="00361CB0">
      <w:r>
        <w:t>110 kV:</w:t>
      </w:r>
    </w:p>
    <w:p w14:paraId="52F151FE" w14:textId="77777777" w:rsidR="00361CB0" w:rsidRPr="001F4906" w:rsidDel="00600F48" w:rsidRDefault="00361CB0" w:rsidP="00361CB0">
      <w:pPr>
        <w:pStyle w:val="ListParagraph"/>
      </w:pPr>
      <w:r>
        <w:t>NS Vallaq - NS Novi Pazar (Serbi)</w:t>
      </w:r>
    </w:p>
    <w:p w14:paraId="0EE36AAC" w14:textId="77777777" w:rsidR="00361CB0" w:rsidRPr="001F4906" w:rsidDel="00600F48" w:rsidRDefault="00361CB0" w:rsidP="00361CB0">
      <w:pPr>
        <w:pStyle w:val="ListParagraph"/>
      </w:pPr>
      <w:r>
        <w:t>NS Berivojce - NS Bujanovc (Serbi)</w:t>
      </w:r>
    </w:p>
    <w:p w14:paraId="45800374" w14:textId="0E7B0FCF" w:rsidR="00361CB0" w:rsidRPr="00976D33" w:rsidRDefault="00361CB0" w:rsidP="00361CB0">
      <w:r>
        <w:t>Siç është përshkruara më sipër, Kosova është në mesin e tri vendeve më të mira në Evropë për sa i sa i përket raportit ndërmjet kapaciteteve të interkoneksionit dhe kapaciteteve të instaluara të reja të prodhimit, si dhe raportit ndërmjet kapaciteteve të interkoneksionit dhe ngarkesës maksimale. Kapaciteti i përgjithshëm transmetues neto i interkoneksionit të Kosovës me vendet fqinje mund të arrijë deri në maksimumi 1,600 MW me kapacitet aktual mbizotërues në nivelin rreth 1300 MW.</w:t>
      </w:r>
    </w:p>
    <w:p w14:paraId="5B11511B" w14:textId="7CFEB491" w:rsidR="00361CB0" w:rsidRPr="00976D33" w:rsidRDefault="00361CB0" w:rsidP="00361CB0">
      <w:pPr>
        <w:pStyle w:val="Caption"/>
      </w:pPr>
      <w:bookmarkStart w:id="472" w:name="_Ref139004278"/>
      <w:bookmarkStart w:id="473" w:name="_Toc181867261"/>
      <w:r>
        <w:t xml:space="preserve">Figura </w:t>
      </w:r>
      <w:r w:rsidRPr="00976D33">
        <w:fldChar w:fldCharType="begin"/>
      </w:r>
      <w:r w:rsidRPr="00976D33">
        <w:instrText>SEQ Figure \* ARABIC</w:instrText>
      </w:r>
      <w:r w:rsidRPr="00976D33">
        <w:fldChar w:fldCharType="separate"/>
      </w:r>
      <w:r w:rsidR="003B7FFA">
        <w:rPr>
          <w:noProof/>
        </w:rPr>
        <w:t>58</w:t>
      </w:r>
      <w:r w:rsidRPr="00976D33">
        <w:fldChar w:fldCharType="end"/>
      </w:r>
      <w:bookmarkEnd w:id="472"/>
      <w:r>
        <w:t>. Kapaciteti nominal transmetues i interkonektorëve në kufijtë e Kosovës dhe vlerat maksimale të kapacitetit të transmisionit (NTC)</w:t>
      </w:r>
      <w:bookmarkEnd w:id="473"/>
    </w:p>
    <w:p w14:paraId="42615C17" w14:textId="77777777" w:rsidR="00361CB0" w:rsidRPr="00976D33" w:rsidRDefault="00361CB0" w:rsidP="00361CB0">
      <w:pPr>
        <w:spacing w:after="0" w:line="259" w:lineRule="auto"/>
        <w:rPr>
          <w:i/>
        </w:rPr>
      </w:pPr>
      <w:r>
        <w:rPr>
          <w:noProof/>
          <w:lang w:val="en-US"/>
        </w:rPr>
        <w:drawing>
          <wp:inline distT="0" distB="0" distL="0" distR="0" wp14:anchorId="3D201A8D" wp14:editId="012B8845">
            <wp:extent cx="3358674" cy="2901636"/>
            <wp:effectExtent l="0" t="0" r="0" b="0"/>
            <wp:docPr id="2088605112" name="Grafik 2088605112"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05112" name="Grafik 2088605112" descr="Ein Bild, das Text, Screenshot, Schrift, Zahl enthält.&#10;&#10;Automatisch generierte Beschreibung"/>
                    <pic:cNvPicPr/>
                  </pic:nvPicPr>
                  <pic:blipFill>
                    <a:blip r:embed="rId93">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c="http://schemas.openxmlformats.org/drawingml/2006/chart"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dgm="http://schemas.openxmlformats.org/drawingml/2006/diagram" xmlns:asvg="http://schemas.microsoft.com/office/drawing/2016/SVG/main" id="{CD9C7B6B-BBEF-C6A1-99C7-DA119516C1A0}"/>
                        </a:ext>
                      </a:extLst>
                    </a:blip>
                    <a:stretch>
                      <a:fillRect/>
                    </a:stretch>
                  </pic:blipFill>
                  <pic:spPr>
                    <a:xfrm>
                      <a:off x="0" y="0"/>
                      <a:ext cx="3386269" cy="2925476"/>
                    </a:xfrm>
                    <a:prstGeom prst="rect">
                      <a:avLst/>
                    </a:prstGeom>
                  </pic:spPr>
                </pic:pic>
              </a:graphicData>
            </a:graphic>
          </wp:inline>
        </w:drawing>
      </w:r>
    </w:p>
    <w:p w14:paraId="2C16ABAF" w14:textId="77777777" w:rsidR="00361CB0" w:rsidRPr="00976D33" w:rsidRDefault="00361CB0" w:rsidP="00361CB0">
      <w:pPr>
        <w:spacing w:after="160" w:line="259" w:lineRule="auto"/>
        <w:rPr>
          <w:i/>
          <w:sz w:val="16"/>
          <w:szCs w:val="16"/>
        </w:rPr>
      </w:pPr>
      <w:r>
        <w:rPr>
          <w:i/>
          <w:sz w:val="16"/>
        </w:rPr>
        <w:t>Burimi: Komuniteti i Energjisë - Caqet e Interkoneksionit në Palët Kontraktuese të Komunitetit të Energjisë 2021</w:t>
      </w:r>
    </w:p>
    <w:p w14:paraId="7CC51D6E" w14:textId="5E9821A4" w:rsidR="00361CB0" w:rsidRPr="00976D33" w:rsidRDefault="00361CB0" w:rsidP="00361CB0">
      <w:pPr>
        <w:spacing w:after="160" w:line="259" w:lineRule="auto"/>
      </w:pPr>
      <w:r>
        <w:lastRenderedPageBreak/>
        <w:t>Operatori i Sistemit të Transmisionit të Kosovës (KOSTT) është anëtar i Zyrës për Koordinim e Ankandeve në Evropën Juglindore (SEE CAO) dhe ia ka deleguar këtij organi organizimin e ankandit për të drejtat e transmisionit fizik ndërkufitar. SEE CAO nuk ka filluar ndarjen e kapaciteteve për kufijtë e Kosovës deri më 14 dhjetor 2020. Në këtë datë, hyri në fuqi marrëveshja e lidhjes ndërmjet KOSTT-it dhe OST-ve nga Evropa kontinentale, duke shënuar ditën e parë të operimit të KOSTT-it si zonë kontrolli e ENTSO-E brenda të njëjtit bllok kontrolli si OST i Shqipërisë. Ndarja në kufijtë ndërmjet Kosovës dhe Shqipërisë dhe Kosovës dhe Maqedonisë së Veriut kryhet nga KOSTT, ndërsa ndarja ndërmjet Kosovës dhe Malit të Zi kryhet nga CGES (MNE OST). Aktualisht nuk ka asnjë marrëveshje me OST-në serbe për alokimin e kapaciteteve, pasi OST-ja serbe nuk ka përcaktuar një vlerë për kapacitetin e disponueshëm të interkoneksionit dhe autoriteti rregullator serb ka dështuar të sigurojë pajtueshmërinë e OST-së me detyrimet e saj në përputhje me Opinionin e Arsyetuar të Sekretariatit të Komunitetit të Energjisë në rastin e procedurës së zgjidhjes së kontestit ECS-2/21 në këtë aspekt.</w:t>
      </w:r>
      <w:r w:rsidRPr="00976D33">
        <w:rPr>
          <w:rStyle w:val="FootnoteReference"/>
        </w:rPr>
        <w:footnoteReference w:id="44"/>
      </w:r>
    </w:p>
    <w:p w14:paraId="31070264" w14:textId="057CBD1B" w:rsidR="00361CB0" w:rsidRPr="00976D33" w:rsidRDefault="00361CB0" w:rsidP="00361CB0">
      <w:pPr>
        <w:spacing w:after="160" w:line="259" w:lineRule="auto"/>
      </w:pPr>
      <w:r>
        <w:t>Transiti i energjisë elektrike në Kosovë gjatë vitit 2022 arriti në 2,475 GWh. Pjesa më e madhe e energjisë elektrike hyn në Kosovë përmes interkonektorit me Serbinë, ndërsa pjesa më e madhe e energjisë elektrike del nga Kosova përmes interkonektorëve me Malin e Zi dhe Shqipërinë (</w:t>
      </w:r>
      <w:r w:rsidRPr="00976D33">
        <w:fldChar w:fldCharType="begin"/>
      </w:r>
      <w:r w:rsidRPr="00976D33">
        <w:instrText xml:space="preserve"> REF _Ref139004297 \h </w:instrText>
      </w:r>
      <w:r w:rsidR="004A7007" w:rsidRPr="00976D33">
        <w:instrText xml:space="preserve"> \* MERGEFORMAT </w:instrText>
      </w:r>
      <w:r w:rsidRPr="00976D33">
        <w:fldChar w:fldCharType="separate"/>
      </w:r>
      <w:r w:rsidR="003B7FFA">
        <w:t>Figura 59</w:t>
      </w:r>
      <w:r w:rsidRPr="00976D33">
        <w:fldChar w:fldCharType="end"/>
      </w:r>
      <w:r>
        <w:t xml:space="preserve">). </w:t>
      </w:r>
    </w:p>
    <w:p w14:paraId="74F392DD" w14:textId="1D1536B0" w:rsidR="00361CB0" w:rsidRPr="00976D33" w:rsidRDefault="00361CB0" w:rsidP="00361CB0">
      <w:pPr>
        <w:spacing w:after="160" w:line="259" w:lineRule="auto"/>
      </w:pPr>
      <w:r>
        <w:t xml:space="preserve">Shtrirja gjeografike e Sistemit të Transmisionit të Kosovës sipas gjendjes aktuale (2022) është paraqitur në </w:t>
      </w:r>
      <w:r w:rsidRPr="00976D33">
        <w:fldChar w:fldCharType="begin"/>
      </w:r>
      <w:r w:rsidRPr="00976D33">
        <w:instrText xml:space="preserve"> REF _Ref139004297 \h </w:instrText>
      </w:r>
      <w:r w:rsidR="004A7007" w:rsidRPr="00976D33">
        <w:instrText xml:space="preserve"> \* MERGEFORMAT </w:instrText>
      </w:r>
      <w:r w:rsidRPr="00976D33">
        <w:fldChar w:fldCharType="separate"/>
      </w:r>
      <w:r w:rsidR="003B7FFA">
        <w:t>Figura 59</w:t>
      </w:r>
      <w:r w:rsidRPr="00976D33">
        <w:fldChar w:fldCharType="end"/>
      </w:r>
      <w:r>
        <w:t>:</w:t>
      </w:r>
    </w:p>
    <w:p w14:paraId="3F560EA3" w14:textId="3F9F88C1" w:rsidR="00361CB0" w:rsidRPr="00976D33" w:rsidRDefault="00361CB0" w:rsidP="00361CB0">
      <w:pPr>
        <w:pStyle w:val="Caption"/>
      </w:pPr>
      <w:bookmarkStart w:id="474" w:name="_Ref139004297"/>
      <w:bookmarkStart w:id="475" w:name="_Toc181867262"/>
      <w:r>
        <w:t xml:space="preserve">Figura </w:t>
      </w:r>
      <w:r w:rsidRPr="00976D33">
        <w:fldChar w:fldCharType="begin"/>
      </w:r>
      <w:r w:rsidRPr="00976D33">
        <w:instrText>SEQ Figure \* ARABIC</w:instrText>
      </w:r>
      <w:r w:rsidRPr="00976D33">
        <w:fldChar w:fldCharType="separate"/>
      </w:r>
      <w:r w:rsidR="003B7FFA">
        <w:rPr>
          <w:noProof/>
        </w:rPr>
        <w:t>59</w:t>
      </w:r>
      <w:r w:rsidRPr="00976D33">
        <w:fldChar w:fldCharType="end"/>
      </w:r>
      <w:bookmarkEnd w:id="474"/>
      <w:r>
        <w:t>. Harta e transmisionit të Kosovës</w:t>
      </w:r>
      <w:bookmarkEnd w:id="475"/>
    </w:p>
    <w:p w14:paraId="35C2AB7B" w14:textId="77777777" w:rsidR="00361CB0" w:rsidRPr="00976D33" w:rsidRDefault="00361CB0" w:rsidP="00391069">
      <w:pPr>
        <w:pStyle w:val="Tabellenberschrift"/>
        <w:spacing w:after="0" w:line="240" w:lineRule="auto"/>
        <w:jc w:val="center"/>
        <w:rPr>
          <w:color w:val="0F0D29" w:themeColor="text1"/>
        </w:rPr>
      </w:pPr>
      <w:r>
        <w:rPr>
          <w:noProof/>
          <w:color w:val="0F0D29" w:themeColor="text1"/>
          <w:lang w:val="en-US" w:eastAsia="en-US"/>
        </w:rPr>
        <w:drawing>
          <wp:inline distT="0" distB="0" distL="0" distR="0" wp14:anchorId="1C988FBA" wp14:editId="5F88D7CB">
            <wp:extent cx="4154556" cy="4065881"/>
            <wp:effectExtent l="0" t="0" r="0" b="0"/>
            <wp:docPr id="984114242" name="Picture 7" descr="A map of a city with different dire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14242" name="Picture 7" descr="A map of a city with different directions&#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57871" cy="4069125"/>
                    </a:xfrm>
                    <a:prstGeom prst="rect">
                      <a:avLst/>
                    </a:prstGeom>
                    <a:noFill/>
                  </pic:spPr>
                </pic:pic>
              </a:graphicData>
            </a:graphic>
          </wp:inline>
        </w:drawing>
      </w:r>
    </w:p>
    <w:p w14:paraId="08396BDF" w14:textId="1E75F3E9" w:rsidR="00361CB0" w:rsidRPr="00976D33" w:rsidRDefault="00361CB0" w:rsidP="00361CB0">
      <w:pPr>
        <w:spacing w:after="160" w:line="259" w:lineRule="auto"/>
        <w:rPr>
          <w:i/>
          <w:sz w:val="16"/>
          <w:szCs w:val="16"/>
        </w:rPr>
      </w:pPr>
      <w:r>
        <w:rPr>
          <w:i/>
          <w:sz w:val="16"/>
        </w:rPr>
        <w:t>Burimi: ZRRE, raporti vjetor 2022</w:t>
      </w:r>
    </w:p>
    <w:p w14:paraId="1DEC09DA" w14:textId="77777777" w:rsidR="00361CB0" w:rsidRPr="00976D33" w:rsidRDefault="00361CB0" w:rsidP="00361CB0">
      <w:pPr>
        <w:pStyle w:val="Heading4"/>
      </w:pPr>
      <w:r>
        <w:t>Parashikimet e kërkesave për zgjerimin e interkonektorëve (përfshirë për vitin 2030)</w:t>
      </w:r>
    </w:p>
    <w:p w14:paraId="0342C0BF" w14:textId="77777777" w:rsidR="00361CB0" w:rsidRPr="00976D33" w:rsidRDefault="00361CB0" w:rsidP="00361CB0">
      <w:r>
        <w:t xml:space="preserve">Duke pasur parasysh kapacitetet aktuale të interkoneksionit, të cilat janë më se të mjaftueshme për të përmbushur caqet e vitit 2030, nuk parashikohet zgjerim i mëtejshëm deri në vitin 2030. </w:t>
      </w:r>
    </w:p>
    <w:p w14:paraId="32E91CFB" w14:textId="77777777" w:rsidR="00361CB0" w:rsidRPr="00976D33" w:rsidRDefault="00361CB0" w:rsidP="00361CB0">
      <w:r>
        <w:lastRenderedPageBreak/>
        <w:t>Megjithatë, ambiciet e Kosovës për integrimin e tregut rajonal kërkojnë një rritje dhe fuqizim të kapaciteteve të interkoneksionit. Në këtë drejtim, KOSTT-i ka përgatitur një plan zhvillimor 10-vjeçar të transmisionit, i cili identifikon projektet infrastrukturore afatmesme dhe afatgjata së bashku me kostot e planifikuara të investimeve.</w:t>
      </w:r>
    </w:p>
    <w:p w14:paraId="34098880" w14:textId="77777777" w:rsidR="00361CB0" w:rsidRPr="00976D33" w:rsidRDefault="00361CB0" w:rsidP="00361CB0">
      <w:pPr>
        <w:pStyle w:val="Heading3"/>
      </w:pPr>
      <w:bookmarkStart w:id="476" w:name="_Toc137677733"/>
      <w:bookmarkStart w:id="477" w:name="_Toc182302338"/>
      <w:r>
        <w:t>Infrastruktura e transmisionit të energjisë</w:t>
      </w:r>
      <w:bookmarkEnd w:id="476"/>
      <w:bookmarkEnd w:id="477"/>
    </w:p>
    <w:p w14:paraId="6CC673A2" w14:textId="77777777" w:rsidR="00361CB0" w:rsidRPr="00976D33" w:rsidRDefault="00361CB0" w:rsidP="00AF7BBF">
      <w:pPr>
        <w:pStyle w:val="Heading4"/>
        <w:numPr>
          <w:ilvl w:val="0"/>
          <w:numId w:val="67"/>
        </w:numPr>
      </w:pPr>
      <w:r>
        <w:t>Karakteristikat kryesore të infrastrukturës ekzistuese të transmisionit të energjisë elektrike dhe gazit</w:t>
      </w:r>
    </w:p>
    <w:p w14:paraId="144F0597" w14:textId="6357AE2E" w:rsidR="00361CB0" w:rsidRPr="00976D33" w:rsidRDefault="00361CB0" w:rsidP="00361CB0">
      <w:r>
        <w:t xml:space="preserve">Sistemi elektroenergjetik i Kosovës posedon një rrjet të zhvilluar mirë të transmisionit që është ndërtuar gjatë gjashtë dekadave të fundit. Nivelet e tensionit të rrjetit të transmisionit janë linja 400 kV, 220 kV dhe 110 kV në pronësi dhe menaxhim të KOSTT-it, i cili është gjithashtu përgjegjës për operimin, mirëmbajtjen dhe zhvillimin e tyre. Rrjeti aktual plotëson nevojat lokale të transmisionit dhe kriterin N-1 për tërë nivelin e tensionit të lartë. </w:t>
      </w:r>
    </w:p>
    <w:p w14:paraId="36962F86" w14:textId="77777777" w:rsidR="00361CB0" w:rsidRPr="00976D33" w:rsidRDefault="00361CB0" w:rsidP="00361CB0">
      <w:r>
        <w:t xml:space="preserve">Rrjeti aktual i transmisionit (2022) përbëhet nga linjat prej 1430.1 km, duke përfshirë: </w:t>
      </w:r>
    </w:p>
    <w:p w14:paraId="3AA9EDF7" w14:textId="77777777" w:rsidR="00361CB0" w:rsidRPr="00976D33" w:rsidRDefault="00361CB0" w:rsidP="00361CB0">
      <w:pPr>
        <w:pStyle w:val="ListParagraph"/>
      </w:pPr>
      <w:r>
        <w:t>279.5 km në nivel të tensionit 400 kV;</w:t>
      </w:r>
    </w:p>
    <w:p w14:paraId="241ADEBF" w14:textId="77777777" w:rsidR="00361CB0" w:rsidRPr="00976D33" w:rsidRDefault="00361CB0" w:rsidP="00361CB0">
      <w:pPr>
        <w:pStyle w:val="ListParagraph"/>
      </w:pPr>
      <w:r>
        <w:t>238.5 km në nivel të tensionit 220 kV, dhe</w:t>
      </w:r>
    </w:p>
    <w:p w14:paraId="35DFF9D6" w14:textId="77777777" w:rsidR="00361CB0" w:rsidRPr="00976D33" w:rsidRDefault="00361CB0" w:rsidP="00361CB0">
      <w:pPr>
        <w:pStyle w:val="ListParagraph"/>
      </w:pPr>
      <w:r>
        <w:t>912.1 km në nivel të tensionit 110 kV</w:t>
      </w:r>
    </w:p>
    <w:p w14:paraId="6C806646" w14:textId="77777777" w:rsidR="00361CB0" w:rsidRPr="00976D33" w:rsidRDefault="00361CB0" w:rsidP="00361CB0">
      <w:r>
        <w:t>Kapaciteti i instaluar i transformatorit aktualisht është 6,608 MVA.</w:t>
      </w:r>
    </w:p>
    <w:p w14:paraId="14E07BFA" w14:textId="77777777" w:rsidR="00361CB0" w:rsidRPr="00976D33" w:rsidRDefault="00361CB0" w:rsidP="00361CB0">
      <w:r>
        <w:t xml:space="preserve">Kosova aktualisht nuk ka infrastrukturë të transportit të gazit. </w:t>
      </w:r>
    </w:p>
    <w:p w14:paraId="0300D2B5" w14:textId="77777777" w:rsidR="00361CB0" w:rsidRPr="00976D33" w:rsidRDefault="00361CB0" w:rsidP="00361CB0">
      <w:pPr>
        <w:pStyle w:val="Heading4"/>
      </w:pPr>
      <w:r>
        <w:t>Parashikimet e kërkesave për zgjerimin e rrjetit së paku deri në vitin 2040 (përfshirë për vitin 2030)</w:t>
      </w:r>
    </w:p>
    <w:p w14:paraId="51A015A9" w14:textId="77777777" w:rsidR="00361CB0" w:rsidRPr="00976D33" w:rsidRDefault="00361CB0" w:rsidP="00361CB0">
      <w:r>
        <w:t xml:space="preserve">Siç u përmend më parë, Plani Zhvillimor i Transmisionit (PZHT) është dokumenti kyç i cili përcakton planet për projektet afatmesme dhe afatgjata të infrastrukturës së transmisionit (shih Kapitullin 2.4.2). Plani është zhvilluar nga KOSTT-i dhe është miratuar nga ZRRE. </w:t>
      </w:r>
    </w:p>
    <w:p w14:paraId="165D5F3F" w14:textId="762B06E3" w:rsidR="00361CB0" w:rsidRPr="00976D33" w:rsidRDefault="00361CB0" w:rsidP="00361CB0">
      <w:r>
        <w:t xml:space="preserve">Plani i aktual mbulon periudhën 2024-2033. Ky plan 10 vjeçar përshkruan projektet që nevojiten për të siguruar një funksionim të besueshëm dhe të sigurt të sistemit të transmisionit dhe më e rëndësishmja, për të mbështetur proceset integruese të tregut të energjisë si dhe integrimin e energjisë nga burimet e ripërtëritshme. </w:t>
      </w:r>
    </w:p>
    <w:p w14:paraId="171BB993" w14:textId="33607C39" w:rsidR="00361CB0" w:rsidRPr="00976D33" w:rsidRDefault="00361CB0" w:rsidP="00361CB0">
      <w:r>
        <w:t xml:space="preserve">Duke pasur parasysh kompleksitetin me të cilin lidhet procesi i planifikimit, plani është ndarë në dy periudha. Periudha e parë mbulon periudhën fillestare 2024-2028, e cila në të njëjtën kohë shihet si vendimtare për zbatimin e projekteve që nxisin zhvillimet afatgjata të rrjetit. Periudha e dytë mbulon vitet 2029-2033, e cila përfshin projekte opsionale treguese që lidhen me arritjen e standardeve teknike të kërkuara të përshtatura për mbështetjen e tregut të energjisë elektrike. Si e tillë, kjo kategori e projekteve mund t’i nënshtrohet ndryshimeve varësisht nga proceset që ndodhin në sektorin energjetik në Kosovë dhe më gjerë në rajon. Në përgjithësi, kjo lidhet me zhvillimin e gjenerimit dhe ngarkesës si dhe flukset e energjisë që pritet të ndodhin në dekadën e ardhshme në rrjetin rajonal. </w:t>
      </w:r>
    </w:p>
    <w:p w14:paraId="1DAAED09" w14:textId="77777777" w:rsidR="00361CB0" w:rsidRPr="00976D33" w:rsidRDefault="00361CB0" w:rsidP="00361CB0">
      <w:r>
        <w:t xml:space="preserve">Projektet e zhvillimit të rrjetit të transmisionit të përcaktuara në plan ndahen në pesë kategori: </w:t>
      </w:r>
    </w:p>
    <w:p w14:paraId="41542153" w14:textId="77777777" w:rsidR="00361CB0" w:rsidRPr="00976D33" w:rsidRDefault="00361CB0" w:rsidP="00361CB0">
      <w:pPr>
        <w:pStyle w:val="ListParagraph"/>
      </w:pPr>
      <w:r>
        <w:t xml:space="preserve">Përforcimet e rrjetit të transmisionit </w:t>
      </w:r>
    </w:p>
    <w:p w14:paraId="538F49B0" w14:textId="77777777" w:rsidR="00361CB0" w:rsidRPr="00976D33" w:rsidRDefault="00361CB0" w:rsidP="00361CB0">
      <w:pPr>
        <w:pStyle w:val="ListParagraph"/>
      </w:pPr>
      <w:r>
        <w:t xml:space="preserve">Mbështetja e ngarkesës/nyjat e reja 110/10(20) kV </w:t>
      </w:r>
    </w:p>
    <w:p w14:paraId="3B0ACB4A" w14:textId="77777777" w:rsidR="00361CB0" w:rsidRPr="00976D33" w:rsidRDefault="00361CB0" w:rsidP="00361CB0">
      <w:pPr>
        <w:pStyle w:val="ListParagraph"/>
      </w:pPr>
      <w:r>
        <w:t xml:space="preserve">Rivitalizimi i rrjetit të transmisionit </w:t>
      </w:r>
    </w:p>
    <w:p w14:paraId="2825B45F" w14:textId="77777777" w:rsidR="00361CB0" w:rsidRPr="00976D33" w:rsidRDefault="00361CB0" w:rsidP="00361CB0">
      <w:pPr>
        <w:pStyle w:val="ListParagraph"/>
      </w:pPr>
      <w:r>
        <w:t xml:space="preserve">Mbështetja e projekteve të sistemit të transmisionit (menaxhimi, monitorimi, matja dhe kontrolli), </w:t>
      </w:r>
    </w:p>
    <w:p w14:paraId="498555DC" w14:textId="178A6995" w:rsidR="00361CB0" w:rsidRPr="00976D33" w:rsidRDefault="00361CB0" w:rsidP="006E6E51">
      <w:pPr>
        <w:pStyle w:val="ListParagraph"/>
      </w:pPr>
      <w:r>
        <w:t>Mbështetja e gjenerimit (aplikimi për lidhje)</w:t>
      </w:r>
    </w:p>
    <w:p w14:paraId="1B3BBF5A" w14:textId="77777777" w:rsidR="00361CB0" w:rsidRPr="00976D33" w:rsidRDefault="00361CB0" w:rsidP="00361CB0"/>
    <w:p w14:paraId="40FE8835" w14:textId="77777777" w:rsidR="00AA7CDF" w:rsidRPr="00976D33" w:rsidRDefault="00AA7CDF" w:rsidP="00361CB0"/>
    <w:p w14:paraId="72208FF7" w14:textId="77777777" w:rsidR="00AA7CDF" w:rsidRPr="00976D33" w:rsidRDefault="00AA7CDF" w:rsidP="00361CB0"/>
    <w:p w14:paraId="3DD74D3F" w14:textId="77777777" w:rsidR="00AA7CDF" w:rsidRPr="00976D33" w:rsidRDefault="00AA7CDF" w:rsidP="00361CB0"/>
    <w:p w14:paraId="34647C4A" w14:textId="77777777" w:rsidR="00AA7CDF" w:rsidRPr="00976D33" w:rsidRDefault="00AA7CDF" w:rsidP="00361CB0"/>
    <w:p w14:paraId="5E289EC9" w14:textId="26ADA640" w:rsidR="00361CB0" w:rsidRPr="00976D33" w:rsidRDefault="00361CB0" w:rsidP="00361CB0">
      <w:pPr>
        <w:pStyle w:val="Caption"/>
      </w:pPr>
      <w:bookmarkStart w:id="478" w:name="_Toc181867309"/>
      <w:r>
        <w:lastRenderedPageBreak/>
        <w:t xml:space="preserve">Tabela 15: </w:t>
      </w:r>
      <w:bookmarkStart w:id="479" w:name="_Toc139868275"/>
      <w:r>
        <w:t xml:space="preserve">Tabela </w:t>
      </w:r>
      <w:r w:rsidR="00FA2FDB">
        <w:fldChar w:fldCharType="begin"/>
      </w:r>
      <w:r w:rsidR="00FA2FDB">
        <w:instrText>SEQ Table \* ARABIC</w:instrText>
      </w:r>
      <w:r w:rsidR="00FA2FDB">
        <w:fldChar w:fldCharType="separate"/>
      </w:r>
      <w:r w:rsidR="003B7FFA">
        <w:rPr>
          <w:noProof/>
        </w:rPr>
        <w:t>16</w:t>
      </w:r>
      <w:r w:rsidR="00FA2FDB">
        <w:fldChar w:fldCharType="end"/>
      </w:r>
      <w:r>
        <w:t>. Projektet e transmisionit dhe përforcimit të rrjetit të përshkruara në PZHT</w:t>
      </w:r>
      <w:bookmarkEnd w:id="479"/>
      <w:r>
        <w:t xml:space="preserve"> 2024-2033</w:t>
      </w:r>
      <w:bookmarkEnd w:id="478"/>
    </w:p>
    <w:p w14:paraId="57605C9C" w14:textId="77777777" w:rsidR="00361CB0" w:rsidRPr="00976D33" w:rsidRDefault="00361CB0" w:rsidP="006E6E51"/>
    <w:tbl>
      <w:tblPr>
        <w:tblStyle w:val="ListTable3-Accent11"/>
        <w:tblW w:w="5061" w:type="pct"/>
        <w:tblLayout w:type="fixed"/>
        <w:tblLook w:val="04A0" w:firstRow="1" w:lastRow="0" w:firstColumn="1" w:lastColumn="0" w:noHBand="0" w:noVBand="1"/>
      </w:tblPr>
      <w:tblGrid>
        <w:gridCol w:w="641"/>
        <w:gridCol w:w="430"/>
        <w:gridCol w:w="172"/>
        <w:gridCol w:w="1894"/>
        <w:gridCol w:w="265"/>
        <w:gridCol w:w="2170"/>
        <w:gridCol w:w="252"/>
        <w:gridCol w:w="2070"/>
        <w:gridCol w:w="1551"/>
        <w:gridCol w:w="236"/>
      </w:tblGrid>
      <w:tr w:rsidR="00AA7CDF" w:rsidRPr="00976D33" w14:paraId="0E8DFFA7" w14:textId="77777777" w:rsidTr="00FE486A">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1" w:type="pct"/>
            <w:hideMark/>
          </w:tcPr>
          <w:p w14:paraId="26CDB37A" w14:textId="77777777" w:rsidR="00361CB0" w:rsidRPr="00976D33" w:rsidRDefault="00361CB0">
            <w:pPr>
              <w:spacing w:before="0" w:after="0" w:line="240" w:lineRule="auto"/>
              <w:ind w:left="105" w:right="105"/>
              <w:jc w:val="center"/>
              <w:textAlignment w:val="baseline"/>
              <w:rPr>
                <w:rFonts w:asciiTheme="majorHAnsi" w:eastAsia="Times New Roman" w:hAnsiTheme="majorHAnsi" w:cstheme="majorHAnsi"/>
                <w:color w:val="auto"/>
                <w:sz w:val="18"/>
                <w:szCs w:val="18"/>
              </w:rPr>
            </w:pPr>
            <w:r>
              <w:rPr>
                <w:rFonts w:asciiTheme="majorHAnsi" w:hAnsiTheme="majorHAnsi"/>
                <w:color w:val="auto"/>
                <w:sz w:val="18"/>
              </w:rPr>
              <w:t>Jo </w:t>
            </w:r>
          </w:p>
        </w:tc>
        <w:tc>
          <w:tcPr>
            <w:tcW w:w="311" w:type="pct"/>
            <w:gridSpan w:val="2"/>
            <w:hideMark/>
          </w:tcPr>
          <w:p w14:paraId="3C6B0AE4" w14:textId="77777777" w:rsidR="00361CB0" w:rsidRPr="00976D33" w:rsidRDefault="00361CB0">
            <w:pPr>
              <w:spacing w:before="0" w:after="0" w:line="240" w:lineRule="auto"/>
              <w:ind w:left="105" w:right="105"/>
              <w:jc w:val="center"/>
              <w:textAlignment w:val="baseline"/>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ID </w:t>
            </w:r>
          </w:p>
        </w:tc>
        <w:tc>
          <w:tcPr>
            <w:tcW w:w="1115" w:type="pct"/>
            <w:gridSpan w:val="2"/>
            <w:hideMark/>
          </w:tcPr>
          <w:p w14:paraId="718D8FD0" w14:textId="77777777" w:rsidR="00361CB0" w:rsidRPr="00976D33" w:rsidRDefault="00361CB0">
            <w:pPr>
              <w:spacing w:before="0"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Titulli i projektit </w:t>
            </w:r>
          </w:p>
        </w:tc>
        <w:tc>
          <w:tcPr>
            <w:tcW w:w="1251" w:type="pct"/>
            <w:gridSpan w:val="2"/>
            <w:hideMark/>
          </w:tcPr>
          <w:p w14:paraId="5ED3073C" w14:textId="77777777" w:rsidR="00361CB0" w:rsidRPr="00976D33" w:rsidRDefault="00361CB0">
            <w:pPr>
              <w:spacing w:before="0"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Përshkrimi teknik </w:t>
            </w:r>
          </w:p>
        </w:tc>
        <w:tc>
          <w:tcPr>
            <w:tcW w:w="1870" w:type="pct"/>
            <w:gridSpan w:val="2"/>
            <w:hideMark/>
          </w:tcPr>
          <w:p w14:paraId="60C97F8E" w14:textId="77777777" w:rsidR="00361CB0" w:rsidRPr="00976D33" w:rsidRDefault="00361CB0">
            <w:pPr>
              <w:spacing w:before="0"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Arsyeja e implementimit </w:t>
            </w:r>
          </w:p>
        </w:tc>
        <w:tc>
          <w:tcPr>
            <w:tcW w:w="122" w:type="pct"/>
            <w:hideMark/>
          </w:tcPr>
          <w:p w14:paraId="2D2F66F8" w14:textId="77777777" w:rsidR="00361CB0" w:rsidRPr="00976D33" w:rsidRDefault="00361CB0">
            <w:pPr>
              <w:spacing w:before="0" w:after="0" w:line="240" w:lineRule="auto"/>
              <w:ind w:left="105" w:right="105"/>
              <w:jc w:val="center"/>
              <w:textAlignment w:val="baseline"/>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Y </w:t>
            </w:r>
          </w:p>
        </w:tc>
      </w:tr>
      <w:tr w:rsidR="00AA7CDF" w:rsidRPr="00976D33" w14:paraId="779DB5A7" w14:textId="77777777" w:rsidTr="00FE486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1" w:type="pct"/>
          </w:tcPr>
          <w:p w14:paraId="78956F0C" w14:textId="77777777" w:rsidR="00361CB0" w:rsidRPr="00976D33" w:rsidRDefault="00361CB0">
            <w:pPr>
              <w:spacing w:before="0" w:after="0" w:line="240" w:lineRule="auto"/>
              <w:ind w:left="105" w:right="105"/>
              <w:jc w:val="center"/>
              <w:textAlignment w:val="baseline"/>
              <w:rPr>
                <w:rFonts w:asciiTheme="majorHAnsi" w:eastAsia="Times New Roman" w:hAnsiTheme="majorHAnsi" w:cstheme="majorHAnsi"/>
                <w:bCs/>
                <w:color w:val="auto"/>
                <w:sz w:val="18"/>
                <w:szCs w:val="18"/>
              </w:rPr>
            </w:pPr>
          </w:p>
        </w:tc>
        <w:tc>
          <w:tcPr>
            <w:tcW w:w="4547" w:type="pct"/>
            <w:gridSpan w:val="8"/>
          </w:tcPr>
          <w:p w14:paraId="17D22735" w14:textId="77777777" w:rsidR="00361CB0" w:rsidRPr="00976D33" w:rsidRDefault="00361CB0">
            <w:pPr>
              <w:spacing w:before="0"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rPr>
            </w:pPr>
            <w:r>
              <w:rPr>
                <w:rFonts w:asciiTheme="majorHAnsi" w:hAnsiTheme="majorHAnsi"/>
                <w:b/>
                <w:color w:val="auto"/>
                <w:sz w:val="18"/>
              </w:rPr>
              <w:t>KATEGORIA E PROJEKTIT: Qëndrueshmëria (2024-2033)</w:t>
            </w:r>
          </w:p>
        </w:tc>
        <w:tc>
          <w:tcPr>
            <w:tcW w:w="122" w:type="pct"/>
          </w:tcPr>
          <w:p w14:paraId="7436DBDD" w14:textId="77777777" w:rsidR="00361CB0" w:rsidRPr="00976D33" w:rsidRDefault="00361CB0">
            <w:pPr>
              <w:spacing w:before="0" w:after="0" w:line="240" w:lineRule="auto"/>
              <w:ind w:left="105" w:right="105"/>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rPr>
            </w:pPr>
          </w:p>
        </w:tc>
      </w:tr>
      <w:tr w:rsidR="00AA7CDF" w:rsidRPr="00976D33" w14:paraId="4FB50A6E" w14:textId="77777777" w:rsidTr="00FE486A">
        <w:trPr>
          <w:cantSplit/>
          <w:trHeight w:val="1134"/>
        </w:trPr>
        <w:tc>
          <w:tcPr>
            <w:cnfStyle w:val="001000000000" w:firstRow="0" w:lastRow="0" w:firstColumn="1" w:lastColumn="0" w:oddVBand="0" w:evenVBand="0" w:oddHBand="0" w:evenHBand="0" w:firstRowFirstColumn="0" w:firstRowLastColumn="0" w:lastRowFirstColumn="0" w:lastRowLastColumn="0"/>
            <w:tcW w:w="331" w:type="pct"/>
            <w:hideMark/>
          </w:tcPr>
          <w:p w14:paraId="784EB7FB" w14:textId="77777777" w:rsidR="00361CB0" w:rsidRPr="00976D33" w:rsidRDefault="00361CB0">
            <w:pPr>
              <w:spacing w:before="0" w:after="0" w:line="240" w:lineRule="auto"/>
              <w:jc w:val="right"/>
              <w:textAlignment w:val="baseline"/>
              <w:rPr>
                <w:rFonts w:asciiTheme="majorHAnsi" w:eastAsia="Times New Roman" w:hAnsiTheme="majorHAnsi" w:cstheme="majorHAnsi"/>
                <w:color w:val="auto"/>
                <w:sz w:val="18"/>
                <w:szCs w:val="18"/>
              </w:rPr>
            </w:pPr>
            <w:r>
              <w:rPr>
                <w:rFonts w:asciiTheme="majorHAnsi" w:hAnsiTheme="majorHAnsi"/>
                <w:color w:val="auto"/>
                <w:sz w:val="18"/>
              </w:rPr>
              <w:t>1 </w:t>
            </w:r>
          </w:p>
        </w:tc>
        <w:tc>
          <w:tcPr>
            <w:tcW w:w="311" w:type="pct"/>
            <w:gridSpan w:val="2"/>
            <w:textDirection w:val="btLr"/>
            <w:hideMark/>
          </w:tcPr>
          <w:p w14:paraId="7EF5232C" w14:textId="77777777" w:rsidR="00361CB0" w:rsidRPr="00976D33" w:rsidRDefault="00361CB0">
            <w:pPr>
              <w:spacing w:before="0" w:after="0" w:line="240" w:lineRule="auto"/>
              <w:ind w:left="113" w:right="113"/>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007/1 </w:t>
            </w:r>
          </w:p>
        </w:tc>
        <w:tc>
          <w:tcPr>
            <w:tcW w:w="1115" w:type="pct"/>
            <w:gridSpan w:val="2"/>
            <w:hideMark/>
          </w:tcPr>
          <w:p w14:paraId="1D534D17"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sz w:val="18"/>
              </w:rPr>
              <w:t>Transformatori i dytë 40 MVA in SS 110/10(20) kV Fushe Kosova</w:t>
            </w:r>
            <w:r>
              <w:rPr>
                <w:rFonts w:asciiTheme="majorHAnsi" w:hAnsiTheme="majorHAnsi"/>
                <w:color w:val="auto"/>
                <w:sz w:val="18"/>
              </w:rPr>
              <w:t> </w:t>
            </w:r>
          </w:p>
        </w:tc>
        <w:tc>
          <w:tcPr>
            <w:tcW w:w="1251" w:type="pct"/>
            <w:gridSpan w:val="2"/>
            <w:hideMark/>
          </w:tcPr>
          <w:p w14:paraId="1FC139CF" w14:textId="77777777" w:rsidR="00361CB0" w:rsidRPr="00976D33" w:rsidRDefault="00361CB0">
            <w:pPr>
              <w:spacing w:before="0" w:after="0"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transformatori 40 MVA, 110//10(20) kV </w:t>
            </w:r>
          </w:p>
          <w:p w14:paraId="52D3747E" w14:textId="77777777" w:rsidR="00361CB0" w:rsidRPr="00976D33" w:rsidRDefault="00361CB0">
            <w:pPr>
              <w:spacing w:before="0" w:after="0"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w:t>
            </w:r>
          </w:p>
        </w:tc>
        <w:tc>
          <w:tcPr>
            <w:tcW w:w="1870" w:type="pct"/>
            <w:gridSpan w:val="2"/>
            <w:hideMark/>
          </w:tcPr>
          <w:p w14:paraId="1528EBC1"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Plotësimi i kriterit N-1 dhe rritja e sigurisë së furnizimit të konsumit të Fushë Kosovës </w:t>
            </w:r>
          </w:p>
        </w:tc>
        <w:tc>
          <w:tcPr>
            <w:tcW w:w="122" w:type="pct"/>
            <w:hideMark/>
          </w:tcPr>
          <w:p w14:paraId="5DE906C1" w14:textId="77777777" w:rsidR="00361CB0" w:rsidRPr="00976D33" w:rsidRDefault="00361CB0">
            <w:pPr>
              <w:spacing w:before="0" w:after="0" w:line="240" w:lineRule="auto"/>
              <w:ind w:left="105" w:right="105"/>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2026 </w:t>
            </w:r>
          </w:p>
        </w:tc>
      </w:tr>
      <w:tr w:rsidR="00AA7CDF" w:rsidRPr="00976D33" w14:paraId="460FF8B9" w14:textId="77777777" w:rsidTr="00FE486A">
        <w:trPr>
          <w:cnfStyle w:val="000000100000" w:firstRow="0" w:lastRow="0" w:firstColumn="0" w:lastColumn="0" w:oddVBand="0" w:evenVBand="0" w:oddHBand="1" w:evenHBand="0" w:firstRowFirstColumn="0" w:firstRowLastColumn="0" w:lastRowFirstColumn="0" w:lastRowLastColumn="0"/>
          <w:cantSplit/>
          <w:trHeight w:val="1530"/>
        </w:trPr>
        <w:tc>
          <w:tcPr>
            <w:cnfStyle w:val="001000000000" w:firstRow="0" w:lastRow="0" w:firstColumn="1" w:lastColumn="0" w:oddVBand="0" w:evenVBand="0" w:oddHBand="0" w:evenHBand="0" w:firstRowFirstColumn="0" w:firstRowLastColumn="0" w:lastRowFirstColumn="0" w:lastRowLastColumn="0"/>
            <w:tcW w:w="331" w:type="pct"/>
            <w:hideMark/>
          </w:tcPr>
          <w:p w14:paraId="6F5E0283" w14:textId="77777777" w:rsidR="00361CB0" w:rsidRPr="00976D33" w:rsidRDefault="00361CB0">
            <w:pPr>
              <w:spacing w:before="0" w:after="0" w:line="240" w:lineRule="auto"/>
              <w:jc w:val="right"/>
              <w:textAlignment w:val="baseline"/>
              <w:rPr>
                <w:rFonts w:asciiTheme="majorHAnsi" w:eastAsia="Times New Roman" w:hAnsiTheme="majorHAnsi" w:cstheme="majorHAnsi"/>
                <w:color w:val="auto"/>
                <w:sz w:val="18"/>
                <w:szCs w:val="18"/>
              </w:rPr>
            </w:pPr>
            <w:r>
              <w:rPr>
                <w:rFonts w:asciiTheme="majorHAnsi" w:hAnsiTheme="majorHAnsi"/>
                <w:color w:val="auto"/>
                <w:sz w:val="18"/>
              </w:rPr>
              <w:t>2 </w:t>
            </w:r>
          </w:p>
        </w:tc>
        <w:tc>
          <w:tcPr>
            <w:tcW w:w="311" w:type="pct"/>
            <w:gridSpan w:val="2"/>
            <w:textDirection w:val="btLr"/>
            <w:hideMark/>
          </w:tcPr>
          <w:p w14:paraId="049352A8" w14:textId="77777777" w:rsidR="00361CB0" w:rsidRPr="00976D33" w:rsidRDefault="00361CB0">
            <w:pPr>
              <w:spacing w:before="0" w:after="0" w:line="240" w:lineRule="auto"/>
              <w:ind w:left="113" w:right="113"/>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007/2 </w:t>
            </w:r>
          </w:p>
        </w:tc>
        <w:tc>
          <w:tcPr>
            <w:tcW w:w="1115" w:type="pct"/>
            <w:gridSpan w:val="2"/>
            <w:hideMark/>
          </w:tcPr>
          <w:p w14:paraId="22D69C46"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sz w:val="18"/>
              </w:rPr>
              <w:t>Transformatori i dytë 40 MVA in SS 110/35/10(20) kV Kastriot</w:t>
            </w:r>
            <w:r>
              <w:rPr>
                <w:rFonts w:asciiTheme="majorHAnsi" w:hAnsiTheme="majorHAnsi"/>
                <w:color w:val="auto"/>
                <w:sz w:val="18"/>
              </w:rPr>
              <w:t> </w:t>
            </w:r>
          </w:p>
        </w:tc>
        <w:tc>
          <w:tcPr>
            <w:tcW w:w="1251" w:type="pct"/>
            <w:gridSpan w:val="2"/>
            <w:hideMark/>
          </w:tcPr>
          <w:p w14:paraId="1E35E779" w14:textId="77777777" w:rsidR="00361CB0" w:rsidRPr="00976D33" w:rsidRDefault="00361CB0">
            <w:pPr>
              <w:spacing w:before="0" w:after="0"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Transformatori i dytë 40 MVA, 110/35/10(20) kV </w:t>
            </w:r>
          </w:p>
        </w:tc>
        <w:tc>
          <w:tcPr>
            <w:tcW w:w="1870" w:type="pct"/>
            <w:gridSpan w:val="2"/>
            <w:hideMark/>
          </w:tcPr>
          <w:p w14:paraId="14FDCFB9"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Sigurimi i furnizimit të konsumit të Ferizajt; mirëmbajtja e optimizimit të NS. - Rritja e kapaciteteve transformuese </w:t>
            </w:r>
          </w:p>
        </w:tc>
        <w:tc>
          <w:tcPr>
            <w:tcW w:w="122" w:type="pct"/>
            <w:hideMark/>
          </w:tcPr>
          <w:p w14:paraId="6816999D" w14:textId="77777777" w:rsidR="00361CB0" w:rsidRPr="00976D33" w:rsidRDefault="00361CB0">
            <w:pPr>
              <w:spacing w:before="0" w:after="0" w:line="240" w:lineRule="auto"/>
              <w:ind w:left="105" w:right="105"/>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2026 </w:t>
            </w:r>
          </w:p>
        </w:tc>
      </w:tr>
      <w:tr w:rsidR="00AA7CDF" w:rsidRPr="00976D33" w14:paraId="7699C585" w14:textId="77777777" w:rsidTr="00FE486A">
        <w:trPr>
          <w:cantSplit/>
          <w:trHeight w:val="1134"/>
        </w:trPr>
        <w:tc>
          <w:tcPr>
            <w:cnfStyle w:val="001000000000" w:firstRow="0" w:lastRow="0" w:firstColumn="1" w:lastColumn="0" w:oddVBand="0" w:evenVBand="0" w:oddHBand="0" w:evenHBand="0" w:firstRowFirstColumn="0" w:firstRowLastColumn="0" w:lastRowFirstColumn="0" w:lastRowLastColumn="0"/>
            <w:tcW w:w="331" w:type="pct"/>
            <w:hideMark/>
          </w:tcPr>
          <w:p w14:paraId="6DC59F21" w14:textId="77777777" w:rsidR="00361CB0" w:rsidRPr="00976D33" w:rsidRDefault="00361CB0">
            <w:pPr>
              <w:spacing w:before="0" w:after="0" w:line="240" w:lineRule="auto"/>
              <w:jc w:val="right"/>
              <w:textAlignment w:val="baseline"/>
              <w:rPr>
                <w:rFonts w:asciiTheme="majorHAnsi" w:eastAsia="Times New Roman" w:hAnsiTheme="majorHAnsi" w:cstheme="majorHAnsi"/>
                <w:color w:val="auto"/>
                <w:sz w:val="18"/>
                <w:szCs w:val="18"/>
              </w:rPr>
            </w:pPr>
            <w:r>
              <w:rPr>
                <w:rFonts w:asciiTheme="majorHAnsi" w:hAnsiTheme="majorHAnsi"/>
                <w:color w:val="auto"/>
                <w:sz w:val="18"/>
              </w:rPr>
              <w:t>3 </w:t>
            </w:r>
          </w:p>
        </w:tc>
        <w:tc>
          <w:tcPr>
            <w:tcW w:w="311" w:type="pct"/>
            <w:gridSpan w:val="2"/>
            <w:textDirection w:val="btLr"/>
            <w:hideMark/>
          </w:tcPr>
          <w:p w14:paraId="5176B198" w14:textId="77777777" w:rsidR="00361CB0" w:rsidRPr="00976D33" w:rsidRDefault="00361CB0">
            <w:pPr>
              <w:spacing w:before="0" w:after="0" w:line="240" w:lineRule="auto"/>
              <w:ind w:left="113" w:right="113"/>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007/3 </w:t>
            </w:r>
          </w:p>
        </w:tc>
        <w:tc>
          <w:tcPr>
            <w:tcW w:w="1115" w:type="pct"/>
            <w:gridSpan w:val="2"/>
            <w:hideMark/>
          </w:tcPr>
          <w:p w14:paraId="5187F0C1"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sz w:val="18"/>
              </w:rPr>
              <w:t>Zëvendësimi i transformatorit në NS 110/10kV Gjakova 1 (40MVA)  </w:t>
            </w:r>
            <w:r>
              <w:rPr>
                <w:rFonts w:asciiTheme="majorHAnsi" w:hAnsiTheme="majorHAnsi"/>
                <w:color w:val="auto"/>
                <w:sz w:val="18"/>
              </w:rPr>
              <w:t> </w:t>
            </w:r>
          </w:p>
        </w:tc>
        <w:tc>
          <w:tcPr>
            <w:tcW w:w="1251" w:type="pct"/>
            <w:gridSpan w:val="2"/>
            <w:hideMark/>
          </w:tcPr>
          <w:p w14:paraId="672C0277" w14:textId="77777777" w:rsidR="00361CB0" w:rsidRPr="00976D33" w:rsidRDefault="00361CB0">
            <w:pPr>
              <w:spacing w:before="0" w:after="0"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Transformatori TR2, 20MVA, 110/35 kV (v1965) është zëvendësuar me 40/40/40MVA, 110/35/10(20) kV (në koordinim me KEDS) </w:t>
            </w:r>
          </w:p>
          <w:p w14:paraId="1E676DB8" w14:textId="77777777" w:rsidR="00361CB0" w:rsidRPr="00976D33" w:rsidRDefault="00361CB0">
            <w:pPr>
              <w:spacing w:before="0" w:after="0"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Një bazë transformatorësh 10(20) kV </w:t>
            </w:r>
          </w:p>
        </w:tc>
        <w:tc>
          <w:tcPr>
            <w:tcW w:w="1870" w:type="pct"/>
            <w:gridSpan w:val="2"/>
            <w:hideMark/>
          </w:tcPr>
          <w:p w14:paraId="00E8E132"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Siguria e furnizimit të konsumit të Gjakovës; - Reduktimi i humbjeve në distribuim. </w:t>
            </w:r>
          </w:p>
        </w:tc>
        <w:tc>
          <w:tcPr>
            <w:tcW w:w="122" w:type="pct"/>
            <w:hideMark/>
          </w:tcPr>
          <w:p w14:paraId="0113FB3B" w14:textId="77777777" w:rsidR="00361CB0" w:rsidRPr="00976D33" w:rsidRDefault="00361CB0">
            <w:pPr>
              <w:spacing w:before="0" w:after="0" w:line="240" w:lineRule="auto"/>
              <w:ind w:left="105" w:right="105"/>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2026 </w:t>
            </w:r>
          </w:p>
        </w:tc>
      </w:tr>
      <w:tr w:rsidR="00AA7CDF" w:rsidRPr="00976D33" w14:paraId="525BB06B" w14:textId="77777777" w:rsidTr="00FE486A">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31" w:type="pct"/>
            <w:hideMark/>
          </w:tcPr>
          <w:p w14:paraId="043B88C6" w14:textId="77777777" w:rsidR="00361CB0" w:rsidRPr="00976D33" w:rsidRDefault="00361CB0">
            <w:pPr>
              <w:spacing w:before="0" w:after="0" w:line="240" w:lineRule="auto"/>
              <w:jc w:val="right"/>
              <w:textAlignment w:val="baseline"/>
              <w:rPr>
                <w:rFonts w:asciiTheme="majorHAnsi" w:eastAsia="Times New Roman" w:hAnsiTheme="majorHAnsi" w:cstheme="majorHAnsi"/>
                <w:color w:val="auto"/>
                <w:sz w:val="18"/>
                <w:szCs w:val="18"/>
              </w:rPr>
            </w:pPr>
            <w:r>
              <w:rPr>
                <w:rFonts w:asciiTheme="majorHAnsi" w:hAnsiTheme="majorHAnsi"/>
                <w:color w:val="auto"/>
                <w:sz w:val="18"/>
              </w:rPr>
              <w:t>4 </w:t>
            </w:r>
          </w:p>
        </w:tc>
        <w:tc>
          <w:tcPr>
            <w:tcW w:w="311" w:type="pct"/>
            <w:gridSpan w:val="2"/>
            <w:textDirection w:val="btLr"/>
            <w:hideMark/>
          </w:tcPr>
          <w:p w14:paraId="7AFACC0C" w14:textId="77777777" w:rsidR="00361CB0" w:rsidRPr="00976D33" w:rsidRDefault="00361CB0">
            <w:pPr>
              <w:spacing w:before="0" w:after="0" w:line="240" w:lineRule="auto"/>
              <w:ind w:left="113" w:right="113"/>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007/4 </w:t>
            </w:r>
          </w:p>
        </w:tc>
        <w:tc>
          <w:tcPr>
            <w:tcW w:w="1115" w:type="pct"/>
            <w:gridSpan w:val="2"/>
            <w:hideMark/>
          </w:tcPr>
          <w:p w14:paraId="0272EA70"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sz w:val="18"/>
              </w:rPr>
              <w:t>Ndërrimi i transformatorit në NS 110/10kV Therandë (40MVA)  </w:t>
            </w:r>
            <w:r>
              <w:rPr>
                <w:rFonts w:asciiTheme="majorHAnsi" w:hAnsiTheme="majorHAnsi"/>
                <w:color w:val="auto"/>
                <w:sz w:val="18"/>
              </w:rPr>
              <w:t> </w:t>
            </w:r>
          </w:p>
        </w:tc>
        <w:tc>
          <w:tcPr>
            <w:tcW w:w="1251" w:type="pct"/>
            <w:gridSpan w:val="2"/>
            <w:hideMark/>
          </w:tcPr>
          <w:p w14:paraId="0D988AC1" w14:textId="77777777" w:rsidR="00361CB0" w:rsidRPr="00976D33" w:rsidRDefault="00361CB0">
            <w:pPr>
              <w:spacing w:before="0" w:after="0"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Transformatori i ri 40 MVA, 110/10(20) kV zëvendëson transformatorin TR2:31.5 MVA, 110/10 kV (viti 1985) </w:t>
            </w:r>
          </w:p>
          <w:p w14:paraId="300FCD35" w14:textId="77777777" w:rsidR="00361CB0" w:rsidRPr="00976D33" w:rsidRDefault="00361CB0">
            <w:pPr>
              <w:spacing w:before="0" w:after="0"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w:t>
            </w:r>
          </w:p>
        </w:tc>
        <w:tc>
          <w:tcPr>
            <w:tcW w:w="1870" w:type="pct"/>
            <w:gridSpan w:val="2"/>
            <w:hideMark/>
          </w:tcPr>
          <w:p w14:paraId="6940327C"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Siguria e furnizimit të konsumit të Therandës; Plotësimi i kriterit N-1 në transformim. </w:t>
            </w:r>
          </w:p>
          <w:p w14:paraId="5EDD9CC8"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Reduktimi i humbjeve në distribuim. </w:t>
            </w:r>
          </w:p>
        </w:tc>
        <w:tc>
          <w:tcPr>
            <w:tcW w:w="122" w:type="pct"/>
            <w:hideMark/>
          </w:tcPr>
          <w:p w14:paraId="76D48769" w14:textId="77777777" w:rsidR="00361CB0" w:rsidRPr="00976D33" w:rsidRDefault="00361CB0">
            <w:pPr>
              <w:spacing w:before="0" w:after="0" w:line="240" w:lineRule="auto"/>
              <w:ind w:left="105" w:right="105"/>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2026 </w:t>
            </w:r>
          </w:p>
        </w:tc>
      </w:tr>
      <w:tr w:rsidR="00AA7CDF" w:rsidRPr="00976D33" w14:paraId="0383DF54" w14:textId="77777777" w:rsidTr="00FE486A">
        <w:trPr>
          <w:cantSplit/>
          <w:trHeight w:val="1134"/>
        </w:trPr>
        <w:tc>
          <w:tcPr>
            <w:cnfStyle w:val="001000000000" w:firstRow="0" w:lastRow="0" w:firstColumn="1" w:lastColumn="0" w:oddVBand="0" w:evenVBand="0" w:oddHBand="0" w:evenHBand="0" w:firstRowFirstColumn="0" w:firstRowLastColumn="0" w:lastRowFirstColumn="0" w:lastRowLastColumn="0"/>
            <w:tcW w:w="331" w:type="pct"/>
            <w:hideMark/>
          </w:tcPr>
          <w:p w14:paraId="228BDAA8" w14:textId="77777777" w:rsidR="00361CB0" w:rsidRPr="00976D33" w:rsidRDefault="00361CB0">
            <w:pPr>
              <w:spacing w:before="0" w:after="0" w:line="240" w:lineRule="auto"/>
              <w:jc w:val="right"/>
              <w:textAlignment w:val="baseline"/>
              <w:rPr>
                <w:rFonts w:asciiTheme="majorHAnsi" w:eastAsia="Times New Roman" w:hAnsiTheme="majorHAnsi" w:cstheme="majorHAnsi"/>
                <w:color w:val="auto"/>
                <w:sz w:val="18"/>
                <w:szCs w:val="18"/>
              </w:rPr>
            </w:pPr>
            <w:r>
              <w:rPr>
                <w:rFonts w:asciiTheme="majorHAnsi" w:hAnsiTheme="majorHAnsi"/>
                <w:color w:val="auto"/>
                <w:sz w:val="18"/>
              </w:rPr>
              <w:t>5 </w:t>
            </w:r>
          </w:p>
        </w:tc>
        <w:tc>
          <w:tcPr>
            <w:tcW w:w="311" w:type="pct"/>
            <w:gridSpan w:val="2"/>
            <w:textDirection w:val="btLr"/>
            <w:hideMark/>
          </w:tcPr>
          <w:p w14:paraId="6A501414" w14:textId="77777777" w:rsidR="00361CB0" w:rsidRPr="00976D33" w:rsidRDefault="00361CB0">
            <w:pPr>
              <w:spacing w:before="0" w:after="0" w:line="240" w:lineRule="auto"/>
              <w:ind w:left="113" w:right="113"/>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007/5 dhe 007/6 </w:t>
            </w:r>
          </w:p>
        </w:tc>
        <w:tc>
          <w:tcPr>
            <w:tcW w:w="1115" w:type="pct"/>
            <w:gridSpan w:val="2"/>
            <w:hideMark/>
          </w:tcPr>
          <w:p w14:paraId="1D1F342F"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sz w:val="18"/>
              </w:rPr>
              <w:t>Zëvendësimi i transformatorit në NS Prizreni 1 dhe Peja 1 (40 MVA)</w:t>
            </w:r>
            <w:r>
              <w:rPr>
                <w:rFonts w:asciiTheme="majorHAnsi" w:hAnsiTheme="majorHAnsi"/>
                <w:color w:val="auto"/>
                <w:sz w:val="18"/>
              </w:rPr>
              <w:t> </w:t>
            </w:r>
          </w:p>
        </w:tc>
        <w:tc>
          <w:tcPr>
            <w:tcW w:w="1251" w:type="pct"/>
            <w:gridSpan w:val="2"/>
            <w:hideMark/>
          </w:tcPr>
          <w:p w14:paraId="5121BEA6" w14:textId="77777777" w:rsidR="00361CB0" w:rsidRPr="00976D33" w:rsidRDefault="00361CB0">
            <w:pPr>
              <w:spacing w:before="0" w:after="0"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Në Prizren 1, TR1 31.5MVA (viti 1975), 110/35kV zëvendësohet me transformatorin 40/40/40MVA, 110/35/10(20) kV. </w:t>
            </w:r>
          </w:p>
          <w:p w14:paraId="169BBC66" w14:textId="77777777" w:rsidR="00361CB0" w:rsidRPr="00976D33" w:rsidRDefault="00361CB0">
            <w:pPr>
              <w:spacing w:before="0" w:after="0"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Në Peja 1, TR1 31.5MVA (viti 1985), 110/35kV zëvendësohet me 40/40/40MVA, 110/35/10(20) kV. </w:t>
            </w:r>
          </w:p>
          <w:p w14:paraId="6F976394" w14:textId="77777777" w:rsidR="00361CB0" w:rsidRPr="00976D33" w:rsidRDefault="00361CB0">
            <w:pPr>
              <w:spacing w:before="0" w:after="0"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Dy fusha transformatorësh 10(20) kV </w:t>
            </w:r>
          </w:p>
        </w:tc>
        <w:tc>
          <w:tcPr>
            <w:tcW w:w="1870" w:type="pct"/>
            <w:gridSpan w:val="2"/>
            <w:hideMark/>
          </w:tcPr>
          <w:p w14:paraId="1DD40C65"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Projekti shmang prishjet eventuale me probabilitet të lartë të transformatorëve të vjetër dhe mundëson plotësimin e kriterit N-1 në transformim edhe në nivelin 10 kV. </w:t>
            </w:r>
          </w:p>
        </w:tc>
        <w:tc>
          <w:tcPr>
            <w:tcW w:w="122" w:type="pct"/>
            <w:hideMark/>
          </w:tcPr>
          <w:p w14:paraId="6AEC3A42" w14:textId="77777777" w:rsidR="00361CB0" w:rsidRPr="00976D33" w:rsidRDefault="00361CB0">
            <w:pPr>
              <w:spacing w:before="0" w:after="0" w:line="240" w:lineRule="auto"/>
              <w:ind w:left="105" w:right="105"/>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2026 </w:t>
            </w:r>
          </w:p>
        </w:tc>
      </w:tr>
      <w:tr w:rsidR="00AA7CDF" w:rsidRPr="00976D33" w14:paraId="4A941F15" w14:textId="77777777" w:rsidTr="00FE486A">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31" w:type="pct"/>
            <w:hideMark/>
          </w:tcPr>
          <w:p w14:paraId="751B5BF9" w14:textId="77777777" w:rsidR="00361CB0" w:rsidRPr="00976D33" w:rsidRDefault="00361CB0">
            <w:pPr>
              <w:spacing w:before="0" w:after="0" w:line="240" w:lineRule="auto"/>
              <w:jc w:val="right"/>
              <w:textAlignment w:val="baseline"/>
              <w:rPr>
                <w:rFonts w:asciiTheme="majorHAnsi" w:eastAsia="Times New Roman" w:hAnsiTheme="majorHAnsi" w:cstheme="majorHAnsi"/>
                <w:color w:val="auto"/>
                <w:sz w:val="18"/>
                <w:szCs w:val="18"/>
              </w:rPr>
            </w:pPr>
            <w:r>
              <w:rPr>
                <w:rFonts w:asciiTheme="majorHAnsi" w:hAnsiTheme="majorHAnsi"/>
                <w:color w:val="auto"/>
                <w:sz w:val="18"/>
              </w:rPr>
              <w:t>6 </w:t>
            </w:r>
          </w:p>
        </w:tc>
        <w:tc>
          <w:tcPr>
            <w:tcW w:w="311" w:type="pct"/>
            <w:gridSpan w:val="2"/>
            <w:textDirection w:val="btLr"/>
            <w:hideMark/>
          </w:tcPr>
          <w:p w14:paraId="35A46415" w14:textId="77777777" w:rsidR="00361CB0" w:rsidRPr="00976D33" w:rsidRDefault="00361CB0">
            <w:pPr>
              <w:spacing w:before="0" w:after="0" w:line="240" w:lineRule="auto"/>
              <w:ind w:left="113" w:right="113"/>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007/7 </w:t>
            </w:r>
          </w:p>
        </w:tc>
        <w:tc>
          <w:tcPr>
            <w:tcW w:w="1115" w:type="pct"/>
            <w:gridSpan w:val="2"/>
            <w:hideMark/>
          </w:tcPr>
          <w:p w14:paraId="7EA04095"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sz w:val="18"/>
              </w:rPr>
              <w:t>Zëvendësimi i transformatorit në NS Ferizaj 1, (40MVA)</w:t>
            </w:r>
            <w:r>
              <w:rPr>
                <w:rFonts w:asciiTheme="majorHAnsi" w:hAnsiTheme="majorHAnsi"/>
                <w:color w:val="auto"/>
                <w:sz w:val="18"/>
              </w:rPr>
              <w:t> </w:t>
            </w:r>
          </w:p>
        </w:tc>
        <w:tc>
          <w:tcPr>
            <w:tcW w:w="1251" w:type="pct"/>
            <w:gridSpan w:val="2"/>
            <w:hideMark/>
          </w:tcPr>
          <w:p w14:paraId="64DA94DB" w14:textId="77777777" w:rsidR="00361CB0" w:rsidRPr="00976D33" w:rsidRDefault="00361CB0">
            <w:pPr>
              <w:spacing w:before="0" w:after="0"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Zëvendësimi i TR2 31.5MVA (viti 1969), 110/35kV me transformatorë të ri me tri faza e 40/40/40MVA, 110/35/10(20) kV </w:t>
            </w:r>
          </w:p>
          <w:p w14:paraId="308D71CC" w14:textId="77777777" w:rsidR="00361CB0" w:rsidRPr="00976D33" w:rsidRDefault="00361CB0">
            <w:pPr>
              <w:spacing w:before="0" w:after="0"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Fusha e transformatorit 10(20) kV </w:t>
            </w:r>
          </w:p>
        </w:tc>
        <w:tc>
          <w:tcPr>
            <w:tcW w:w="1870" w:type="pct"/>
            <w:gridSpan w:val="2"/>
            <w:hideMark/>
          </w:tcPr>
          <w:p w14:paraId="3D536997"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Projekti shmang prishjet eventuale me probabilitet të lartë të transformatorit të vjetër dhe mundëson plotësimin e kriterit N-1 në transformim në nivelin 10 kV. </w:t>
            </w:r>
          </w:p>
        </w:tc>
        <w:tc>
          <w:tcPr>
            <w:tcW w:w="122" w:type="pct"/>
            <w:hideMark/>
          </w:tcPr>
          <w:p w14:paraId="44068E76" w14:textId="77777777" w:rsidR="00361CB0" w:rsidRPr="00976D33" w:rsidRDefault="00361CB0">
            <w:pPr>
              <w:spacing w:before="0" w:after="0" w:line="240" w:lineRule="auto"/>
              <w:ind w:left="105" w:right="105"/>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2026 </w:t>
            </w:r>
          </w:p>
        </w:tc>
      </w:tr>
      <w:tr w:rsidR="00AA7CDF" w:rsidRPr="00976D33" w14:paraId="7C5EEE04" w14:textId="77777777" w:rsidTr="00FE486A">
        <w:trPr>
          <w:cantSplit/>
          <w:trHeight w:val="1134"/>
        </w:trPr>
        <w:tc>
          <w:tcPr>
            <w:cnfStyle w:val="001000000000" w:firstRow="0" w:lastRow="0" w:firstColumn="1" w:lastColumn="0" w:oddVBand="0" w:evenVBand="0" w:oddHBand="0" w:evenHBand="0" w:firstRowFirstColumn="0" w:firstRowLastColumn="0" w:lastRowFirstColumn="0" w:lastRowLastColumn="0"/>
            <w:tcW w:w="331" w:type="pct"/>
            <w:hideMark/>
          </w:tcPr>
          <w:p w14:paraId="2F7936C8" w14:textId="77777777" w:rsidR="00361CB0" w:rsidRPr="00976D33" w:rsidRDefault="00361CB0">
            <w:pPr>
              <w:spacing w:before="0" w:after="0" w:line="240" w:lineRule="auto"/>
              <w:jc w:val="right"/>
              <w:textAlignment w:val="baseline"/>
              <w:rPr>
                <w:rFonts w:asciiTheme="majorHAnsi" w:eastAsia="Times New Roman" w:hAnsiTheme="majorHAnsi" w:cstheme="majorHAnsi"/>
                <w:color w:val="auto"/>
                <w:sz w:val="18"/>
                <w:szCs w:val="18"/>
              </w:rPr>
            </w:pPr>
            <w:r>
              <w:rPr>
                <w:rFonts w:asciiTheme="majorHAnsi" w:hAnsiTheme="majorHAnsi"/>
                <w:color w:val="auto"/>
                <w:sz w:val="18"/>
              </w:rPr>
              <w:t>7 </w:t>
            </w:r>
          </w:p>
        </w:tc>
        <w:tc>
          <w:tcPr>
            <w:tcW w:w="311" w:type="pct"/>
            <w:gridSpan w:val="2"/>
            <w:textDirection w:val="btLr"/>
            <w:hideMark/>
          </w:tcPr>
          <w:p w14:paraId="58375B70" w14:textId="77777777" w:rsidR="00361CB0" w:rsidRPr="00976D33" w:rsidRDefault="00361CB0">
            <w:pPr>
              <w:spacing w:before="0" w:after="0" w:line="240" w:lineRule="auto"/>
              <w:ind w:left="113" w:right="113"/>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007/8 </w:t>
            </w:r>
          </w:p>
        </w:tc>
        <w:tc>
          <w:tcPr>
            <w:tcW w:w="1115" w:type="pct"/>
            <w:gridSpan w:val="2"/>
            <w:hideMark/>
          </w:tcPr>
          <w:p w14:paraId="5EBBCE26"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sz w:val="18"/>
              </w:rPr>
              <w:t>Ndërrimi i transformatorit në NS 110/10kV Deçani (40MVA) </w:t>
            </w:r>
            <w:r>
              <w:rPr>
                <w:rFonts w:asciiTheme="majorHAnsi" w:hAnsiTheme="majorHAnsi"/>
                <w:color w:val="auto"/>
                <w:sz w:val="18"/>
              </w:rPr>
              <w:t> </w:t>
            </w:r>
          </w:p>
        </w:tc>
        <w:tc>
          <w:tcPr>
            <w:tcW w:w="1251" w:type="pct"/>
            <w:gridSpan w:val="2"/>
            <w:hideMark/>
          </w:tcPr>
          <w:p w14:paraId="65E0684F" w14:textId="77777777" w:rsidR="00361CB0" w:rsidRPr="00976D33" w:rsidRDefault="00361CB0">
            <w:pPr>
              <w:spacing w:before="0" w:after="0"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Transformatori i ri 40 MVA, 110/10(20) kV zëvendëson transformatorin TR1:20 MVA 110/10 kV (viti 1977),  </w:t>
            </w:r>
          </w:p>
        </w:tc>
        <w:tc>
          <w:tcPr>
            <w:tcW w:w="1870" w:type="pct"/>
            <w:gridSpan w:val="2"/>
            <w:hideMark/>
          </w:tcPr>
          <w:p w14:paraId="6D0E9D1A"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Siguria e furnizimit të konsumit të Deçanit; - Reduktimi i humbjeve në distribuim.  </w:t>
            </w:r>
          </w:p>
        </w:tc>
        <w:tc>
          <w:tcPr>
            <w:tcW w:w="122" w:type="pct"/>
            <w:hideMark/>
          </w:tcPr>
          <w:p w14:paraId="64ADD8B1" w14:textId="77777777" w:rsidR="00361CB0" w:rsidRPr="00976D33" w:rsidRDefault="00361CB0">
            <w:pPr>
              <w:spacing w:before="0" w:after="0" w:line="240" w:lineRule="auto"/>
              <w:ind w:left="105" w:right="105"/>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2026 </w:t>
            </w:r>
          </w:p>
        </w:tc>
      </w:tr>
      <w:tr w:rsidR="00AA7CDF" w:rsidRPr="00976D33" w14:paraId="24C4AA4A" w14:textId="77777777" w:rsidTr="00FE486A">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31" w:type="pct"/>
            <w:hideMark/>
          </w:tcPr>
          <w:p w14:paraId="60DE08FC" w14:textId="77777777" w:rsidR="00361CB0" w:rsidRPr="00976D33" w:rsidRDefault="00361CB0">
            <w:pPr>
              <w:spacing w:before="0" w:after="0" w:line="240" w:lineRule="auto"/>
              <w:jc w:val="right"/>
              <w:textAlignment w:val="baseline"/>
              <w:rPr>
                <w:rFonts w:asciiTheme="majorHAnsi" w:eastAsia="Times New Roman" w:hAnsiTheme="majorHAnsi" w:cstheme="majorHAnsi"/>
                <w:color w:val="auto"/>
                <w:sz w:val="18"/>
                <w:szCs w:val="18"/>
              </w:rPr>
            </w:pPr>
            <w:r>
              <w:rPr>
                <w:rFonts w:asciiTheme="majorHAnsi" w:hAnsiTheme="majorHAnsi"/>
                <w:color w:val="auto"/>
                <w:sz w:val="18"/>
              </w:rPr>
              <w:lastRenderedPageBreak/>
              <w:t>8 </w:t>
            </w:r>
          </w:p>
        </w:tc>
        <w:tc>
          <w:tcPr>
            <w:tcW w:w="311" w:type="pct"/>
            <w:gridSpan w:val="2"/>
            <w:textDirection w:val="btLr"/>
            <w:hideMark/>
          </w:tcPr>
          <w:p w14:paraId="410B9D5D" w14:textId="77777777" w:rsidR="00361CB0" w:rsidRPr="00976D33" w:rsidRDefault="00361CB0">
            <w:pPr>
              <w:spacing w:before="0" w:after="0" w:line="240" w:lineRule="auto"/>
              <w:ind w:left="113" w:right="113"/>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010 </w:t>
            </w:r>
          </w:p>
        </w:tc>
        <w:tc>
          <w:tcPr>
            <w:tcW w:w="1115" w:type="pct"/>
            <w:gridSpan w:val="2"/>
            <w:hideMark/>
          </w:tcPr>
          <w:p w14:paraId="75A0CF40"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sz w:val="18"/>
              </w:rPr>
              <w:t>Rivitalizimi i pajisjeve HV në NS Vallaqi</w:t>
            </w:r>
            <w:r>
              <w:rPr>
                <w:rFonts w:asciiTheme="majorHAnsi" w:hAnsiTheme="majorHAnsi"/>
                <w:color w:val="auto"/>
                <w:sz w:val="18"/>
              </w:rPr>
              <w:t> </w:t>
            </w:r>
          </w:p>
        </w:tc>
        <w:tc>
          <w:tcPr>
            <w:tcW w:w="1251" w:type="pct"/>
            <w:gridSpan w:val="2"/>
            <w:hideMark/>
          </w:tcPr>
          <w:p w14:paraId="353BBB9E" w14:textId="77777777" w:rsidR="00361CB0" w:rsidRPr="00976D33" w:rsidRDefault="00361CB0" w:rsidP="00AF7BBF">
            <w:pPr>
              <w:numPr>
                <w:ilvl w:val="0"/>
                <w:numId w:val="90"/>
              </w:numPr>
              <w:spacing w:before="0" w:after="0" w:line="240" w:lineRule="auto"/>
              <w:ind w:left="735" w:firstLine="0"/>
              <w:jc w:val="left"/>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Zëvendësimi i pesë fushave të linjës 110 kV, zëvendësimi i dy fushave të transformatorëve 110 kV. </w:t>
            </w:r>
          </w:p>
          <w:p w14:paraId="4F996F7E" w14:textId="77777777" w:rsidR="00361CB0" w:rsidRPr="00976D33" w:rsidRDefault="00361CB0" w:rsidP="00AF7BBF">
            <w:pPr>
              <w:numPr>
                <w:ilvl w:val="0"/>
                <w:numId w:val="90"/>
              </w:numPr>
              <w:spacing w:before="0" w:after="0" w:line="240" w:lineRule="auto"/>
              <w:ind w:left="735" w:firstLine="0"/>
              <w:jc w:val="left"/>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Ndërrimi i sistemit të përcjellësit elektrik dhe portaleve 110 kV dhe ndërtimi i fushës lidhëse 110 kV. </w:t>
            </w:r>
          </w:p>
        </w:tc>
        <w:tc>
          <w:tcPr>
            <w:tcW w:w="1870" w:type="pct"/>
            <w:gridSpan w:val="2"/>
            <w:hideMark/>
          </w:tcPr>
          <w:p w14:paraId="4C571F79" w14:textId="1D9B6CC9"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Siguria dhe besueshmëria e furnizimit, fundi i ciklit të jetës së pajisjeve. </w:t>
            </w:r>
          </w:p>
          <w:p w14:paraId="455F319C"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Rritja e sigurisë së punës së HC Ujmani </w:t>
            </w:r>
          </w:p>
        </w:tc>
        <w:tc>
          <w:tcPr>
            <w:tcW w:w="122" w:type="pct"/>
            <w:hideMark/>
          </w:tcPr>
          <w:p w14:paraId="6FFF008A" w14:textId="77777777" w:rsidR="00361CB0" w:rsidRPr="00976D33" w:rsidRDefault="00361CB0">
            <w:pPr>
              <w:spacing w:before="0" w:after="0" w:line="240" w:lineRule="auto"/>
              <w:ind w:left="105" w:right="105"/>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2027 </w:t>
            </w:r>
          </w:p>
        </w:tc>
      </w:tr>
      <w:tr w:rsidR="00AA7CDF" w:rsidRPr="00976D33" w14:paraId="55DF28AA" w14:textId="77777777" w:rsidTr="00FE486A">
        <w:trPr>
          <w:cantSplit/>
          <w:trHeight w:val="1134"/>
        </w:trPr>
        <w:tc>
          <w:tcPr>
            <w:cnfStyle w:val="001000000000" w:firstRow="0" w:lastRow="0" w:firstColumn="1" w:lastColumn="0" w:oddVBand="0" w:evenVBand="0" w:oddHBand="0" w:evenHBand="0" w:firstRowFirstColumn="0" w:firstRowLastColumn="0" w:lastRowFirstColumn="0" w:lastRowLastColumn="0"/>
            <w:tcW w:w="331" w:type="pct"/>
            <w:hideMark/>
          </w:tcPr>
          <w:p w14:paraId="27C5B1F9" w14:textId="77777777" w:rsidR="00361CB0" w:rsidRPr="00976D33" w:rsidRDefault="00361CB0">
            <w:pPr>
              <w:spacing w:before="0" w:after="0" w:line="240" w:lineRule="auto"/>
              <w:jc w:val="right"/>
              <w:textAlignment w:val="baseline"/>
              <w:rPr>
                <w:rFonts w:asciiTheme="majorHAnsi" w:eastAsia="Times New Roman" w:hAnsiTheme="majorHAnsi" w:cstheme="majorHAnsi"/>
                <w:color w:val="auto"/>
                <w:sz w:val="18"/>
                <w:szCs w:val="18"/>
              </w:rPr>
            </w:pPr>
            <w:r>
              <w:rPr>
                <w:rFonts w:asciiTheme="majorHAnsi" w:hAnsiTheme="majorHAnsi"/>
                <w:color w:val="auto"/>
                <w:sz w:val="18"/>
              </w:rPr>
              <w:t>9 </w:t>
            </w:r>
          </w:p>
        </w:tc>
        <w:tc>
          <w:tcPr>
            <w:tcW w:w="311" w:type="pct"/>
            <w:gridSpan w:val="2"/>
            <w:textDirection w:val="btLr"/>
            <w:hideMark/>
          </w:tcPr>
          <w:p w14:paraId="6649762C" w14:textId="77777777" w:rsidR="00361CB0" w:rsidRPr="00976D33" w:rsidRDefault="00361CB0">
            <w:pPr>
              <w:spacing w:before="0" w:after="0" w:line="240" w:lineRule="auto"/>
              <w:ind w:left="113" w:right="113"/>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013 </w:t>
            </w:r>
          </w:p>
        </w:tc>
        <w:tc>
          <w:tcPr>
            <w:tcW w:w="1115" w:type="pct"/>
            <w:gridSpan w:val="2"/>
            <w:hideMark/>
          </w:tcPr>
          <w:p w14:paraId="2B475239"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sz w:val="18"/>
              </w:rPr>
              <w:t>Rivitalizimi i pajisjeve HV 110kV në NS Vushtrri 1</w:t>
            </w:r>
            <w:r>
              <w:rPr>
                <w:rFonts w:asciiTheme="majorHAnsi" w:hAnsiTheme="majorHAnsi"/>
                <w:color w:val="auto"/>
                <w:sz w:val="18"/>
              </w:rPr>
              <w:t> </w:t>
            </w:r>
          </w:p>
        </w:tc>
        <w:tc>
          <w:tcPr>
            <w:tcW w:w="1251" w:type="pct"/>
            <w:gridSpan w:val="2"/>
            <w:hideMark/>
          </w:tcPr>
          <w:p w14:paraId="6A2A1F2F" w14:textId="77777777" w:rsidR="00361CB0" w:rsidRPr="00976D33" w:rsidRDefault="00361CB0" w:rsidP="00AF7BBF">
            <w:pPr>
              <w:numPr>
                <w:ilvl w:val="0"/>
                <w:numId w:val="91"/>
              </w:numPr>
              <w:spacing w:before="0" w:after="0" w:line="240" w:lineRule="auto"/>
              <w:ind w:left="735" w:firstLine="0"/>
              <w:jc w:val="left"/>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Zëvendësimi i dy fushave të linjës 110 kV, zëvendësimi i a fushave të transformatorëve 110 kV. </w:t>
            </w:r>
          </w:p>
          <w:p w14:paraId="6CFB3D0A" w14:textId="77777777" w:rsidR="00361CB0" w:rsidRPr="00976D33" w:rsidRDefault="00361CB0">
            <w:pPr>
              <w:spacing w:before="0" w:after="0"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Ndërrimi i sistemit të përcjellësit elektrik dhe portaleve 110 kV dhe ndërtimi i fushës lidhëse 110 kV. </w:t>
            </w:r>
          </w:p>
        </w:tc>
        <w:tc>
          <w:tcPr>
            <w:tcW w:w="1870" w:type="pct"/>
            <w:gridSpan w:val="2"/>
            <w:hideMark/>
          </w:tcPr>
          <w:p w14:paraId="7D61A935"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Siguria dhe besueshmëria e furnizimit, fundi i ciklit të jetës së pajisjeve. </w:t>
            </w:r>
          </w:p>
          <w:p w14:paraId="26A54AC5"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Rritja e sigurisë së punës së WP Selaci </w:t>
            </w:r>
          </w:p>
        </w:tc>
        <w:tc>
          <w:tcPr>
            <w:tcW w:w="122" w:type="pct"/>
            <w:hideMark/>
          </w:tcPr>
          <w:p w14:paraId="2E322C6D" w14:textId="77777777" w:rsidR="00361CB0" w:rsidRPr="00976D33" w:rsidRDefault="00361CB0">
            <w:pPr>
              <w:spacing w:before="0" w:after="0" w:line="240" w:lineRule="auto"/>
              <w:ind w:left="105" w:right="105"/>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2028 </w:t>
            </w:r>
          </w:p>
        </w:tc>
      </w:tr>
      <w:tr w:rsidR="00AA7CDF" w:rsidRPr="00976D33" w14:paraId="5E2E2B82" w14:textId="77777777" w:rsidTr="00FE486A">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31" w:type="pct"/>
            <w:hideMark/>
          </w:tcPr>
          <w:p w14:paraId="6D27DE24" w14:textId="77777777" w:rsidR="00361CB0" w:rsidRPr="00976D33" w:rsidRDefault="00361CB0">
            <w:pPr>
              <w:spacing w:before="0" w:after="0" w:line="240" w:lineRule="auto"/>
              <w:jc w:val="right"/>
              <w:textAlignment w:val="baseline"/>
              <w:rPr>
                <w:rFonts w:asciiTheme="majorHAnsi" w:eastAsia="Times New Roman" w:hAnsiTheme="majorHAnsi" w:cstheme="majorHAnsi"/>
                <w:color w:val="auto"/>
                <w:sz w:val="18"/>
                <w:szCs w:val="18"/>
              </w:rPr>
            </w:pPr>
            <w:r>
              <w:rPr>
                <w:rFonts w:asciiTheme="majorHAnsi" w:hAnsiTheme="majorHAnsi"/>
                <w:color w:val="auto"/>
                <w:sz w:val="18"/>
              </w:rPr>
              <w:t>10 </w:t>
            </w:r>
          </w:p>
        </w:tc>
        <w:tc>
          <w:tcPr>
            <w:tcW w:w="311" w:type="pct"/>
            <w:gridSpan w:val="2"/>
            <w:textDirection w:val="btLr"/>
            <w:hideMark/>
          </w:tcPr>
          <w:p w14:paraId="2D8209DC" w14:textId="77777777" w:rsidR="00361CB0" w:rsidRPr="00976D33" w:rsidRDefault="00361CB0">
            <w:pPr>
              <w:spacing w:before="0" w:after="0" w:line="240" w:lineRule="auto"/>
              <w:ind w:left="113" w:right="113"/>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006/2 dhe 006/3 </w:t>
            </w:r>
          </w:p>
        </w:tc>
        <w:tc>
          <w:tcPr>
            <w:tcW w:w="1115" w:type="pct"/>
            <w:gridSpan w:val="2"/>
            <w:hideMark/>
          </w:tcPr>
          <w:p w14:paraId="70C0FD48"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sz w:val="18"/>
              </w:rPr>
              <w:t>Rivitalizimi i pajisjeve HV 110 kV në NS Klinë dhe NS Burim</w:t>
            </w:r>
            <w:r>
              <w:rPr>
                <w:rFonts w:asciiTheme="majorHAnsi" w:hAnsiTheme="majorHAnsi"/>
                <w:color w:val="auto"/>
                <w:sz w:val="18"/>
              </w:rPr>
              <w:t> </w:t>
            </w:r>
          </w:p>
        </w:tc>
        <w:tc>
          <w:tcPr>
            <w:tcW w:w="1251" w:type="pct"/>
            <w:gridSpan w:val="2"/>
            <w:hideMark/>
          </w:tcPr>
          <w:p w14:paraId="36C1B47C" w14:textId="6A5844DF" w:rsidR="00361CB0" w:rsidRPr="00976D33" w:rsidRDefault="00361CB0" w:rsidP="00AF7BBF">
            <w:pPr>
              <w:numPr>
                <w:ilvl w:val="0"/>
                <w:numId w:val="92"/>
              </w:numPr>
              <w:spacing w:before="0" w:after="0" w:line="240" w:lineRule="auto"/>
              <w:ind w:left="735" w:firstLine="0"/>
              <w:jc w:val="left"/>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Zëvendësimi i fushave me 3 linja të 110 kV  </w:t>
            </w:r>
          </w:p>
          <w:p w14:paraId="4035C04E" w14:textId="77777777" w:rsidR="00361CB0" w:rsidRPr="00976D33" w:rsidRDefault="00361CB0" w:rsidP="00AF7BBF">
            <w:pPr>
              <w:numPr>
                <w:ilvl w:val="0"/>
                <w:numId w:val="92"/>
              </w:numPr>
              <w:spacing w:before="0" w:after="0" w:line="240" w:lineRule="auto"/>
              <w:ind w:left="735" w:firstLine="0"/>
              <w:jc w:val="left"/>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Zëvendësimi i 2 fushave të transformatorëve 110 kV </w:t>
            </w:r>
          </w:p>
          <w:p w14:paraId="691F4035" w14:textId="77777777" w:rsidR="00361CB0" w:rsidRPr="00976D33" w:rsidRDefault="00361CB0">
            <w:pPr>
              <w:spacing w:before="0" w:after="0"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(Në NS Klina fillimisht duhet të vendoset transformatori i dytë, pastaj ndërrimi i fushave) </w:t>
            </w:r>
          </w:p>
        </w:tc>
        <w:tc>
          <w:tcPr>
            <w:tcW w:w="1870" w:type="pct"/>
            <w:gridSpan w:val="2"/>
            <w:hideMark/>
          </w:tcPr>
          <w:p w14:paraId="6EEF2338"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Rritja e sigurisë dhe besueshmërisë së funksionimit të Nënstacioneve </w:t>
            </w:r>
          </w:p>
        </w:tc>
        <w:tc>
          <w:tcPr>
            <w:tcW w:w="122" w:type="pct"/>
            <w:hideMark/>
          </w:tcPr>
          <w:p w14:paraId="6726FFBF" w14:textId="77777777" w:rsidR="00361CB0" w:rsidRPr="00976D33" w:rsidRDefault="00361CB0">
            <w:pPr>
              <w:spacing w:before="0" w:after="0" w:line="240" w:lineRule="auto"/>
              <w:ind w:left="105" w:right="105"/>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2028 </w:t>
            </w:r>
          </w:p>
        </w:tc>
      </w:tr>
      <w:tr w:rsidR="00AA7CDF" w:rsidRPr="00976D33" w14:paraId="71221E62" w14:textId="77777777" w:rsidTr="00FE486A">
        <w:trPr>
          <w:cantSplit/>
          <w:trHeight w:val="1650"/>
        </w:trPr>
        <w:tc>
          <w:tcPr>
            <w:cnfStyle w:val="001000000000" w:firstRow="0" w:lastRow="0" w:firstColumn="1" w:lastColumn="0" w:oddVBand="0" w:evenVBand="0" w:oddHBand="0" w:evenHBand="0" w:firstRowFirstColumn="0" w:firstRowLastColumn="0" w:lastRowFirstColumn="0" w:lastRowLastColumn="0"/>
            <w:tcW w:w="331" w:type="pct"/>
            <w:hideMark/>
          </w:tcPr>
          <w:p w14:paraId="2C48145C" w14:textId="77777777" w:rsidR="00361CB0" w:rsidRPr="00976D33" w:rsidRDefault="00361CB0">
            <w:pPr>
              <w:spacing w:before="0" w:after="0" w:line="240" w:lineRule="auto"/>
              <w:jc w:val="right"/>
              <w:textAlignment w:val="baseline"/>
              <w:rPr>
                <w:rFonts w:asciiTheme="majorHAnsi" w:eastAsia="Times New Roman" w:hAnsiTheme="majorHAnsi" w:cstheme="majorHAnsi"/>
                <w:color w:val="auto"/>
                <w:sz w:val="18"/>
                <w:szCs w:val="18"/>
              </w:rPr>
            </w:pPr>
            <w:r>
              <w:rPr>
                <w:rFonts w:asciiTheme="majorHAnsi" w:hAnsiTheme="majorHAnsi"/>
                <w:color w:val="auto"/>
                <w:sz w:val="18"/>
              </w:rPr>
              <w:t>11 </w:t>
            </w:r>
          </w:p>
        </w:tc>
        <w:tc>
          <w:tcPr>
            <w:tcW w:w="311" w:type="pct"/>
            <w:gridSpan w:val="2"/>
            <w:textDirection w:val="btLr"/>
            <w:hideMark/>
          </w:tcPr>
          <w:p w14:paraId="6441EA1B" w14:textId="77777777" w:rsidR="00361CB0" w:rsidRPr="00976D33" w:rsidRDefault="00361CB0">
            <w:pPr>
              <w:spacing w:before="0" w:after="0" w:line="240" w:lineRule="auto"/>
              <w:ind w:left="113" w:right="113"/>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006/1 </w:t>
            </w:r>
          </w:p>
        </w:tc>
        <w:tc>
          <w:tcPr>
            <w:tcW w:w="1115" w:type="pct"/>
            <w:gridSpan w:val="2"/>
            <w:hideMark/>
          </w:tcPr>
          <w:p w14:paraId="4FBF0219"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sz w:val="18"/>
              </w:rPr>
              <w:t>Transformatori i dytë 40MVA në NS 110/10(20) - Klina</w:t>
            </w:r>
            <w:r>
              <w:rPr>
                <w:rFonts w:asciiTheme="majorHAnsi" w:hAnsiTheme="majorHAnsi"/>
                <w:color w:val="auto"/>
                <w:sz w:val="18"/>
              </w:rPr>
              <w:t> </w:t>
            </w:r>
          </w:p>
        </w:tc>
        <w:tc>
          <w:tcPr>
            <w:tcW w:w="1251" w:type="pct"/>
            <w:gridSpan w:val="2"/>
            <w:hideMark/>
          </w:tcPr>
          <w:p w14:paraId="6DC04F52" w14:textId="77777777" w:rsidR="00361CB0" w:rsidRPr="00976D33" w:rsidRDefault="00361CB0">
            <w:pPr>
              <w:spacing w:before="0" w:after="0"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Transformatori TR2 110/10(20) kV, 40 MVA </w:t>
            </w:r>
          </w:p>
          <w:p w14:paraId="05AFFF9E" w14:textId="77777777" w:rsidR="00361CB0" w:rsidRPr="00976D33" w:rsidRDefault="00361CB0">
            <w:pPr>
              <w:spacing w:before="0" w:after="0"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Fusha e transformatorit 110 kV dhe 10(20) kV e përfunduar </w:t>
            </w:r>
          </w:p>
        </w:tc>
        <w:tc>
          <w:tcPr>
            <w:tcW w:w="1870" w:type="pct"/>
            <w:gridSpan w:val="2"/>
            <w:hideMark/>
          </w:tcPr>
          <w:p w14:paraId="4BEE0991"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Siguria e furnizimit të konsumit për Klinën; - Mirëmbajtja e optimizmit të NS-së. </w:t>
            </w:r>
          </w:p>
          <w:p w14:paraId="05F1F039"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Rritja e kapaciteteve transformuese. </w:t>
            </w:r>
          </w:p>
        </w:tc>
        <w:tc>
          <w:tcPr>
            <w:tcW w:w="122" w:type="pct"/>
            <w:hideMark/>
          </w:tcPr>
          <w:p w14:paraId="2D996771" w14:textId="77777777" w:rsidR="00361CB0" w:rsidRPr="00976D33" w:rsidRDefault="00361CB0">
            <w:pPr>
              <w:spacing w:before="0" w:after="0" w:line="240" w:lineRule="auto"/>
              <w:ind w:left="105" w:right="105"/>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2028 </w:t>
            </w:r>
          </w:p>
        </w:tc>
      </w:tr>
      <w:tr w:rsidR="00AA7CDF" w:rsidRPr="00976D33" w14:paraId="4CDF014C" w14:textId="77777777" w:rsidTr="00FE486A">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31" w:type="pct"/>
            <w:hideMark/>
          </w:tcPr>
          <w:p w14:paraId="44F4889E" w14:textId="77777777" w:rsidR="00361CB0" w:rsidRPr="00976D33" w:rsidRDefault="00361CB0">
            <w:pPr>
              <w:spacing w:before="0" w:after="0" w:line="240" w:lineRule="auto"/>
              <w:jc w:val="right"/>
              <w:textAlignment w:val="baseline"/>
              <w:rPr>
                <w:rFonts w:asciiTheme="majorHAnsi" w:eastAsia="Times New Roman" w:hAnsiTheme="majorHAnsi" w:cstheme="majorHAnsi"/>
                <w:color w:val="auto"/>
                <w:sz w:val="18"/>
                <w:szCs w:val="18"/>
              </w:rPr>
            </w:pPr>
            <w:r>
              <w:rPr>
                <w:rFonts w:asciiTheme="majorHAnsi" w:hAnsiTheme="majorHAnsi"/>
                <w:color w:val="auto"/>
                <w:sz w:val="18"/>
              </w:rPr>
              <w:t>12 </w:t>
            </w:r>
          </w:p>
        </w:tc>
        <w:tc>
          <w:tcPr>
            <w:tcW w:w="311" w:type="pct"/>
            <w:gridSpan w:val="2"/>
            <w:textDirection w:val="btLr"/>
            <w:hideMark/>
          </w:tcPr>
          <w:p w14:paraId="7429E857" w14:textId="77777777" w:rsidR="00361CB0" w:rsidRPr="00976D33" w:rsidRDefault="00361CB0">
            <w:pPr>
              <w:spacing w:before="0" w:after="0" w:line="240" w:lineRule="auto"/>
              <w:ind w:left="113" w:right="113"/>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006/4 </w:t>
            </w:r>
          </w:p>
        </w:tc>
        <w:tc>
          <w:tcPr>
            <w:tcW w:w="1115" w:type="pct"/>
            <w:gridSpan w:val="2"/>
            <w:hideMark/>
          </w:tcPr>
          <w:p w14:paraId="06C354BC" w14:textId="7B0D09EB"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sz w:val="18"/>
              </w:rPr>
              <w:t>Transformatori i dytë 110/10(20)kV Gjilani 5</w:t>
            </w:r>
            <w:r>
              <w:rPr>
                <w:rFonts w:asciiTheme="majorHAnsi" w:hAnsiTheme="majorHAnsi"/>
                <w:color w:val="auto"/>
                <w:sz w:val="18"/>
              </w:rPr>
              <w:t> </w:t>
            </w:r>
          </w:p>
        </w:tc>
        <w:tc>
          <w:tcPr>
            <w:tcW w:w="1251" w:type="pct"/>
            <w:gridSpan w:val="2"/>
            <w:hideMark/>
          </w:tcPr>
          <w:p w14:paraId="0E965EFB" w14:textId="40787F24"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Transformatori TR2 110/10(20) kV, 40 MVA </w:t>
            </w:r>
          </w:p>
          <w:p w14:paraId="39C67CE1" w14:textId="77777777" w:rsidR="00361CB0" w:rsidRPr="00976D33" w:rsidRDefault="00361CB0">
            <w:pPr>
              <w:spacing w:before="0" w:after="0"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Një fushë e transformatorit 110 kV dhe 10(20) kV e përfunduar  </w:t>
            </w:r>
          </w:p>
        </w:tc>
        <w:tc>
          <w:tcPr>
            <w:tcW w:w="1870" w:type="pct"/>
            <w:gridSpan w:val="2"/>
            <w:hideMark/>
          </w:tcPr>
          <w:p w14:paraId="0EB19856"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Siguria e furnizimit të konsumit për Gjilanin;  </w:t>
            </w:r>
          </w:p>
          <w:p w14:paraId="4E2DD17D"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-Kriteret N-1                                    - Mirëmbajtja e optimizimit të NS-së. - Rritja e kapaciteteve transformuese. </w:t>
            </w:r>
          </w:p>
        </w:tc>
        <w:tc>
          <w:tcPr>
            <w:tcW w:w="122" w:type="pct"/>
            <w:hideMark/>
          </w:tcPr>
          <w:p w14:paraId="4ECA95BB" w14:textId="77777777" w:rsidR="00361CB0" w:rsidRPr="00976D33" w:rsidRDefault="00361CB0">
            <w:pPr>
              <w:spacing w:before="0" w:after="0" w:line="240" w:lineRule="auto"/>
              <w:ind w:left="105" w:right="105"/>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2028 </w:t>
            </w:r>
          </w:p>
        </w:tc>
      </w:tr>
      <w:tr w:rsidR="00AA7CDF" w:rsidRPr="00976D33" w14:paraId="30733B31" w14:textId="77777777" w:rsidTr="00FE486A">
        <w:trPr>
          <w:cantSplit/>
          <w:trHeight w:val="1134"/>
        </w:trPr>
        <w:tc>
          <w:tcPr>
            <w:cnfStyle w:val="001000000000" w:firstRow="0" w:lastRow="0" w:firstColumn="1" w:lastColumn="0" w:oddVBand="0" w:evenVBand="0" w:oddHBand="0" w:evenHBand="0" w:firstRowFirstColumn="0" w:firstRowLastColumn="0" w:lastRowFirstColumn="0" w:lastRowLastColumn="0"/>
            <w:tcW w:w="331" w:type="pct"/>
            <w:hideMark/>
          </w:tcPr>
          <w:p w14:paraId="22419CB3" w14:textId="77777777" w:rsidR="00361CB0" w:rsidRPr="00976D33" w:rsidRDefault="00361CB0">
            <w:pPr>
              <w:spacing w:before="0" w:after="0" w:line="240" w:lineRule="auto"/>
              <w:jc w:val="right"/>
              <w:textAlignment w:val="baseline"/>
              <w:rPr>
                <w:rFonts w:asciiTheme="majorHAnsi" w:eastAsia="Times New Roman" w:hAnsiTheme="majorHAnsi" w:cstheme="majorHAnsi"/>
                <w:color w:val="auto"/>
                <w:sz w:val="18"/>
                <w:szCs w:val="18"/>
              </w:rPr>
            </w:pPr>
            <w:r>
              <w:rPr>
                <w:rFonts w:asciiTheme="majorHAnsi" w:hAnsiTheme="majorHAnsi"/>
                <w:color w:val="auto"/>
                <w:sz w:val="18"/>
              </w:rPr>
              <w:lastRenderedPageBreak/>
              <w:t>13 </w:t>
            </w:r>
          </w:p>
        </w:tc>
        <w:tc>
          <w:tcPr>
            <w:tcW w:w="311" w:type="pct"/>
            <w:gridSpan w:val="2"/>
            <w:textDirection w:val="btLr"/>
            <w:hideMark/>
          </w:tcPr>
          <w:p w14:paraId="4A253B92" w14:textId="77777777" w:rsidR="00361CB0" w:rsidRPr="00976D33" w:rsidRDefault="00361CB0">
            <w:pPr>
              <w:spacing w:before="0" w:after="0" w:line="240" w:lineRule="auto"/>
              <w:ind w:left="113" w:right="113"/>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012 </w:t>
            </w:r>
          </w:p>
        </w:tc>
        <w:tc>
          <w:tcPr>
            <w:tcW w:w="1115" w:type="pct"/>
            <w:gridSpan w:val="2"/>
            <w:hideMark/>
          </w:tcPr>
          <w:p w14:paraId="116B20E4"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sz w:val="18"/>
              </w:rPr>
              <w:t>Zëvendësimi i transformatorit në NS Gjakova 1 Gjilani 1 dhe NS Vitia </w:t>
            </w:r>
            <w:r>
              <w:rPr>
                <w:rFonts w:asciiTheme="majorHAnsi" w:hAnsiTheme="majorHAnsi"/>
                <w:color w:val="auto"/>
                <w:sz w:val="18"/>
              </w:rPr>
              <w:t> </w:t>
            </w:r>
          </w:p>
          <w:p w14:paraId="55D97DEE"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sz w:val="18"/>
              </w:rPr>
              <w:t>(40MVA)</w:t>
            </w:r>
            <w:r>
              <w:rPr>
                <w:rFonts w:asciiTheme="majorHAnsi" w:hAnsiTheme="majorHAnsi"/>
                <w:color w:val="auto"/>
                <w:sz w:val="18"/>
              </w:rPr>
              <w:t> </w:t>
            </w:r>
          </w:p>
        </w:tc>
        <w:tc>
          <w:tcPr>
            <w:tcW w:w="1251" w:type="pct"/>
            <w:gridSpan w:val="2"/>
            <w:hideMark/>
          </w:tcPr>
          <w:p w14:paraId="13C0E8A8" w14:textId="77777777" w:rsidR="00361CB0" w:rsidRPr="00976D33" w:rsidRDefault="00361CB0">
            <w:pPr>
              <w:spacing w:before="0" w:after="0"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Në NS Gjakova 1, TR1 20MVA (viti 1974) zëvendësohet me transformatorin 40MVA, 110/10(20) kV  </w:t>
            </w:r>
          </w:p>
          <w:p w14:paraId="6AAA3CA9" w14:textId="77777777" w:rsidR="00361CB0" w:rsidRPr="00976D33" w:rsidRDefault="00361CB0">
            <w:pPr>
              <w:spacing w:before="0" w:after="0"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Në NS Gjilan 1, TR1 31.5MVA (viti 1974), 110/35kV zëvendësohet me 40/40/40MVA, 110/35/10(20)kV </w:t>
            </w:r>
          </w:p>
          <w:p w14:paraId="1FE6121D" w14:textId="77777777" w:rsidR="00361CB0" w:rsidRPr="00976D33" w:rsidRDefault="00361CB0">
            <w:pPr>
              <w:spacing w:before="0" w:after="0"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Në NS Vitia, TR1 20MVA (viti 1974) zëvendësohet me transformatorin 40MVA, 110/35/10(20) kV  </w:t>
            </w:r>
          </w:p>
          <w:p w14:paraId="58519988" w14:textId="77777777" w:rsidR="00361CB0" w:rsidRPr="00976D33" w:rsidRDefault="00361CB0">
            <w:pPr>
              <w:spacing w:before="0" w:after="0"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Dy fusha transformatorësh 10(20) kV </w:t>
            </w:r>
          </w:p>
        </w:tc>
        <w:tc>
          <w:tcPr>
            <w:tcW w:w="1870" w:type="pct"/>
            <w:gridSpan w:val="2"/>
            <w:hideMark/>
          </w:tcPr>
          <w:p w14:paraId="4D7BDCAF"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Rritja e sigurisë së furnizimit të konsumatorëve në Gjakovë, Gjilan dhe Viti </w:t>
            </w:r>
          </w:p>
        </w:tc>
        <w:tc>
          <w:tcPr>
            <w:tcW w:w="122" w:type="pct"/>
            <w:hideMark/>
          </w:tcPr>
          <w:p w14:paraId="23CDFD18" w14:textId="77777777" w:rsidR="00361CB0" w:rsidRPr="00976D33" w:rsidRDefault="00361CB0">
            <w:pPr>
              <w:spacing w:before="0" w:after="0" w:line="240" w:lineRule="auto"/>
              <w:ind w:left="105" w:right="105"/>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2029 </w:t>
            </w:r>
          </w:p>
        </w:tc>
      </w:tr>
      <w:tr w:rsidR="00AA7CDF" w:rsidRPr="00976D33" w14:paraId="75725403" w14:textId="77777777" w:rsidTr="00FE486A">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331" w:type="pct"/>
            <w:hideMark/>
          </w:tcPr>
          <w:p w14:paraId="4FB2867D" w14:textId="77777777" w:rsidR="00361CB0" w:rsidRPr="00976D33" w:rsidRDefault="00361CB0">
            <w:pPr>
              <w:spacing w:before="0" w:after="0" w:line="240" w:lineRule="auto"/>
              <w:jc w:val="right"/>
              <w:textAlignment w:val="baseline"/>
              <w:rPr>
                <w:rFonts w:asciiTheme="majorHAnsi" w:eastAsia="Times New Roman" w:hAnsiTheme="majorHAnsi" w:cstheme="majorHAnsi"/>
                <w:color w:val="auto"/>
                <w:sz w:val="18"/>
                <w:szCs w:val="18"/>
              </w:rPr>
            </w:pPr>
            <w:r>
              <w:rPr>
                <w:rFonts w:asciiTheme="majorHAnsi" w:hAnsiTheme="majorHAnsi"/>
                <w:color w:val="auto"/>
                <w:sz w:val="18"/>
              </w:rPr>
              <w:t>14 </w:t>
            </w:r>
          </w:p>
        </w:tc>
        <w:tc>
          <w:tcPr>
            <w:tcW w:w="311" w:type="pct"/>
            <w:gridSpan w:val="2"/>
            <w:hideMark/>
          </w:tcPr>
          <w:p w14:paraId="0EDE5263" w14:textId="77777777" w:rsidR="00361CB0" w:rsidRPr="00976D33" w:rsidRDefault="00361CB0">
            <w:pPr>
              <w:spacing w:before="0"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91 </w:t>
            </w:r>
          </w:p>
        </w:tc>
        <w:tc>
          <w:tcPr>
            <w:tcW w:w="1115" w:type="pct"/>
            <w:gridSpan w:val="2"/>
            <w:hideMark/>
          </w:tcPr>
          <w:p w14:paraId="020B65CD"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sz w:val="18"/>
              </w:rPr>
              <w:t>Zëvendësimi i transformatorit në NS Prishtina 1</w:t>
            </w:r>
            <w:r>
              <w:rPr>
                <w:rFonts w:asciiTheme="majorHAnsi" w:hAnsiTheme="majorHAnsi"/>
                <w:color w:val="auto"/>
                <w:sz w:val="18"/>
              </w:rPr>
              <w:t> </w:t>
            </w:r>
          </w:p>
          <w:p w14:paraId="0A4D280B"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sz w:val="18"/>
              </w:rPr>
              <w:t>(63MVA)</w:t>
            </w:r>
            <w:r>
              <w:rPr>
                <w:rFonts w:asciiTheme="majorHAnsi" w:hAnsiTheme="majorHAnsi"/>
                <w:color w:val="auto"/>
                <w:sz w:val="18"/>
              </w:rPr>
              <w:t> </w:t>
            </w:r>
          </w:p>
        </w:tc>
        <w:tc>
          <w:tcPr>
            <w:tcW w:w="1251" w:type="pct"/>
            <w:gridSpan w:val="2"/>
            <w:hideMark/>
          </w:tcPr>
          <w:p w14:paraId="4D05D4D0" w14:textId="77777777" w:rsidR="00361CB0" w:rsidRPr="00976D33" w:rsidRDefault="00361CB0">
            <w:pPr>
              <w:spacing w:before="0" w:after="0"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Transformatori TR2 (63 MVA-1985) 110/36.75/6.6 kV është zëvendësuar nga një transformator trepolësh 110/35/10(20) kV me fuqi 63/63/63 MVA </w:t>
            </w:r>
          </w:p>
        </w:tc>
        <w:tc>
          <w:tcPr>
            <w:tcW w:w="1870" w:type="pct"/>
            <w:gridSpan w:val="2"/>
            <w:hideMark/>
          </w:tcPr>
          <w:p w14:paraId="73C1FD7A"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Plotësimi i Kriterit N-1 për nivelin 10(20) kV </w:t>
            </w:r>
          </w:p>
        </w:tc>
        <w:tc>
          <w:tcPr>
            <w:tcW w:w="122" w:type="pct"/>
            <w:hideMark/>
          </w:tcPr>
          <w:p w14:paraId="74261EA3" w14:textId="77777777" w:rsidR="00361CB0" w:rsidRPr="00976D33" w:rsidRDefault="00361CB0">
            <w:pPr>
              <w:spacing w:before="0" w:after="0" w:line="240" w:lineRule="auto"/>
              <w:ind w:left="105" w:right="105"/>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2030 </w:t>
            </w:r>
          </w:p>
        </w:tc>
      </w:tr>
      <w:tr w:rsidR="00AA7CDF" w:rsidRPr="00976D33" w14:paraId="384F01E3" w14:textId="77777777" w:rsidTr="00FE486A">
        <w:trPr>
          <w:trHeight w:val="350"/>
        </w:trPr>
        <w:tc>
          <w:tcPr>
            <w:cnfStyle w:val="001000000000" w:firstRow="0" w:lastRow="0" w:firstColumn="1" w:lastColumn="0" w:oddVBand="0" w:evenVBand="0" w:oddHBand="0" w:evenHBand="0" w:firstRowFirstColumn="0" w:firstRowLastColumn="0" w:lastRowFirstColumn="0" w:lastRowLastColumn="0"/>
            <w:tcW w:w="331" w:type="pct"/>
          </w:tcPr>
          <w:p w14:paraId="3E0E0095" w14:textId="77777777" w:rsidR="00361CB0" w:rsidRPr="00976D33" w:rsidRDefault="00361CB0">
            <w:pPr>
              <w:shd w:val="clear" w:color="auto" w:fill="FFFFFF"/>
              <w:spacing w:before="0" w:after="0" w:line="240" w:lineRule="auto"/>
              <w:jc w:val="right"/>
              <w:textAlignment w:val="baseline"/>
              <w:rPr>
                <w:rFonts w:asciiTheme="majorHAnsi" w:eastAsia="Times New Roman" w:hAnsiTheme="majorHAnsi" w:cstheme="majorHAnsi"/>
                <w:bCs/>
                <w:color w:val="0078D4"/>
                <w:sz w:val="18"/>
                <w:szCs w:val="18"/>
              </w:rPr>
            </w:pPr>
          </w:p>
        </w:tc>
        <w:tc>
          <w:tcPr>
            <w:tcW w:w="222" w:type="pct"/>
          </w:tcPr>
          <w:p w14:paraId="3A3939F5" w14:textId="77777777" w:rsidR="00361CB0" w:rsidRPr="00976D33" w:rsidRDefault="00361CB0">
            <w:pPr>
              <w:shd w:val="clear" w:color="auto" w:fill="FFFFFF"/>
              <w:spacing w:before="0"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78D4"/>
                <w:sz w:val="18"/>
                <w:szCs w:val="18"/>
              </w:rPr>
            </w:pPr>
          </w:p>
        </w:tc>
        <w:tc>
          <w:tcPr>
            <w:tcW w:w="4325" w:type="pct"/>
            <w:gridSpan w:val="7"/>
          </w:tcPr>
          <w:p w14:paraId="40714013" w14:textId="77777777" w:rsidR="00361CB0" w:rsidRPr="00976D33" w:rsidRDefault="00361CB0">
            <w:pPr>
              <w:shd w:val="clear" w:color="auto" w:fill="FFFFFF"/>
              <w:spacing w:before="0"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KATEGORIA E PROJEKTIT: DHËNIA E QASJES (2024-2033)</w:t>
            </w:r>
          </w:p>
        </w:tc>
        <w:tc>
          <w:tcPr>
            <w:tcW w:w="122" w:type="pct"/>
          </w:tcPr>
          <w:p w14:paraId="53B3EB19" w14:textId="77777777" w:rsidR="00361CB0" w:rsidRPr="00976D33" w:rsidRDefault="00361CB0">
            <w:pPr>
              <w:shd w:val="clear" w:color="auto" w:fill="FFFFFF"/>
              <w:spacing w:before="0" w:after="0" w:line="240" w:lineRule="auto"/>
              <w:ind w:left="105" w:right="105"/>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r>
      <w:tr w:rsidR="00AA7CDF" w:rsidRPr="00976D33" w14:paraId="140E4BA3" w14:textId="77777777" w:rsidTr="00FE486A">
        <w:trPr>
          <w:gridAfter w:val="1"/>
          <w:cnfStyle w:val="000000100000" w:firstRow="0" w:lastRow="0" w:firstColumn="0" w:lastColumn="0" w:oddVBand="0" w:evenVBand="0" w:oddHBand="1" w:evenHBand="0" w:firstRowFirstColumn="0" w:firstRowLastColumn="0" w:lastRowFirstColumn="0" w:lastRowLastColumn="0"/>
          <w:wAfter w:w="122" w:type="pct"/>
          <w:cantSplit/>
          <w:trHeight w:val="1635"/>
        </w:trPr>
        <w:tc>
          <w:tcPr>
            <w:cnfStyle w:val="001000000000" w:firstRow="0" w:lastRow="0" w:firstColumn="1" w:lastColumn="0" w:oddVBand="0" w:evenVBand="0" w:oddHBand="0" w:evenHBand="0" w:firstRowFirstColumn="0" w:firstRowLastColumn="0" w:lastRowFirstColumn="0" w:lastRowLastColumn="0"/>
            <w:tcW w:w="331" w:type="pct"/>
            <w:hideMark/>
          </w:tcPr>
          <w:p w14:paraId="4A083935" w14:textId="77777777" w:rsidR="00361CB0" w:rsidRPr="00976D33" w:rsidRDefault="00361CB0">
            <w:pPr>
              <w:shd w:val="clear" w:color="auto" w:fill="FFFFFF"/>
              <w:spacing w:before="0" w:after="0" w:line="240" w:lineRule="auto"/>
              <w:jc w:val="right"/>
              <w:textAlignment w:val="baseline"/>
              <w:rPr>
                <w:rFonts w:asciiTheme="majorHAnsi" w:eastAsia="Times New Roman" w:hAnsiTheme="majorHAnsi" w:cstheme="majorHAnsi"/>
                <w:color w:val="auto"/>
                <w:sz w:val="18"/>
                <w:szCs w:val="18"/>
              </w:rPr>
            </w:pPr>
            <w:r>
              <w:rPr>
                <w:rFonts w:asciiTheme="majorHAnsi" w:hAnsiTheme="majorHAnsi"/>
                <w:color w:val="auto"/>
                <w:sz w:val="18"/>
              </w:rPr>
              <w:t>1 </w:t>
            </w:r>
          </w:p>
        </w:tc>
        <w:tc>
          <w:tcPr>
            <w:tcW w:w="222" w:type="pct"/>
            <w:textDirection w:val="btLr"/>
            <w:hideMark/>
          </w:tcPr>
          <w:p w14:paraId="388774A1" w14:textId="77777777" w:rsidR="00361CB0" w:rsidRPr="00976D33" w:rsidRDefault="00361CB0">
            <w:pPr>
              <w:shd w:val="clear" w:color="auto" w:fill="FFFFFF"/>
              <w:spacing w:before="0" w:after="0" w:line="240" w:lineRule="auto"/>
              <w:ind w:left="113" w:right="113"/>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003 </w:t>
            </w:r>
          </w:p>
        </w:tc>
        <w:tc>
          <w:tcPr>
            <w:tcW w:w="1067" w:type="pct"/>
            <w:gridSpan w:val="2"/>
            <w:hideMark/>
          </w:tcPr>
          <w:p w14:paraId="3F921E2E" w14:textId="77777777" w:rsidR="00361CB0" w:rsidRPr="00976D33" w:rsidRDefault="00361CB0">
            <w:pPr>
              <w:shd w:val="clear" w:color="auto" w:fill="FFFFFF"/>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sz w:val="18"/>
              </w:rPr>
              <w:t>NS Malisheva</w:t>
            </w:r>
            <w:r>
              <w:rPr>
                <w:rFonts w:asciiTheme="majorHAnsi" w:hAnsiTheme="majorHAnsi"/>
                <w:color w:val="auto"/>
                <w:sz w:val="18"/>
              </w:rPr>
              <w:t> </w:t>
            </w:r>
          </w:p>
          <w:p w14:paraId="639C8E72" w14:textId="77777777" w:rsidR="00361CB0" w:rsidRPr="00976D33" w:rsidRDefault="00361CB0">
            <w:pPr>
              <w:shd w:val="clear" w:color="auto" w:fill="FFFFFF"/>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sz w:val="18"/>
              </w:rPr>
              <w:t>220/10(20) kV me</w:t>
            </w:r>
            <w:r>
              <w:rPr>
                <w:rFonts w:asciiTheme="majorHAnsi" w:hAnsiTheme="majorHAnsi"/>
                <w:color w:val="auto"/>
                <w:sz w:val="18"/>
              </w:rPr>
              <w:t> </w:t>
            </w:r>
          </w:p>
          <w:p w14:paraId="08118D0D" w14:textId="77777777" w:rsidR="00361CB0" w:rsidRPr="00976D33" w:rsidRDefault="00361CB0">
            <w:pPr>
              <w:shd w:val="clear" w:color="auto" w:fill="FFFFFF"/>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sz w:val="18"/>
              </w:rPr>
              <w:t>linja të transmisionit</w:t>
            </w:r>
            <w:r>
              <w:rPr>
                <w:rFonts w:asciiTheme="majorHAnsi" w:hAnsiTheme="majorHAnsi"/>
                <w:color w:val="auto"/>
                <w:sz w:val="18"/>
              </w:rPr>
              <w:t> </w:t>
            </w:r>
          </w:p>
          <w:p w14:paraId="245CD2D6" w14:textId="77777777" w:rsidR="00361CB0" w:rsidRPr="00976D33" w:rsidRDefault="00361CB0">
            <w:pPr>
              <w:shd w:val="clear" w:color="auto" w:fill="FFFFFF"/>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sz w:val="18"/>
              </w:rPr>
              <w:t>220 kV</w:t>
            </w:r>
            <w:r>
              <w:rPr>
                <w:rFonts w:asciiTheme="majorHAnsi" w:hAnsiTheme="majorHAnsi"/>
                <w:color w:val="auto"/>
                <w:sz w:val="18"/>
              </w:rPr>
              <w:t> </w:t>
            </w:r>
          </w:p>
        </w:tc>
        <w:tc>
          <w:tcPr>
            <w:tcW w:w="1258" w:type="pct"/>
            <w:gridSpan w:val="2"/>
            <w:hideMark/>
          </w:tcPr>
          <w:p w14:paraId="18112E8A" w14:textId="77777777" w:rsidR="00361CB0" w:rsidRPr="00976D33" w:rsidRDefault="00361CB0" w:rsidP="00AF7BBF">
            <w:pPr>
              <w:numPr>
                <w:ilvl w:val="0"/>
                <w:numId w:val="93"/>
              </w:numPr>
              <w:shd w:val="clear" w:color="auto" w:fill="FFFFFF"/>
              <w:spacing w:before="0" w:after="0" w:line="240" w:lineRule="auto"/>
              <w:ind w:left="735" w:firstLine="0"/>
              <w:jc w:val="left"/>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xml:space="preserve">Linja dyfishe </w:t>
            </w:r>
            <w:r>
              <w:rPr>
                <w:rFonts w:asciiTheme="majorHAnsi" w:hAnsiTheme="majorHAnsi"/>
                <w:color w:val="auto"/>
                <w:sz w:val="18"/>
              </w:rPr>
              <w:t>250 m  220 kV, Al/St 490 mm</w:t>
            </w:r>
            <w:r>
              <w:rPr>
                <w:rFonts w:asciiTheme="majorHAnsi" w:hAnsiTheme="majorHAnsi"/>
                <w:color w:val="auto"/>
                <w:sz w:val="14"/>
                <w:vertAlign w:val="superscript"/>
              </w:rPr>
              <w:t xml:space="preserve">2 </w:t>
            </w:r>
            <w:r>
              <w:rPr>
                <w:rFonts w:asciiTheme="majorHAnsi" w:hAnsiTheme="majorHAnsi"/>
                <w:color w:val="auto"/>
                <w:sz w:val="18"/>
              </w:rPr>
              <w:t>nga NS Malisheva deri te pika kyçëse në linjën 220 kV NS Drenasi - NS Prizreni 2                  </w:t>
            </w:r>
          </w:p>
          <w:p w14:paraId="663332F5" w14:textId="77777777" w:rsidR="00361CB0" w:rsidRPr="00976D33" w:rsidRDefault="00361CB0" w:rsidP="00AF7BBF">
            <w:pPr>
              <w:numPr>
                <w:ilvl w:val="0"/>
                <w:numId w:val="93"/>
              </w:numPr>
              <w:shd w:val="clear" w:color="auto" w:fill="FFFFFF"/>
              <w:spacing w:before="0" w:after="0" w:line="240" w:lineRule="auto"/>
              <w:ind w:left="735" w:firstLine="0"/>
              <w:jc w:val="left"/>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Transformatori 1x40 MVA, njëri me 220/35/10(20) kV dhe tjetri 220/10(20) kV                            </w:t>
            </w:r>
          </w:p>
          <w:p w14:paraId="5536BE24" w14:textId="77777777" w:rsidR="00361CB0" w:rsidRPr="00976D33" w:rsidRDefault="00361CB0" w:rsidP="00AF7BBF">
            <w:pPr>
              <w:numPr>
                <w:ilvl w:val="0"/>
                <w:numId w:val="93"/>
              </w:numPr>
              <w:shd w:val="clear" w:color="auto" w:fill="FFFFFF"/>
              <w:spacing w:before="0" w:after="0" w:line="240" w:lineRule="auto"/>
              <w:ind w:firstLine="0"/>
              <w:jc w:val="left"/>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Fusha transformuese 220 kV dhe 35 kV, 10(20) kV </w:t>
            </w:r>
          </w:p>
          <w:p w14:paraId="30293C74" w14:textId="77777777" w:rsidR="00361CB0" w:rsidRPr="00976D33" w:rsidRDefault="00361CB0" w:rsidP="00AF7BBF">
            <w:pPr>
              <w:numPr>
                <w:ilvl w:val="0"/>
                <w:numId w:val="93"/>
              </w:numPr>
              <w:shd w:val="clear" w:color="auto" w:fill="FFFFFF"/>
              <w:spacing w:before="0" w:after="0" w:line="240" w:lineRule="auto"/>
              <w:ind w:firstLine="0"/>
              <w:jc w:val="left"/>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dy fusha të linjës dhe një 220 kV, 1 fushë bazë 220 kV </w:t>
            </w:r>
          </w:p>
          <w:p w14:paraId="3900EBA8" w14:textId="77777777" w:rsidR="00361CB0" w:rsidRPr="00976D33" w:rsidRDefault="00361CB0" w:rsidP="00AF7BBF">
            <w:pPr>
              <w:numPr>
                <w:ilvl w:val="0"/>
                <w:numId w:val="93"/>
              </w:numPr>
              <w:shd w:val="clear" w:color="auto" w:fill="FFFFFF"/>
              <w:spacing w:before="0" w:after="0" w:line="240" w:lineRule="auto"/>
              <w:ind w:firstLine="0"/>
              <w:jc w:val="left"/>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Objekti komandues me pajisje ndihmëse </w:t>
            </w:r>
          </w:p>
        </w:tc>
        <w:tc>
          <w:tcPr>
            <w:tcW w:w="1199" w:type="pct"/>
            <w:gridSpan w:val="2"/>
            <w:hideMark/>
          </w:tcPr>
          <w:p w14:paraId="735D6ABD" w14:textId="77777777" w:rsidR="00361CB0" w:rsidRPr="00976D33" w:rsidRDefault="00361CB0">
            <w:pPr>
              <w:shd w:val="clear" w:color="auto" w:fill="FFFFFF"/>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Rritja e sigurisë dhe cilësisë së furnizimit të konsumatorëve për </w:t>
            </w:r>
          </w:p>
          <w:p w14:paraId="61D4C547" w14:textId="77777777" w:rsidR="00361CB0" w:rsidRPr="00976D33" w:rsidRDefault="00361CB0">
            <w:pPr>
              <w:shd w:val="clear" w:color="auto" w:fill="FFFFFF"/>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rajonin e Malishevës. Reduktimi i </w:t>
            </w:r>
          </w:p>
          <w:p w14:paraId="3AA10EEF" w14:textId="77777777" w:rsidR="00361CB0" w:rsidRPr="00976D33" w:rsidRDefault="00361CB0">
            <w:pPr>
              <w:shd w:val="clear" w:color="auto" w:fill="FFFFFF"/>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flukseve të energjisë në NS Rahoveci </w:t>
            </w:r>
          </w:p>
        </w:tc>
        <w:tc>
          <w:tcPr>
            <w:tcW w:w="801" w:type="pct"/>
            <w:hideMark/>
          </w:tcPr>
          <w:p w14:paraId="4FC6AE01" w14:textId="77777777" w:rsidR="00361CB0" w:rsidRPr="00976D33" w:rsidRDefault="00361CB0">
            <w:pPr>
              <w:shd w:val="clear" w:color="auto" w:fill="FFFFFF"/>
              <w:spacing w:before="0" w:after="0" w:line="240" w:lineRule="auto"/>
              <w:ind w:left="105" w:right="105"/>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Q1-2026 </w:t>
            </w:r>
          </w:p>
        </w:tc>
      </w:tr>
      <w:tr w:rsidR="00AA7CDF" w:rsidRPr="00976D33" w14:paraId="72E1D375" w14:textId="77777777" w:rsidTr="00FE486A">
        <w:trPr>
          <w:gridAfter w:val="1"/>
          <w:wAfter w:w="122" w:type="pct"/>
          <w:cantSplit/>
          <w:trHeight w:val="1830"/>
        </w:trPr>
        <w:tc>
          <w:tcPr>
            <w:cnfStyle w:val="001000000000" w:firstRow="0" w:lastRow="0" w:firstColumn="1" w:lastColumn="0" w:oddVBand="0" w:evenVBand="0" w:oddHBand="0" w:evenHBand="0" w:firstRowFirstColumn="0" w:firstRowLastColumn="0" w:lastRowFirstColumn="0" w:lastRowLastColumn="0"/>
            <w:tcW w:w="331" w:type="pct"/>
            <w:hideMark/>
          </w:tcPr>
          <w:p w14:paraId="03785594" w14:textId="77777777" w:rsidR="00361CB0" w:rsidRPr="00976D33" w:rsidRDefault="00361CB0">
            <w:pPr>
              <w:shd w:val="clear" w:color="auto" w:fill="FFFFFF"/>
              <w:spacing w:before="0" w:after="0" w:line="240" w:lineRule="auto"/>
              <w:jc w:val="right"/>
              <w:textAlignment w:val="baseline"/>
              <w:rPr>
                <w:rFonts w:asciiTheme="majorHAnsi" w:eastAsia="Times New Roman" w:hAnsiTheme="majorHAnsi" w:cstheme="majorHAnsi"/>
                <w:color w:val="auto"/>
                <w:sz w:val="18"/>
                <w:szCs w:val="18"/>
              </w:rPr>
            </w:pPr>
            <w:r>
              <w:rPr>
                <w:rFonts w:asciiTheme="majorHAnsi" w:hAnsiTheme="majorHAnsi"/>
                <w:color w:val="auto"/>
                <w:sz w:val="18"/>
              </w:rPr>
              <w:lastRenderedPageBreak/>
              <w:t>2 </w:t>
            </w:r>
          </w:p>
        </w:tc>
        <w:tc>
          <w:tcPr>
            <w:tcW w:w="222" w:type="pct"/>
            <w:textDirection w:val="btLr"/>
            <w:hideMark/>
          </w:tcPr>
          <w:p w14:paraId="3A77CC6F" w14:textId="77777777" w:rsidR="00361CB0" w:rsidRPr="00976D33" w:rsidRDefault="00361CB0">
            <w:pPr>
              <w:shd w:val="clear" w:color="auto" w:fill="FFFFFF"/>
              <w:spacing w:before="0" w:after="0" w:line="240" w:lineRule="auto"/>
              <w:ind w:left="113" w:right="113"/>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005 </w:t>
            </w:r>
          </w:p>
        </w:tc>
        <w:tc>
          <w:tcPr>
            <w:tcW w:w="1067" w:type="pct"/>
            <w:gridSpan w:val="2"/>
            <w:hideMark/>
          </w:tcPr>
          <w:p w14:paraId="20EA849C" w14:textId="77777777" w:rsidR="00361CB0" w:rsidRPr="00976D33" w:rsidRDefault="00361CB0">
            <w:pPr>
              <w:shd w:val="clear" w:color="auto" w:fill="FFFFFF"/>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sz w:val="18"/>
              </w:rPr>
              <w:t>NS 110/10(20) kV Dragash me</w:t>
            </w:r>
            <w:r>
              <w:rPr>
                <w:rFonts w:asciiTheme="majorHAnsi" w:hAnsiTheme="majorHAnsi"/>
                <w:color w:val="auto"/>
                <w:sz w:val="18"/>
              </w:rPr>
              <w:t> </w:t>
            </w:r>
          </w:p>
          <w:p w14:paraId="5FEE16AF" w14:textId="77777777" w:rsidR="00361CB0" w:rsidRPr="00976D33" w:rsidRDefault="00361CB0">
            <w:pPr>
              <w:shd w:val="clear" w:color="auto" w:fill="FFFFFF"/>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sz w:val="18"/>
              </w:rPr>
              <w:t>linja të transmisionit 110kV</w:t>
            </w:r>
            <w:r>
              <w:rPr>
                <w:rFonts w:asciiTheme="majorHAnsi" w:hAnsiTheme="majorHAnsi"/>
                <w:color w:val="auto"/>
                <w:sz w:val="18"/>
              </w:rPr>
              <w:t> </w:t>
            </w:r>
          </w:p>
        </w:tc>
        <w:tc>
          <w:tcPr>
            <w:tcW w:w="1258" w:type="pct"/>
            <w:gridSpan w:val="2"/>
            <w:hideMark/>
          </w:tcPr>
          <w:p w14:paraId="4BE91263" w14:textId="77777777" w:rsidR="00361CB0" w:rsidRPr="00976D33" w:rsidRDefault="00361CB0" w:rsidP="00AF7BBF">
            <w:pPr>
              <w:numPr>
                <w:ilvl w:val="0"/>
                <w:numId w:val="94"/>
              </w:numPr>
              <w:shd w:val="clear" w:color="auto" w:fill="FFFFFF"/>
              <w:spacing w:before="0" w:after="0" w:line="240" w:lineRule="auto"/>
              <w:ind w:left="735" w:firstLine="0"/>
              <w:jc w:val="left"/>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NS Dragashi, 2 fusha transformuese 110 kV, një fushë 10(20) kV dhe një 35 kV, një fushë e linjës dhe një fushë kyçëse 110 kV.  </w:t>
            </w:r>
          </w:p>
          <w:p w14:paraId="47733F80" w14:textId="77777777" w:rsidR="00361CB0" w:rsidRPr="00976D33" w:rsidRDefault="00361CB0" w:rsidP="00AF7BBF">
            <w:pPr>
              <w:numPr>
                <w:ilvl w:val="0"/>
                <w:numId w:val="94"/>
              </w:numPr>
              <w:shd w:val="clear" w:color="auto" w:fill="FFFFFF"/>
              <w:spacing w:before="0" w:after="0" w:line="240" w:lineRule="auto"/>
              <w:ind w:left="735" w:firstLine="0"/>
              <w:jc w:val="left"/>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 Transformatori i dytë 1x40 MVA, 110/35/10(20) kV </w:t>
            </w:r>
          </w:p>
          <w:p w14:paraId="2B57DBAE" w14:textId="77777777" w:rsidR="00361CB0" w:rsidRPr="00976D33" w:rsidRDefault="00361CB0" w:rsidP="00AF7BBF">
            <w:pPr>
              <w:numPr>
                <w:ilvl w:val="0"/>
                <w:numId w:val="94"/>
              </w:numPr>
              <w:shd w:val="clear" w:color="auto" w:fill="FFFFFF"/>
              <w:spacing w:before="0" w:after="0" w:line="240" w:lineRule="auto"/>
              <w:ind w:left="735" w:firstLine="0"/>
              <w:jc w:val="left"/>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Linjat njëfishe, 8 km, ASCR 240 mm</w:t>
            </w:r>
            <w:r>
              <w:rPr>
                <w:rFonts w:asciiTheme="majorHAnsi" w:hAnsiTheme="majorHAnsi"/>
                <w:color w:val="auto"/>
                <w:sz w:val="14"/>
                <w:vertAlign w:val="superscript"/>
              </w:rPr>
              <w:t>2</w:t>
            </w:r>
            <w:r>
              <w:rPr>
                <w:rFonts w:asciiTheme="majorHAnsi" w:hAnsiTheme="majorHAnsi"/>
                <w:color w:val="auto"/>
                <w:sz w:val="18"/>
              </w:rPr>
              <w:t xml:space="preserve"> nga NS Prizreni 2 deri në Zhur (pole dyfishe).  </w:t>
            </w:r>
          </w:p>
          <w:p w14:paraId="6493754E" w14:textId="77777777" w:rsidR="00361CB0" w:rsidRPr="00976D33" w:rsidRDefault="00361CB0" w:rsidP="00AF7BBF">
            <w:pPr>
              <w:numPr>
                <w:ilvl w:val="0"/>
                <w:numId w:val="94"/>
              </w:numPr>
              <w:shd w:val="clear" w:color="auto" w:fill="FFFFFF"/>
              <w:spacing w:before="0" w:after="0" w:line="240" w:lineRule="auto"/>
              <w:ind w:left="735" w:firstLine="0"/>
              <w:jc w:val="left"/>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Linja dyfishe, 13 km, AlSt2x240 mm</w:t>
            </w:r>
            <w:r>
              <w:rPr>
                <w:rFonts w:asciiTheme="majorHAnsi" w:hAnsiTheme="majorHAnsi"/>
                <w:color w:val="auto"/>
                <w:sz w:val="14"/>
                <w:vertAlign w:val="superscript"/>
              </w:rPr>
              <w:t>2</w:t>
            </w:r>
            <w:r>
              <w:rPr>
                <w:rFonts w:asciiTheme="majorHAnsi" w:hAnsiTheme="majorHAnsi"/>
                <w:color w:val="auto"/>
                <w:sz w:val="14"/>
              </w:rPr>
              <w:t> </w:t>
            </w:r>
          </w:p>
          <w:p w14:paraId="08081C0A" w14:textId="77777777" w:rsidR="00361CB0" w:rsidRPr="00976D33" w:rsidRDefault="00361CB0" w:rsidP="00AF7BBF">
            <w:pPr>
              <w:numPr>
                <w:ilvl w:val="0"/>
                <w:numId w:val="94"/>
              </w:numPr>
              <w:shd w:val="clear" w:color="auto" w:fill="FFFFFF"/>
              <w:spacing w:before="0" w:after="0" w:line="240" w:lineRule="auto"/>
              <w:ind w:left="735" w:firstLine="0"/>
              <w:jc w:val="left"/>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Nga Zhuri në NS Dragash  </w:t>
            </w:r>
          </w:p>
          <w:p w14:paraId="3A2851EC" w14:textId="77777777" w:rsidR="00361CB0" w:rsidRPr="00976D33" w:rsidRDefault="00361CB0" w:rsidP="00AF7BBF">
            <w:pPr>
              <w:numPr>
                <w:ilvl w:val="0"/>
                <w:numId w:val="94"/>
              </w:numPr>
              <w:shd w:val="clear" w:color="auto" w:fill="FFFFFF"/>
              <w:spacing w:before="0" w:after="0" w:line="240" w:lineRule="auto"/>
              <w:ind w:left="735" w:firstLine="0"/>
              <w:jc w:val="left"/>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Linja njëfishe, 26 km, ASCR 240 mm</w:t>
            </w:r>
            <w:r>
              <w:rPr>
                <w:rFonts w:asciiTheme="majorHAnsi" w:hAnsiTheme="majorHAnsi"/>
                <w:color w:val="auto"/>
                <w:sz w:val="14"/>
                <w:vertAlign w:val="superscript"/>
              </w:rPr>
              <w:t>2</w:t>
            </w:r>
            <w:r>
              <w:rPr>
                <w:rFonts w:asciiTheme="majorHAnsi" w:hAnsiTheme="majorHAnsi"/>
                <w:color w:val="auto"/>
                <w:sz w:val="18"/>
              </w:rPr>
              <w:t xml:space="preserve"> nga Zhuri në Kukës (nga Zhuri në kufi 9 km) </w:t>
            </w:r>
          </w:p>
        </w:tc>
        <w:tc>
          <w:tcPr>
            <w:tcW w:w="1199" w:type="pct"/>
            <w:gridSpan w:val="2"/>
            <w:hideMark/>
          </w:tcPr>
          <w:p w14:paraId="37DB9D9B" w14:textId="77777777" w:rsidR="00361CB0" w:rsidRPr="00976D33" w:rsidRDefault="00361CB0">
            <w:pPr>
              <w:shd w:val="clear" w:color="auto" w:fill="FFFFFF"/>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Furnizimi cilësor dhe i besueshëm i rajonit të Dragashit. Zvogëlimi i flukseve të energjisë elektrike në NS Prizreni 1. Optimizimi i funksionimit të sistemeve të Kosovës dhe Shqipërisë </w:t>
            </w:r>
          </w:p>
        </w:tc>
        <w:tc>
          <w:tcPr>
            <w:tcW w:w="801" w:type="pct"/>
            <w:hideMark/>
          </w:tcPr>
          <w:p w14:paraId="7F3A1919" w14:textId="77777777" w:rsidR="00361CB0" w:rsidRPr="00976D33" w:rsidRDefault="00361CB0">
            <w:pPr>
              <w:shd w:val="clear" w:color="auto" w:fill="FFFFFF"/>
              <w:spacing w:before="0" w:after="0" w:line="240" w:lineRule="auto"/>
              <w:ind w:left="105" w:right="105"/>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Q1-2026 </w:t>
            </w:r>
          </w:p>
        </w:tc>
      </w:tr>
      <w:tr w:rsidR="00AA7CDF" w:rsidRPr="00976D33" w14:paraId="33EF3804" w14:textId="77777777" w:rsidTr="00FE486A">
        <w:trPr>
          <w:gridAfter w:val="1"/>
          <w:cnfStyle w:val="000000100000" w:firstRow="0" w:lastRow="0" w:firstColumn="0" w:lastColumn="0" w:oddVBand="0" w:evenVBand="0" w:oddHBand="1" w:evenHBand="0" w:firstRowFirstColumn="0" w:firstRowLastColumn="0" w:lastRowFirstColumn="0" w:lastRowLastColumn="0"/>
          <w:wAfter w:w="122" w:type="pct"/>
          <w:cantSplit/>
          <w:trHeight w:val="1830"/>
        </w:trPr>
        <w:tc>
          <w:tcPr>
            <w:cnfStyle w:val="001000000000" w:firstRow="0" w:lastRow="0" w:firstColumn="1" w:lastColumn="0" w:oddVBand="0" w:evenVBand="0" w:oddHBand="0" w:evenHBand="0" w:firstRowFirstColumn="0" w:firstRowLastColumn="0" w:lastRowFirstColumn="0" w:lastRowLastColumn="0"/>
            <w:tcW w:w="331" w:type="pct"/>
            <w:hideMark/>
          </w:tcPr>
          <w:p w14:paraId="5C7A279D" w14:textId="77777777" w:rsidR="00361CB0" w:rsidRPr="00976D33" w:rsidRDefault="00361CB0">
            <w:pPr>
              <w:shd w:val="clear" w:color="auto" w:fill="FFFFFF"/>
              <w:spacing w:before="0" w:after="0" w:line="240" w:lineRule="auto"/>
              <w:jc w:val="right"/>
              <w:textAlignment w:val="baseline"/>
              <w:rPr>
                <w:rFonts w:asciiTheme="majorHAnsi" w:eastAsia="Times New Roman" w:hAnsiTheme="majorHAnsi" w:cstheme="majorHAnsi"/>
                <w:color w:val="auto"/>
                <w:sz w:val="18"/>
                <w:szCs w:val="18"/>
              </w:rPr>
            </w:pPr>
            <w:r>
              <w:rPr>
                <w:rFonts w:asciiTheme="majorHAnsi" w:hAnsiTheme="majorHAnsi"/>
                <w:color w:val="auto"/>
                <w:sz w:val="18"/>
              </w:rPr>
              <w:t>3 </w:t>
            </w:r>
          </w:p>
        </w:tc>
        <w:tc>
          <w:tcPr>
            <w:tcW w:w="222" w:type="pct"/>
            <w:textDirection w:val="btLr"/>
            <w:hideMark/>
          </w:tcPr>
          <w:p w14:paraId="554E9278" w14:textId="77777777" w:rsidR="00361CB0" w:rsidRPr="00976D33" w:rsidRDefault="00361CB0">
            <w:pPr>
              <w:shd w:val="clear" w:color="auto" w:fill="FFFFFF"/>
              <w:spacing w:before="0" w:after="0" w:line="240" w:lineRule="auto"/>
              <w:ind w:left="113" w:right="113"/>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92 </w:t>
            </w:r>
          </w:p>
        </w:tc>
        <w:tc>
          <w:tcPr>
            <w:tcW w:w="1067" w:type="pct"/>
            <w:gridSpan w:val="2"/>
            <w:hideMark/>
          </w:tcPr>
          <w:p w14:paraId="4255D6AB" w14:textId="77777777" w:rsidR="00361CB0" w:rsidRPr="00976D33" w:rsidRDefault="00361CB0">
            <w:pPr>
              <w:shd w:val="clear" w:color="auto" w:fill="FFFFFF"/>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rPr>
              <w:t>NS Shtime 110/35/10 kV</w:t>
            </w:r>
            <w:r>
              <w:rPr>
                <w:rFonts w:asciiTheme="majorHAnsi" w:hAnsiTheme="majorHAnsi"/>
                <w:color w:val="auto"/>
              </w:rPr>
              <w:t> </w:t>
            </w:r>
          </w:p>
        </w:tc>
        <w:tc>
          <w:tcPr>
            <w:tcW w:w="1258" w:type="pct"/>
            <w:gridSpan w:val="2"/>
            <w:hideMark/>
          </w:tcPr>
          <w:p w14:paraId="72192620" w14:textId="77777777" w:rsidR="00361CB0" w:rsidRPr="00976D33" w:rsidRDefault="00361CB0" w:rsidP="00AF7BBF">
            <w:pPr>
              <w:numPr>
                <w:ilvl w:val="0"/>
                <w:numId w:val="95"/>
              </w:numPr>
              <w:shd w:val="clear" w:color="auto" w:fill="FFFFFF"/>
              <w:spacing w:before="0" w:after="0" w:line="240" w:lineRule="auto"/>
              <w:ind w:left="735" w:firstLine="0"/>
              <w:jc w:val="left"/>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Cs w:val="20"/>
              </w:rPr>
            </w:pPr>
            <w:r>
              <w:rPr>
                <w:rFonts w:asciiTheme="majorHAnsi" w:hAnsiTheme="majorHAnsi"/>
                <w:color w:val="auto"/>
              </w:rPr>
              <w:t>NS Shtime, trans. në terren 110 kV, një 10(20) kV dhe një 35 kV, dy fusha të linjës dhe një fushë kyçëse 110 kV. </w:t>
            </w:r>
          </w:p>
          <w:p w14:paraId="49D888D1" w14:textId="77777777" w:rsidR="00361CB0" w:rsidRPr="00976D33" w:rsidRDefault="00361CB0" w:rsidP="00AF7BBF">
            <w:pPr>
              <w:numPr>
                <w:ilvl w:val="0"/>
                <w:numId w:val="95"/>
              </w:numPr>
              <w:shd w:val="clear" w:color="auto" w:fill="FFFFFF"/>
              <w:spacing w:before="0" w:after="0" w:line="240" w:lineRule="auto"/>
              <w:ind w:left="735" w:firstLine="0"/>
              <w:jc w:val="left"/>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Cs w:val="20"/>
              </w:rPr>
            </w:pPr>
            <w:r>
              <w:rPr>
                <w:rFonts w:asciiTheme="majorHAnsi" w:hAnsiTheme="majorHAnsi"/>
                <w:color w:val="auto"/>
              </w:rPr>
              <w:t>1x40 MVA, transformator, 110/35/10(20) kV </w:t>
            </w:r>
          </w:p>
          <w:p w14:paraId="1305A90C" w14:textId="77777777" w:rsidR="00361CB0" w:rsidRPr="00976D33" w:rsidRDefault="00361CB0" w:rsidP="00AF7BBF">
            <w:pPr>
              <w:numPr>
                <w:ilvl w:val="0"/>
                <w:numId w:val="95"/>
              </w:numPr>
              <w:shd w:val="clear" w:color="auto" w:fill="FFFFFF"/>
              <w:spacing w:before="0" w:after="0" w:line="240" w:lineRule="auto"/>
              <w:ind w:left="735" w:firstLine="0"/>
              <w:jc w:val="left"/>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Cs w:val="20"/>
              </w:rPr>
            </w:pPr>
            <w:r>
              <w:rPr>
                <w:rFonts w:asciiTheme="majorHAnsi" w:hAnsiTheme="majorHAnsi"/>
                <w:color w:val="auto"/>
              </w:rPr>
              <w:t>kabllo dyfishe 1.7km, 10000 mm</w:t>
            </w:r>
            <w:r>
              <w:rPr>
                <w:rFonts w:asciiTheme="majorHAnsi" w:hAnsiTheme="majorHAnsi"/>
                <w:color w:val="auto"/>
                <w:sz w:val="16"/>
                <w:vertAlign w:val="superscript"/>
              </w:rPr>
              <w:t>2</w:t>
            </w:r>
            <w:r>
              <w:rPr>
                <w:rFonts w:asciiTheme="majorHAnsi" w:hAnsiTheme="majorHAnsi"/>
                <w:color w:val="auto"/>
              </w:rPr>
              <w:t>, lidhje me linjën 110 kV NS Theranda-NS Kastriot </w:t>
            </w:r>
          </w:p>
        </w:tc>
        <w:tc>
          <w:tcPr>
            <w:tcW w:w="1199" w:type="pct"/>
            <w:gridSpan w:val="2"/>
            <w:hideMark/>
          </w:tcPr>
          <w:p w14:paraId="5B32F325" w14:textId="77777777" w:rsidR="00361CB0" w:rsidRPr="00976D33" w:rsidRDefault="00361CB0">
            <w:pPr>
              <w:shd w:val="clear" w:color="auto" w:fill="FFFFFF"/>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Rritja e sigurisë dhe cilësisë së furnizimit të konsumit në rajonin e Shtimes. - Shkarkimi i rrymës në NS Lipjani </w:t>
            </w:r>
          </w:p>
        </w:tc>
        <w:tc>
          <w:tcPr>
            <w:tcW w:w="801" w:type="pct"/>
            <w:hideMark/>
          </w:tcPr>
          <w:p w14:paraId="4CA6BEB6" w14:textId="77777777" w:rsidR="00361CB0" w:rsidRPr="00976D33" w:rsidRDefault="00361CB0">
            <w:pPr>
              <w:shd w:val="clear" w:color="auto" w:fill="FFFFFF"/>
              <w:spacing w:before="0" w:after="0" w:line="240" w:lineRule="auto"/>
              <w:ind w:left="105" w:right="105"/>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2029 </w:t>
            </w:r>
          </w:p>
        </w:tc>
      </w:tr>
      <w:tr w:rsidR="00AA7CDF" w:rsidRPr="00976D33" w14:paraId="66C9542F" w14:textId="77777777" w:rsidTr="00FE486A">
        <w:trPr>
          <w:gridAfter w:val="1"/>
          <w:wAfter w:w="122" w:type="pct"/>
          <w:cantSplit/>
          <w:trHeight w:val="1545"/>
        </w:trPr>
        <w:tc>
          <w:tcPr>
            <w:cnfStyle w:val="001000000000" w:firstRow="0" w:lastRow="0" w:firstColumn="1" w:lastColumn="0" w:oddVBand="0" w:evenVBand="0" w:oddHBand="0" w:evenHBand="0" w:firstRowFirstColumn="0" w:firstRowLastColumn="0" w:lastRowFirstColumn="0" w:lastRowLastColumn="0"/>
            <w:tcW w:w="331" w:type="pct"/>
            <w:hideMark/>
          </w:tcPr>
          <w:p w14:paraId="7B44BA81" w14:textId="77777777" w:rsidR="00361CB0" w:rsidRPr="00976D33" w:rsidRDefault="00361CB0">
            <w:pPr>
              <w:shd w:val="clear" w:color="auto" w:fill="FFFFFF"/>
              <w:spacing w:before="0" w:after="0" w:line="240" w:lineRule="auto"/>
              <w:jc w:val="right"/>
              <w:textAlignment w:val="baseline"/>
              <w:rPr>
                <w:rFonts w:asciiTheme="majorHAnsi" w:eastAsia="Times New Roman" w:hAnsiTheme="majorHAnsi" w:cstheme="majorHAnsi"/>
                <w:color w:val="auto"/>
                <w:sz w:val="18"/>
                <w:szCs w:val="18"/>
              </w:rPr>
            </w:pPr>
            <w:r>
              <w:rPr>
                <w:rFonts w:asciiTheme="majorHAnsi" w:hAnsiTheme="majorHAnsi"/>
                <w:color w:val="auto"/>
                <w:sz w:val="18"/>
              </w:rPr>
              <w:t>4 </w:t>
            </w:r>
          </w:p>
        </w:tc>
        <w:tc>
          <w:tcPr>
            <w:tcW w:w="222" w:type="pct"/>
            <w:textDirection w:val="btLr"/>
            <w:hideMark/>
          </w:tcPr>
          <w:p w14:paraId="16B3EAE4" w14:textId="77777777" w:rsidR="00361CB0" w:rsidRPr="00976D33" w:rsidRDefault="00361CB0">
            <w:pPr>
              <w:shd w:val="clear" w:color="auto" w:fill="FFFFFF"/>
              <w:spacing w:before="0" w:after="0" w:line="240" w:lineRule="auto"/>
              <w:ind w:left="113" w:right="113"/>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93 </w:t>
            </w:r>
          </w:p>
        </w:tc>
        <w:tc>
          <w:tcPr>
            <w:tcW w:w="1067" w:type="pct"/>
            <w:gridSpan w:val="2"/>
            <w:hideMark/>
          </w:tcPr>
          <w:p w14:paraId="0F46E268" w14:textId="77777777" w:rsidR="00361CB0" w:rsidRPr="00976D33" w:rsidRDefault="00361CB0">
            <w:pPr>
              <w:shd w:val="clear" w:color="auto" w:fill="FFFFFF"/>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rPr>
              <w:t>Parku Solar SEGE 150 MWp (136 MW AC)</w:t>
            </w:r>
            <w:r>
              <w:rPr>
                <w:rFonts w:asciiTheme="majorHAnsi" w:hAnsiTheme="majorHAnsi"/>
                <w:color w:val="auto"/>
              </w:rPr>
              <w:t> </w:t>
            </w:r>
          </w:p>
        </w:tc>
        <w:tc>
          <w:tcPr>
            <w:tcW w:w="1258" w:type="pct"/>
            <w:gridSpan w:val="2"/>
            <w:hideMark/>
          </w:tcPr>
          <w:p w14:paraId="2D685E63" w14:textId="77777777" w:rsidR="00361CB0" w:rsidRPr="00976D33" w:rsidRDefault="00361CB0" w:rsidP="00AF7BBF">
            <w:pPr>
              <w:numPr>
                <w:ilvl w:val="0"/>
                <w:numId w:val="96"/>
              </w:numPr>
              <w:shd w:val="clear" w:color="auto" w:fill="FFFFFF"/>
              <w:spacing w:before="0" w:after="0" w:line="240" w:lineRule="auto"/>
              <w:ind w:left="735" w:firstLine="0"/>
              <w:jc w:val="left"/>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Cs w:val="20"/>
              </w:rPr>
            </w:pPr>
            <w:r>
              <w:rPr>
                <w:rFonts w:asciiTheme="majorHAnsi" w:hAnsiTheme="majorHAnsi"/>
                <w:color w:val="auto"/>
              </w:rPr>
              <w:t>Fusha e linjës 110 kV në NS SEGE 110/33 kV </w:t>
            </w:r>
          </w:p>
          <w:p w14:paraId="17F9D50F" w14:textId="77777777" w:rsidR="00361CB0" w:rsidRPr="00976D33" w:rsidRDefault="00361CB0" w:rsidP="00AF7BBF">
            <w:pPr>
              <w:numPr>
                <w:ilvl w:val="0"/>
                <w:numId w:val="96"/>
              </w:numPr>
              <w:shd w:val="clear" w:color="auto" w:fill="FFFFFF"/>
              <w:spacing w:before="0" w:after="0" w:line="240" w:lineRule="auto"/>
              <w:ind w:left="735" w:firstLine="0"/>
              <w:jc w:val="left"/>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Cs w:val="20"/>
              </w:rPr>
            </w:pPr>
            <w:r>
              <w:rPr>
                <w:rFonts w:asciiTheme="majorHAnsi" w:hAnsiTheme="majorHAnsi"/>
                <w:color w:val="auto"/>
              </w:rPr>
              <w:t>Fushë e linjës 110 kV në NS Gjakova 1, </w:t>
            </w:r>
          </w:p>
          <w:p w14:paraId="666F52CD" w14:textId="77777777" w:rsidR="00361CB0" w:rsidRPr="00976D33" w:rsidRDefault="00361CB0" w:rsidP="00AF7BBF">
            <w:pPr>
              <w:numPr>
                <w:ilvl w:val="0"/>
                <w:numId w:val="96"/>
              </w:numPr>
              <w:shd w:val="clear" w:color="auto" w:fill="FFFFFF"/>
              <w:spacing w:before="0" w:after="0" w:line="240" w:lineRule="auto"/>
              <w:ind w:left="735" w:firstLine="0"/>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Cs w:val="20"/>
              </w:rPr>
            </w:pPr>
            <w:r>
              <w:rPr>
                <w:rFonts w:asciiTheme="majorHAnsi" w:hAnsiTheme="majorHAnsi"/>
                <w:color w:val="auto"/>
              </w:rPr>
              <w:t>Linja ASCR 360mm</w:t>
            </w:r>
            <w:r>
              <w:rPr>
                <w:rFonts w:asciiTheme="majorHAnsi" w:hAnsiTheme="majorHAnsi"/>
                <w:color w:val="auto"/>
                <w:sz w:val="16"/>
                <w:vertAlign w:val="superscript"/>
              </w:rPr>
              <w:t>2</w:t>
            </w:r>
            <w:r>
              <w:rPr>
                <w:rFonts w:asciiTheme="majorHAnsi" w:hAnsiTheme="majorHAnsi"/>
                <w:color w:val="auto"/>
              </w:rPr>
              <w:t xml:space="preserve"> me një gjatësi prej 6.5 km </w:t>
            </w:r>
          </w:p>
        </w:tc>
        <w:tc>
          <w:tcPr>
            <w:tcW w:w="1199" w:type="pct"/>
            <w:gridSpan w:val="2"/>
            <w:hideMark/>
          </w:tcPr>
          <w:p w14:paraId="57C85EB5" w14:textId="77777777" w:rsidR="00361CB0" w:rsidRPr="00976D33" w:rsidRDefault="00361CB0">
            <w:pPr>
              <w:shd w:val="clear" w:color="auto" w:fill="FFFFFF"/>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Rritja e kapaciteteve të BRE-ve në përputhje me Strategjinë e Energjisë 2022-2031 </w:t>
            </w:r>
          </w:p>
        </w:tc>
        <w:tc>
          <w:tcPr>
            <w:tcW w:w="801" w:type="pct"/>
            <w:hideMark/>
          </w:tcPr>
          <w:p w14:paraId="3CE63699" w14:textId="77777777" w:rsidR="00361CB0" w:rsidRPr="00976D33" w:rsidRDefault="00361CB0">
            <w:pPr>
              <w:shd w:val="clear" w:color="auto" w:fill="FFFFFF"/>
              <w:spacing w:before="0" w:after="0" w:line="240" w:lineRule="auto"/>
              <w:ind w:left="105" w:right="105"/>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2025 </w:t>
            </w:r>
          </w:p>
        </w:tc>
      </w:tr>
      <w:tr w:rsidR="00AA7CDF" w:rsidRPr="00976D33" w14:paraId="009DE696" w14:textId="77777777" w:rsidTr="00FE486A">
        <w:trPr>
          <w:gridAfter w:val="1"/>
          <w:cnfStyle w:val="000000100000" w:firstRow="0" w:lastRow="0" w:firstColumn="0" w:lastColumn="0" w:oddVBand="0" w:evenVBand="0" w:oddHBand="1" w:evenHBand="0" w:firstRowFirstColumn="0" w:firstRowLastColumn="0" w:lastRowFirstColumn="0" w:lastRowLastColumn="0"/>
          <w:wAfter w:w="122" w:type="pct"/>
          <w:cantSplit/>
          <w:trHeight w:val="1395"/>
        </w:trPr>
        <w:tc>
          <w:tcPr>
            <w:cnfStyle w:val="001000000000" w:firstRow="0" w:lastRow="0" w:firstColumn="1" w:lastColumn="0" w:oddVBand="0" w:evenVBand="0" w:oddHBand="0" w:evenHBand="0" w:firstRowFirstColumn="0" w:firstRowLastColumn="0" w:lastRowFirstColumn="0" w:lastRowLastColumn="0"/>
            <w:tcW w:w="331" w:type="pct"/>
            <w:hideMark/>
          </w:tcPr>
          <w:p w14:paraId="54AF8FA6" w14:textId="77777777" w:rsidR="00361CB0" w:rsidRPr="00976D33" w:rsidRDefault="00361CB0">
            <w:pPr>
              <w:shd w:val="clear" w:color="auto" w:fill="FFFFFF"/>
              <w:spacing w:before="0" w:after="0" w:line="240" w:lineRule="auto"/>
              <w:jc w:val="right"/>
              <w:textAlignment w:val="baseline"/>
              <w:rPr>
                <w:rFonts w:asciiTheme="majorHAnsi" w:eastAsia="Times New Roman" w:hAnsiTheme="majorHAnsi" w:cstheme="majorHAnsi"/>
                <w:color w:val="auto"/>
                <w:sz w:val="18"/>
                <w:szCs w:val="18"/>
              </w:rPr>
            </w:pPr>
            <w:r>
              <w:rPr>
                <w:rFonts w:asciiTheme="majorHAnsi" w:hAnsiTheme="majorHAnsi"/>
                <w:color w:val="auto"/>
                <w:sz w:val="18"/>
              </w:rPr>
              <w:lastRenderedPageBreak/>
              <w:t>5 </w:t>
            </w:r>
          </w:p>
        </w:tc>
        <w:tc>
          <w:tcPr>
            <w:tcW w:w="222" w:type="pct"/>
            <w:textDirection w:val="btLr"/>
            <w:hideMark/>
          </w:tcPr>
          <w:p w14:paraId="6E26C7D1" w14:textId="77777777" w:rsidR="00361CB0" w:rsidRPr="00976D33" w:rsidRDefault="00361CB0">
            <w:pPr>
              <w:shd w:val="clear" w:color="auto" w:fill="FFFFFF"/>
              <w:spacing w:before="0" w:after="0" w:line="240" w:lineRule="auto"/>
              <w:ind w:left="113" w:right="113"/>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22"/>
              </w:rPr>
              <w:t>94 </w:t>
            </w:r>
          </w:p>
        </w:tc>
        <w:tc>
          <w:tcPr>
            <w:tcW w:w="1067" w:type="pct"/>
            <w:gridSpan w:val="2"/>
            <w:hideMark/>
          </w:tcPr>
          <w:p w14:paraId="60CC8812" w14:textId="77777777" w:rsidR="00361CB0" w:rsidRPr="00976D33" w:rsidRDefault="00361CB0">
            <w:pPr>
              <w:shd w:val="clear" w:color="auto" w:fill="FFFFFF"/>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rPr>
              <w:t>Parku Solar Kramovik 100 MW (ankandi i parë)</w:t>
            </w:r>
            <w:r>
              <w:rPr>
                <w:rFonts w:asciiTheme="majorHAnsi" w:hAnsiTheme="majorHAnsi"/>
                <w:color w:val="auto"/>
              </w:rPr>
              <w:t> </w:t>
            </w:r>
          </w:p>
        </w:tc>
        <w:tc>
          <w:tcPr>
            <w:tcW w:w="1258" w:type="pct"/>
            <w:gridSpan w:val="2"/>
            <w:hideMark/>
          </w:tcPr>
          <w:p w14:paraId="218D1127" w14:textId="77777777" w:rsidR="00361CB0" w:rsidRPr="00976D33" w:rsidRDefault="00361CB0" w:rsidP="00AF7BBF">
            <w:pPr>
              <w:numPr>
                <w:ilvl w:val="0"/>
                <w:numId w:val="97"/>
              </w:numPr>
              <w:shd w:val="clear" w:color="auto" w:fill="FFFFFF"/>
              <w:spacing w:before="0" w:after="0" w:line="240" w:lineRule="auto"/>
              <w:ind w:left="735" w:firstLine="0"/>
              <w:jc w:val="left"/>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Cs w:val="20"/>
              </w:rPr>
            </w:pPr>
            <w:r>
              <w:rPr>
                <w:rFonts w:asciiTheme="majorHAnsi" w:hAnsiTheme="majorHAnsi"/>
                <w:color w:val="auto"/>
              </w:rPr>
              <w:t>Dy fusha të linjës 110 kV në NS Kramovik 110/33 kV </w:t>
            </w:r>
          </w:p>
          <w:p w14:paraId="3BD7CD40" w14:textId="77777777" w:rsidR="00361CB0" w:rsidRPr="00976D33" w:rsidRDefault="00361CB0" w:rsidP="00AF7BBF">
            <w:pPr>
              <w:numPr>
                <w:ilvl w:val="0"/>
                <w:numId w:val="97"/>
              </w:numPr>
              <w:shd w:val="clear" w:color="auto" w:fill="FFFFFF"/>
              <w:spacing w:before="0" w:after="0" w:line="240" w:lineRule="auto"/>
              <w:ind w:left="735" w:firstLine="0"/>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Cs w:val="20"/>
              </w:rPr>
            </w:pPr>
            <w:r>
              <w:rPr>
                <w:rFonts w:asciiTheme="majorHAnsi" w:hAnsiTheme="majorHAnsi"/>
                <w:color w:val="auto"/>
              </w:rPr>
              <w:t>Linja dyfishe ASCR 240mm</w:t>
            </w:r>
            <w:r>
              <w:rPr>
                <w:rFonts w:asciiTheme="majorHAnsi" w:hAnsiTheme="majorHAnsi"/>
                <w:color w:val="auto"/>
                <w:sz w:val="16"/>
                <w:vertAlign w:val="superscript"/>
              </w:rPr>
              <w:t>2</w:t>
            </w:r>
            <w:r>
              <w:rPr>
                <w:rFonts w:asciiTheme="majorHAnsi" w:hAnsiTheme="majorHAnsi"/>
                <w:color w:val="auto"/>
              </w:rPr>
              <w:t xml:space="preserve"> me një gjatësi prej 0.35 km </w:t>
            </w:r>
          </w:p>
        </w:tc>
        <w:tc>
          <w:tcPr>
            <w:tcW w:w="1199" w:type="pct"/>
            <w:gridSpan w:val="2"/>
            <w:hideMark/>
          </w:tcPr>
          <w:p w14:paraId="60E9E00C" w14:textId="77777777" w:rsidR="00361CB0" w:rsidRPr="00976D33" w:rsidRDefault="00361CB0">
            <w:pPr>
              <w:shd w:val="clear" w:color="auto" w:fill="FFFFFF"/>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Rritja e kapaciteteve të BRE-ve në përputhje me Strategjinë e Energjisë 2022-2031 </w:t>
            </w:r>
          </w:p>
        </w:tc>
        <w:tc>
          <w:tcPr>
            <w:tcW w:w="801" w:type="pct"/>
            <w:hideMark/>
          </w:tcPr>
          <w:p w14:paraId="0745175C" w14:textId="77777777" w:rsidR="00361CB0" w:rsidRPr="00976D33" w:rsidRDefault="00361CB0">
            <w:pPr>
              <w:shd w:val="clear" w:color="auto" w:fill="FFFFFF"/>
              <w:spacing w:before="0" w:after="0" w:line="240" w:lineRule="auto"/>
              <w:ind w:left="105" w:right="105"/>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2025 </w:t>
            </w:r>
          </w:p>
        </w:tc>
      </w:tr>
      <w:tr w:rsidR="00AA7CDF" w:rsidRPr="00976D33" w14:paraId="6B8EA89C" w14:textId="77777777" w:rsidTr="00FE486A">
        <w:trPr>
          <w:gridAfter w:val="1"/>
          <w:wAfter w:w="122" w:type="pct"/>
          <w:cantSplit/>
          <w:trHeight w:val="1275"/>
        </w:trPr>
        <w:tc>
          <w:tcPr>
            <w:cnfStyle w:val="001000000000" w:firstRow="0" w:lastRow="0" w:firstColumn="1" w:lastColumn="0" w:oddVBand="0" w:evenVBand="0" w:oddHBand="0" w:evenHBand="0" w:firstRowFirstColumn="0" w:firstRowLastColumn="0" w:lastRowFirstColumn="0" w:lastRowLastColumn="0"/>
            <w:tcW w:w="331" w:type="pct"/>
            <w:hideMark/>
          </w:tcPr>
          <w:p w14:paraId="44A3CAE1" w14:textId="77777777" w:rsidR="00361CB0" w:rsidRPr="00976D33" w:rsidRDefault="00361CB0">
            <w:pPr>
              <w:shd w:val="clear" w:color="auto" w:fill="FFFFFF"/>
              <w:spacing w:before="0" w:after="0" w:line="240" w:lineRule="auto"/>
              <w:jc w:val="right"/>
              <w:textAlignment w:val="baseline"/>
              <w:rPr>
                <w:rFonts w:asciiTheme="majorHAnsi" w:eastAsia="Times New Roman" w:hAnsiTheme="majorHAnsi" w:cstheme="majorHAnsi"/>
                <w:color w:val="auto"/>
                <w:sz w:val="18"/>
                <w:szCs w:val="18"/>
              </w:rPr>
            </w:pPr>
            <w:r>
              <w:rPr>
                <w:rFonts w:asciiTheme="majorHAnsi" w:hAnsiTheme="majorHAnsi"/>
                <w:color w:val="auto"/>
              </w:rPr>
              <w:t>6 </w:t>
            </w:r>
          </w:p>
        </w:tc>
        <w:tc>
          <w:tcPr>
            <w:tcW w:w="222" w:type="pct"/>
            <w:textDirection w:val="btLr"/>
            <w:hideMark/>
          </w:tcPr>
          <w:p w14:paraId="5AAAF108" w14:textId="77777777" w:rsidR="00361CB0" w:rsidRPr="00976D33" w:rsidRDefault="00361CB0">
            <w:pPr>
              <w:shd w:val="clear" w:color="auto" w:fill="FFFFFF"/>
              <w:spacing w:before="0" w:after="0" w:line="240" w:lineRule="auto"/>
              <w:ind w:left="113" w:right="113"/>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95 </w:t>
            </w:r>
          </w:p>
        </w:tc>
        <w:tc>
          <w:tcPr>
            <w:tcW w:w="1067" w:type="pct"/>
            <w:gridSpan w:val="2"/>
            <w:hideMark/>
          </w:tcPr>
          <w:p w14:paraId="6AED964C" w14:textId="77777777" w:rsidR="00361CB0" w:rsidRPr="00976D33" w:rsidRDefault="00361CB0">
            <w:pPr>
              <w:shd w:val="clear" w:color="auto" w:fill="FFFFFF"/>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rPr>
              <w:t>BESS 1- Sistemi i ruajtjes së energjisë përmes baterive 45 MW (90 MWh)</w:t>
            </w:r>
            <w:r>
              <w:rPr>
                <w:rFonts w:asciiTheme="majorHAnsi" w:hAnsiTheme="majorHAnsi"/>
                <w:color w:val="auto"/>
              </w:rPr>
              <w:t> </w:t>
            </w:r>
          </w:p>
        </w:tc>
        <w:tc>
          <w:tcPr>
            <w:tcW w:w="1258" w:type="pct"/>
            <w:gridSpan w:val="2"/>
            <w:hideMark/>
          </w:tcPr>
          <w:p w14:paraId="37ABCC02" w14:textId="77777777" w:rsidR="00361CB0" w:rsidRPr="00976D33" w:rsidRDefault="00361CB0" w:rsidP="00AF7BBF">
            <w:pPr>
              <w:numPr>
                <w:ilvl w:val="0"/>
                <w:numId w:val="98"/>
              </w:numPr>
              <w:shd w:val="clear" w:color="auto" w:fill="FFFFFF"/>
              <w:spacing w:before="0" w:after="0" w:line="240" w:lineRule="auto"/>
              <w:ind w:left="735" w:firstLine="0"/>
              <w:jc w:val="left"/>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Cs w:val="20"/>
              </w:rPr>
            </w:pPr>
            <w:r>
              <w:rPr>
                <w:rFonts w:asciiTheme="majorHAnsi" w:hAnsiTheme="majorHAnsi"/>
                <w:color w:val="auto"/>
              </w:rPr>
              <w:t>Fusha 110 kV e linjës 110 kV SS BESS1 </w:t>
            </w:r>
          </w:p>
          <w:p w14:paraId="54BE3FDE" w14:textId="77777777" w:rsidR="00361CB0" w:rsidRPr="00976D33" w:rsidRDefault="00361CB0" w:rsidP="00AF7BBF">
            <w:pPr>
              <w:numPr>
                <w:ilvl w:val="0"/>
                <w:numId w:val="98"/>
              </w:numPr>
              <w:shd w:val="clear" w:color="auto" w:fill="FFFFFF"/>
              <w:spacing w:before="0" w:after="0" w:line="240" w:lineRule="auto"/>
              <w:ind w:left="735" w:firstLine="0"/>
              <w:jc w:val="left"/>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Cs w:val="20"/>
              </w:rPr>
            </w:pPr>
            <w:r>
              <w:rPr>
                <w:rFonts w:asciiTheme="majorHAnsi" w:hAnsiTheme="majorHAnsi"/>
                <w:color w:val="auto"/>
              </w:rPr>
              <w:t>Fusha e linjës kabllore 110 kV në NS Palaj </w:t>
            </w:r>
          </w:p>
          <w:p w14:paraId="21A50B01" w14:textId="77777777" w:rsidR="00361CB0" w:rsidRPr="008C14F9" w:rsidRDefault="00361CB0" w:rsidP="00AF7BBF">
            <w:pPr>
              <w:numPr>
                <w:ilvl w:val="0"/>
                <w:numId w:val="98"/>
              </w:numPr>
              <w:shd w:val="clear" w:color="auto" w:fill="FFFFFF"/>
              <w:spacing w:before="0" w:after="0" w:line="240" w:lineRule="auto"/>
              <w:ind w:left="735" w:firstLine="0"/>
              <w:jc w:val="left"/>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Cs w:val="20"/>
              </w:rPr>
            </w:pPr>
            <w:r>
              <w:rPr>
                <w:rFonts w:asciiTheme="majorHAnsi" w:hAnsiTheme="majorHAnsi"/>
                <w:color w:val="auto"/>
              </w:rPr>
              <w:t>Kabllo 110 kV, XLPE, 1000mm</w:t>
            </w:r>
            <w:r>
              <w:rPr>
                <w:rFonts w:asciiTheme="majorHAnsi" w:hAnsiTheme="majorHAnsi"/>
                <w:color w:val="auto"/>
                <w:sz w:val="16"/>
                <w:vertAlign w:val="superscript"/>
              </w:rPr>
              <w:t>2</w:t>
            </w:r>
            <w:r>
              <w:rPr>
                <w:rFonts w:asciiTheme="majorHAnsi" w:hAnsiTheme="majorHAnsi"/>
                <w:color w:val="auto"/>
              </w:rPr>
              <w:t>, 0.4 km </w:t>
            </w:r>
          </w:p>
        </w:tc>
        <w:tc>
          <w:tcPr>
            <w:tcW w:w="1199" w:type="pct"/>
            <w:gridSpan w:val="2"/>
            <w:hideMark/>
          </w:tcPr>
          <w:p w14:paraId="53A3F9A8" w14:textId="77777777" w:rsidR="00361CB0" w:rsidRPr="00976D33" w:rsidRDefault="00361CB0" w:rsidP="00AF7BBF">
            <w:pPr>
              <w:numPr>
                <w:ilvl w:val="0"/>
                <w:numId w:val="99"/>
              </w:numPr>
              <w:shd w:val="clear" w:color="auto" w:fill="FFFFFF"/>
              <w:spacing w:before="0" w:after="0" w:line="240" w:lineRule="auto"/>
              <w:ind w:firstLine="0"/>
              <w:jc w:val="left"/>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Cs w:val="20"/>
              </w:rPr>
            </w:pPr>
            <w:r>
              <w:rPr>
                <w:rFonts w:asciiTheme="majorHAnsi" w:hAnsiTheme="majorHAnsi"/>
                <w:color w:val="auto"/>
              </w:rPr>
              <w:t>Rritja e rezervës dytësore (aFRR) </w:t>
            </w:r>
          </w:p>
          <w:p w14:paraId="54AD8922" w14:textId="77777777" w:rsidR="00361CB0" w:rsidRPr="00976D33" w:rsidRDefault="00361CB0" w:rsidP="00AF7BBF">
            <w:pPr>
              <w:numPr>
                <w:ilvl w:val="0"/>
                <w:numId w:val="99"/>
              </w:numPr>
              <w:shd w:val="clear" w:color="auto" w:fill="FFFFFF"/>
              <w:spacing w:before="0" w:after="0" w:line="240" w:lineRule="auto"/>
              <w:ind w:firstLine="0"/>
              <w:jc w:val="left"/>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Cs w:val="20"/>
              </w:rPr>
            </w:pPr>
            <w:r>
              <w:rPr>
                <w:rFonts w:asciiTheme="majorHAnsi" w:hAnsiTheme="majorHAnsi"/>
                <w:color w:val="auto"/>
              </w:rPr>
              <w:t>Integrimi i BRE-ve </w:t>
            </w:r>
          </w:p>
        </w:tc>
        <w:tc>
          <w:tcPr>
            <w:tcW w:w="801" w:type="pct"/>
            <w:hideMark/>
          </w:tcPr>
          <w:p w14:paraId="2072B4CC" w14:textId="77777777" w:rsidR="00361CB0" w:rsidRPr="00976D33" w:rsidRDefault="00361CB0">
            <w:pPr>
              <w:shd w:val="clear" w:color="auto" w:fill="FFFFFF"/>
              <w:spacing w:before="0" w:after="0" w:line="240" w:lineRule="auto"/>
              <w:ind w:left="105" w:right="105"/>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2028 </w:t>
            </w:r>
          </w:p>
        </w:tc>
      </w:tr>
      <w:tr w:rsidR="00AA7CDF" w:rsidRPr="00976D33" w14:paraId="77621124" w14:textId="77777777" w:rsidTr="00FE486A">
        <w:trPr>
          <w:gridAfter w:val="1"/>
          <w:cnfStyle w:val="000000100000" w:firstRow="0" w:lastRow="0" w:firstColumn="0" w:lastColumn="0" w:oddVBand="0" w:evenVBand="0" w:oddHBand="1" w:evenHBand="0" w:firstRowFirstColumn="0" w:firstRowLastColumn="0" w:lastRowFirstColumn="0" w:lastRowLastColumn="0"/>
          <w:wAfter w:w="122" w:type="pct"/>
          <w:cantSplit/>
          <w:trHeight w:val="431"/>
        </w:trPr>
        <w:tc>
          <w:tcPr>
            <w:cnfStyle w:val="001000000000" w:firstRow="0" w:lastRow="0" w:firstColumn="1" w:lastColumn="0" w:oddVBand="0" w:evenVBand="0" w:oddHBand="0" w:evenHBand="0" w:firstRowFirstColumn="0" w:firstRowLastColumn="0" w:lastRowFirstColumn="0" w:lastRowLastColumn="0"/>
            <w:tcW w:w="4878" w:type="pct"/>
            <w:gridSpan w:val="9"/>
          </w:tcPr>
          <w:p w14:paraId="5AE752D8" w14:textId="77777777" w:rsidR="00361CB0" w:rsidRPr="00976D33" w:rsidRDefault="00361CB0">
            <w:pPr>
              <w:shd w:val="clear" w:color="auto" w:fill="FFFFFF"/>
              <w:spacing w:before="0" w:after="0" w:line="240" w:lineRule="auto"/>
              <w:ind w:left="105" w:right="105"/>
              <w:jc w:val="center"/>
              <w:textAlignment w:val="baseline"/>
              <w:rPr>
                <w:rFonts w:asciiTheme="majorHAnsi" w:eastAsia="Times New Roman" w:hAnsiTheme="majorHAnsi" w:cstheme="majorHAnsi"/>
                <w:color w:val="auto"/>
                <w:szCs w:val="20"/>
              </w:rPr>
            </w:pPr>
            <w:r>
              <w:rPr>
                <w:rFonts w:asciiTheme="majorHAnsi" w:hAnsiTheme="majorHAnsi"/>
                <w:color w:val="auto"/>
              </w:rPr>
              <w:t>KATEGORIA E PROJEKTIT: Zgjerim efiçient - (2024-2033)</w:t>
            </w:r>
          </w:p>
        </w:tc>
      </w:tr>
      <w:tr w:rsidR="00AA7CDF" w:rsidRPr="00976D33" w14:paraId="0D9DC1D5" w14:textId="77777777" w:rsidTr="00FE486A">
        <w:trPr>
          <w:cantSplit/>
          <w:trHeight w:val="1134"/>
        </w:trPr>
        <w:tc>
          <w:tcPr>
            <w:cnfStyle w:val="001000000000" w:firstRow="0" w:lastRow="0" w:firstColumn="1" w:lastColumn="0" w:oddVBand="0" w:evenVBand="0" w:oddHBand="0" w:evenHBand="0" w:firstRowFirstColumn="0" w:firstRowLastColumn="0" w:lastRowFirstColumn="0" w:lastRowLastColumn="0"/>
            <w:tcW w:w="331" w:type="pct"/>
            <w:hideMark/>
          </w:tcPr>
          <w:p w14:paraId="083888C5" w14:textId="77777777" w:rsidR="00361CB0" w:rsidRPr="00976D33" w:rsidRDefault="00361CB0">
            <w:pPr>
              <w:spacing w:before="0" w:after="0" w:line="240" w:lineRule="auto"/>
              <w:jc w:val="right"/>
              <w:textAlignment w:val="baseline"/>
              <w:rPr>
                <w:rFonts w:asciiTheme="majorHAnsi" w:eastAsia="Times New Roman" w:hAnsiTheme="majorHAnsi" w:cstheme="majorHAnsi"/>
                <w:color w:val="auto"/>
                <w:sz w:val="18"/>
                <w:szCs w:val="18"/>
              </w:rPr>
            </w:pPr>
            <w:r>
              <w:rPr>
                <w:rFonts w:asciiTheme="majorHAnsi" w:hAnsiTheme="majorHAnsi"/>
                <w:color w:val="auto"/>
                <w:sz w:val="18"/>
              </w:rPr>
              <w:t>1 </w:t>
            </w:r>
          </w:p>
        </w:tc>
        <w:tc>
          <w:tcPr>
            <w:tcW w:w="222" w:type="pct"/>
            <w:textDirection w:val="btLr"/>
            <w:hideMark/>
          </w:tcPr>
          <w:p w14:paraId="7BE39640" w14:textId="77777777" w:rsidR="00361CB0" w:rsidRPr="00976D33" w:rsidRDefault="00361CB0">
            <w:pPr>
              <w:spacing w:before="0" w:after="0" w:line="240" w:lineRule="auto"/>
              <w:ind w:left="113" w:right="113"/>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011 </w:t>
            </w:r>
          </w:p>
        </w:tc>
        <w:tc>
          <w:tcPr>
            <w:tcW w:w="1067" w:type="pct"/>
            <w:gridSpan w:val="2"/>
            <w:hideMark/>
          </w:tcPr>
          <w:p w14:paraId="6508074A"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rPr>
              <w:t>Rivitalizimi dhe përforcimi i segmentit të linjës së NS Kosova A-NS Bardhi-NS Ilirida 110 kV</w:t>
            </w:r>
            <w:r>
              <w:rPr>
                <w:rFonts w:asciiTheme="majorHAnsi" w:hAnsiTheme="majorHAnsi"/>
                <w:color w:val="auto"/>
              </w:rPr>
              <w:t> </w:t>
            </w:r>
          </w:p>
        </w:tc>
        <w:tc>
          <w:tcPr>
            <w:tcW w:w="1388" w:type="pct"/>
            <w:gridSpan w:val="3"/>
            <w:hideMark/>
          </w:tcPr>
          <w:p w14:paraId="000C8D69" w14:textId="77777777" w:rsidR="00361CB0" w:rsidRPr="00976D33" w:rsidRDefault="00361CB0" w:rsidP="2867CDA4">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auto"/>
                <w:sz w:val="18"/>
                <w:szCs w:val="18"/>
              </w:rPr>
            </w:pPr>
            <w:r>
              <w:rPr>
                <w:rFonts w:asciiTheme="majorHAnsi" w:hAnsiTheme="majorHAnsi"/>
                <w:color w:val="auto"/>
              </w:rPr>
              <w:t>- Demontimi i linjës ekzistuese me seksion 150mm</w:t>
            </w:r>
            <w:r>
              <w:rPr>
                <w:rFonts w:asciiTheme="majorHAnsi" w:hAnsiTheme="majorHAnsi"/>
                <w:color w:val="auto"/>
                <w:sz w:val="16"/>
                <w:vertAlign w:val="superscript"/>
              </w:rPr>
              <w:t>2</w:t>
            </w:r>
            <w:r>
              <w:rPr>
                <w:rFonts w:asciiTheme="majorHAnsi" w:hAnsiTheme="majorHAnsi"/>
                <w:color w:val="auto"/>
              </w:rPr>
              <w:t>, 30.5 km nga NS Kosova A deri në NS Ilirida (segment me seksion prej 150mm</w:t>
            </w:r>
            <w:r>
              <w:rPr>
                <w:rFonts w:asciiTheme="majorHAnsi" w:hAnsiTheme="majorHAnsi"/>
                <w:color w:val="auto"/>
                <w:sz w:val="16"/>
                <w:vertAlign w:val="superscript"/>
              </w:rPr>
              <w:t>2</w:t>
            </w:r>
            <w:r>
              <w:rPr>
                <w:rFonts w:asciiTheme="majorHAnsi" w:hAnsiTheme="majorHAnsi"/>
                <w:color w:val="auto"/>
              </w:rPr>
              <w:t>, viti 1958); </w:t>
            </w:r>
          </w:p>
          <w:p w14:paraId="7C999B5B"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Ndërtimi i linjës së re dyfishe 29.2 km AlSt, 240 mm</w:t>
            </w:r>
            <w:r>
              <w:rPr>
                <w:rFonts w:asciiTheme="majorHAnsi" w:hAnsiTheme="majorHAnsi"/>
                <w:color w:val="auto"/>
                <w:sz w:val="16"/>
                <w:vertAlign w:val="superscript"/>
              </w:rPr>
              <w:t>2</w:t>
            </w:r>
            <w:r>
              <w:rPr>
                <w:rFonts w:asciiTheme="majorHAnsi" w:hAnsiTheme="majorHAnsi"/>
                <w:color w:val="auto"/>
              </w:rPr>
              <w:t xml:space="preserve"> dhe lidhjes me NS Vushtrri 1 </w:t>
            </w:r>
          </w:p>
          <w:p w14:paraId="2BE9E454"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kabllo dopio 2.24 km, 1000 mm</w:t>
            </w:r>
            <w:r>
              <w:rPr>
                <w:rFonts w:asciiTheme="majorHAnsi" w:hAnsiTheme="majorHAnsi"/>
                <w:color w:val="auto"/>
                <w:sz w:val="16"/>
                <w:vertAlign w:val="superscript"/>
              </w:rPr>
              <w:t>2</w:t>
            </w:r>
            <w:r>
              <w:rPr>
                <w:rFonts w:asciiTheme="majorHAnsi" w:hAnsiTheme="majorHAnsi"/>
                <w:color w:val="auto"/>
              </w:rPr>
              <w:t xml:space="preserve"> nga Kosova A </w:t>
            </w:r>
          </w:p>
          <w:p w14:paraId="46E92BC7"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Kabllo njëfishe 2.4 km nga fundi i linjës OH deri në NS Ilirida. </w:t>
            </w:r>
          </w:p>
          <w:p w14:paraId="7A415325"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- 4 fusha të linjës  prej 110 kV  (Kosova A, Vushtrri 1 dhe tranziti) </w:t>
            </w:r>
          </w:p>
        </w:tc>
        <w:tc>
          <w:tcPr>
            <w:tcW w:w="1870" w:type="pct"/>
            <w:gridSpan w:val="2"/>
            <w:hideMark/>
          </w:tcPr>
          <w:p w14:paraId="371FBB30"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Rritja e kapacitetit transmetues të linjës nga 83 MVA në 2x114 MVA, reduktimi i humbjeve të energjisë, përmbushja e kriterit të sigurisë N-1 për rrjetin 110 kV. </w:t>
            </w:r>
          </w:p>
          <w:p w14:paraId="575CE6F2"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Rritja e sigurisë së baterive për ruajtje të energjisë në NS Palaj </w:t>
            </w:r>
          </w:p>
        </w:tc>
        <w:tc>
          <w:tcPr>
            <w:tcW w:w="122" w:type="pct"/>
            <w:hideMark/>
          </w:tcPr>
          <w:p w14:paraId="2214A8D5" w14:textId="77777777" w:rsidR="00361CB0" w:rsidRPr="00976D33" w:rsidRDefault="00361CB0">
            <w:pPr>
              <w:spacing w:before="0" w:after="0" w:line="240" w:lineRule="auto"/>
              <w:ind w:left="105" w:right="105"/>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2027 </w:t>
            </w:r>
          </w:p>
        </w:tc>
      </w:tr>
      <w:tr w:rsidR="00AA7CDF" w:rsidRPr="00976D33" w14:paraId="3388760F" w14:textId="77777777" w:rsidTr="00FE486A">
        <w:trPr>
          <w:cnfStyle w:val="000000100000" w:firstRow="0" w:lastRow="0" w:firstColumn="0" w:lastColumn="0" w:oddVBand="0" w:evenVBand="0" w:oddHBand="1" w:evenHBand="0" w:firstRowFirstColumn="0" w:firstRowLastColumn="0" w:lastRowFirstColumn="0" w:lastRowLastColumn="0"/>
          <w:cantSplit/>
          <w:trHeight w:val="1935"/>
        </w:trPr>
        <w:tc>
          <w:tcPr>
            <w:cnfStyle w:val="001000000000" w:firstRow="0" w:lastRow="0" w:firstColumn="1" w:lastColumn="0" w:oddVBand="0" w:evenVBand="0" w:oddHBand="0" w:evenHBand="0" w:firstRowFirstColumn="0" w:firstRowLastColumn="0" w:lastRowFirstColumn="0" w:lastRowLastColumn="0"/>
            <w:tcW w:w="331" w:type="pct"/>
            <w:hideMark/>
          </w:tcPr>
          <w:p w14:paraId="7821C2AC" w14:textId="77777777" w:rsidR="00361CB0" w:rsidRPr="00976D33" w:rsidRDefault="00361CB0">
            <w:pPr>
              <w:spacing w:before="0" w:after="0" w:line="240" w:lineRule="auto"/>
              <w:jc w:val="right"/>
              <w:textAlignment w:val="baseline"/>
              <w:rPr>
                <w:rFonts w:asciiTheme="majorHAnsi" w:eastAsia="Times New Roman" w:hAnsiTheme="majorHAnsi" w:cstheme="majorHAnsi"/>
                <w:color w:val="auto"/>
                <w:sz w:val="18"/>
                <w:szCs w:val="18"/>
              </w:rPr>
            </w:pPr>
            <w:r>
              <w:rPr>
                <w:rFonts w:asciiTheme="majorHAnsi" w:hAnsiTheme="majorHAnsi"/>
                <w:color w:val="auto"/>
                <w:sz w:val="18"/>
              </w:rPr>
              <w:t>2 </w:t>
            </w:r>
          </w:p>
        </w:tc>
        <w:tc>
          <w:tcPr>
            <w:tcW w:w="222" w:type="pct"/>
            <w:textDirection w:val="btLr"/>
            <w:hideMark/>
          </w:tcPr>
          <w:p w14:paraId="42362676" w14:textId="77777777" w:rsidR="00361CB0" w:rsidRPr="00976D33" w:rsidRDefault="00361CB0">
            <w:pPr>
              <w:spacing w:before="0" w:after="0" w:line="240" w:lineRule="auto"/>
              <w:ind w:left="113" w:right="113"/>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008/6 </w:t>
            </w:r>
          </w:p>
        </w:tc>
        <w:tc>
          <w:tcPr>
            <w:tcW w:w="1067" w:type="pct"/>
            <w:gridSpan w:val="2"/>
            <w:hideMark/>
          </w:tcPr>
          <w:p w14:paraId="326E5EF3"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rPr>
              <w:t>Rivitalizimi i linjës 110 kV: L127 NS Prizren 1 - NS Prizren 3</w:t>
            </w:r>
            <w:r>
              <w:rPr>
                <w:rFonts w:asciiTheme="majorHAnsi" w:hAnsiTheme="majorHAnsi"/>
                <w:color w:val="auto"/>
              </w:rPr>
              <w:t> </w:t>
            </w:r>
          </w:p>
        </w:tc>
        <w:tc>
          <w:tcPr>
            <w:tcW w:w="1388" w:type="pct"/>
            <w:gridSpan w:val="3"/>
            <w:hideMark/>
          </w:tcPr>
          <w:p w14:paraId="4F3D6133"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Zëvendësimi i përçuesit nga 150/25mm</w:t>
            </w:r>
            <w:r>
              <w:rPr>
                <w:rFonts w:asciiTheme="majorHAnsi" w:hAnsiTheme="majorHAnsi"/>
                <w:color w:val="auto"/>
                <w:sz w:val="16"/>
                <w:vertAlign w:val="superscript"/>
              </w:rPr>
              <w:t>2</w:t>
            </w:r>
            <w:r>
              <w:rPr>
                <w:rFonts w:asciiTheme="majorHAnsi" w:hAnsiTheme="majorHAnsi"/>
                <w:color w:val="auto"/>
              </w:rPr>
              <w:t xml:space="preserve"> në HW 170mm</w:t>
            </w:r>
            <w:r>
              <w:rPr>
                <w:rFonts w:asciiTheme="majorHAnsi" w:hAnsiTheme="majorHAnsi"/>
                <w:color w:val="auto"/>
                <w:sz w:val="16"/>
                <w:vertAlign w:val="superscript"/>
              </w:rPr>
              <w:t>2</w:t>
            </w:r>
            <w:r>
              <w:rPr>
                <w:rFonts w:asciiTheme="majorHAnsi" w:hAnsiTheme="majorHAnsi"/>
                <w:color w:val="auto"/>
              </w:rPr>
              <w:t xml:space="preserve"> në gjatësi prej 4.69 km nga NS Prizreni 1 deri në NS Prizreni 3. Përçuesi është marrë nga linja Prizren 1-Prizren 2, e cila është demontuar dhe shndërruar në linjë dyshe </w:t>
            </w:r>
          </w:p>
        </w:tc>
        <w:tc>
          <w:tcPr>
            <w:tcW w:w="1870" w:type="pct"/>
            <w:gridSpan w:val="2"/>
            <w:hideMark/>
          </w:tcPr>
          <w:p w14:paraId="00C6C1F7"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Rritja e kapacitetit transmetues të linjës nga 83 MVA në 114 MVA me synim rritjen e kapacitetit transmetues dhe përmbushjen e kriterit N-1. </w:t>
            </w:r>
          </w:p>
        </w:tc>
        <w:tc>
          <w:tcPr>
            <w:tcW w:w="122" w:type="pct"/>
            <w:hideMark/>
          </w:tcPr>
          <w:p w14:paraId="640BCB70" w14:textId="77777777" w:rsidR="00361CB0" w:rsidRPr="00976D33" w:rsidRDefault="00361CB0">
            <w:pPr>
              <w:spacing w:before="0" w:after="0" w:line="240" w:lineRule="auto"/>
              <w:ind w:left="105" w:right="105"/>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2028 </w:t>
            </w:r>
          </w:p>
        </w:tc>
      </w:tr>
      <w:tr w:rsidR="00AA7CDF" w:rsidRPr="00976D33" w14:paraId="2076278A" w14:textId="77777777" w:rsidTr="00FE486A">
        <w:trPr>
          <w:cantSplit/>
          <w:trHeight w:val="1134"/>
        </w:trPr>
        <w:tc>
          <w:tcPr>
            <w:cnfStyle w:val="001000000000" w:firstRow="0" w:lastRow="0" w:firstColumn="1" w:lastColumn="0" w:oddVBand="0" w:evenVBand="0" w:oddHBand="0" w:evenHBand="0" w:firstRowFirstColumn="0" w:firstRowLastColumn="0" w:lastRowFirstColumn="0" w:lastRowLastColumn="0"/>
            <w:tcW w:w="331" w:type="pct"/>
            <w:hideMark/>
          </w:tcPr>
          <w:p w14:paraId="1525F1BF" w14:textId="77777777" w:rsidR="00361CB0" w:rsidRPr="00976D33" w:rsidRDefault="00361CB0">
            <w:pPr>
              <w:spacing w:before="0" w:after="0" w:line="240" w:lineRule="auto"/>
              <w:jc w:val="right"/>
              <w:textAlignment w:val="baseline"/>
              <w:rPr>
                <w:rFonts w:asciiTheme="majorHAnsi" w:eastAsia="Times New Roman" w:hAnsiTheme="majorHAnsi" w:cstheme="majorHAnsi"/>
                <w:color w:val="auto"/>
                <w:sz w:val="18"/>
                <w:szCs w:val="18"/>
              </w:rPr>
            </w:pPr>
            <w:r>
              <w:rPr>
                <w:rFonts w:asciiTheme="majorHAnsi" w:hAnsiTheme="majorHAnsi"/>
                <w:color w:val="auto"/>
                <w:sz w:val="18"/>
              </w:rPr>
              <w:t>3 </w:t>
            </w:r>
          </w:p>
        </w:tc>
        <w:tc>
          <w:tcPr>
            <w:tcW w:w="222" w:type="pct"/>
            <w:textDirection w:val="btLr"/>
            <w:hideMark/>
          </w:tcPr>
          <w:p w14:paraId="6BB7ED1F" w14:textId="77777777" w:rsidR="00361CB0" w:rsidRPr="00976D33" w:rsidRDefault="00361CB0">
            <w:pPr>
              <w:spacing w:before="0" w:after="0" w:line="240" w:lineRule="auto"/>
              <w:ind w:left="113" w:right="113"/>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55 </w:t>
            </w:r>
          </w:p>
        </w:tc>
        <w:tc>
          <w:tcPr>
            <w:tcW w:w="1067" w:type="pct"/>
            <w:gridSpan w:val="2"/>
            <w:hideMark/>
          </w:tcPr>
          <w:p w14:paraId="0A10BC12"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rPr>
              <w:t>Rivitalizimi i linjës 110 kV: L127 NS Bibaj - NS Kastriot</w:t>
            </w:r>
            <w:r>
              <w:rPr>
                <w:rFonts w:asciiTheme="majorHAnsi" w:hAnsiTheme="majorHAnsi"/>
                <w:color w:val="auto"/>
              </w:rPr>
              <w:t> </w:t>
            </w:r>
          </w:p>
        </w:tc>
        <w:tc>
          <w:tcPr>
            <w:tcW w:w="1388" w:type="pct"/>
            <w:gridSpan w:val="3"/>
            <w:hideMark/>
          </w:tcPr>
          <w:p w14:paraId="3F0BB11E"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Demontimi i pjesës së linjës ekzistuese me seksion 150mm</w:t>
            </w:r>
            <w:r>
              <w:rPr>
                <w:rFonts w:asciiTheme="majorHAnsi" w:hAnsiTheme="majorHAnsi"/>
                <w:color w:val="auto"/>
                <w:sz w:val="16"/>
                <w:vertAlign w:val="superscript"/>
              </w:rPr>
              <w:t>2</w:t>
            </w:r>
            <w:r>
              <w:rPr>
                <w:rFonts w:asciiTheme="majorHAnsi" w:hAnsiTheme="majorHAnsi"/>
                <w:color w:val="auto"/>
              </w:rPr>
              <w:t xml:space="preserve"> nga NS Bibaj (Ferizaj 1) në pikën kyçëse të NS Kastrioti (Ferizaj 3) me gjatësi 6.7 km. </w:t>
            </w:r>
          </w:p>
          <w:p w14:paraId="3E9696AD"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Ndërtimi i linjës së re ASCR 6.7 km, 240mm2 </w:t>
            </w:r>
          </w:p>
        </w:tc>
        <w:tc>
          <w:tcPr>
            <w:tcW w:w="1870" w:type="pct"/>
            <w:gridSpan w:val="2"/>
            <w:hideMark/>
          </w:tcPr>
          <w:p w14:paraId="321F4F54"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Rritja e kapacitetit transmetues të linjës nga 83 MVA në 114 MVA, reduktimi i humbjeve të energjisë në rrjetin 110 kV. </w:t>
            </w:r>
          </w:p>
        </w:tc>
        <w:tc>
          <w:tcPr>
            <w:tcW w:w="122" w:type="pct"/>
            <w:hideMark/>
          </w:tcPr>
          <w:p w14:paraId="7633133E" w14:textId="77777777" w:rsidR="00361CB0" w:rsidRPr="00976D33" w:rsidRDefault="00361CB0">
            <w:pPr>
              <w:spacing w:before="0" w:after="0" w:line="240" w:lineRule="auto"/>
              <w:ind w:left="105" w:right="105"/>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2029 </w:t>
            </w:r>
          </w:p>
        </w:tc>
      </w:tr>
      <w:tr w:rsidR="00AA7CDF" w:rsidRPr="00976D33" w14:paraId="4C8118A2" w14:textId="77777777" w:rsidTr="00FE486A">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31" w:type="pct"/>
            <w:hideMark/>
          </w:tcPr>
          <w:p w14:paraId="6FD78FE7" w14:textId="77777777" w:rsidR="00361CB0" w:rsidRPr="00976D33" w:rsidRDefault="00361CB0">
            <w:pPr>
              <w:spacing w:before="0" w:after="0" w:line="240" w:lineRule="auto"/>
              <w:jc w:val="right"/>
              <w:textAlignment w:val="baseline"/>
              <w:rPr>
                <w:rFonts w:asciiTheme="majorHAnsi" w:eastAsia="Times New Roman" w:hAnsiTheme="majorHAnsi" w:cstheme="majorHAnsi"/>
                <w:color w:val="auto"/>
                <w:sz w:val="18"/>
                <w:szCs w:val="18"/>
              </w:rPr>
            </w:pPr>
            <w:r>
              <w:rPr>
                <w:rFonts w:asciiTheme="majorHAnsi" w:hAnsiTheme="majorHAnsi"/>
                <w:color w:val="auto"/>
                <w:sz w:val="18"/>
              </w:rPr>
              <w:lastRenderedPageBreak/>
              <w:t>4 </w:t>
            </w:r>
          </w:p>
        </w:tc>
        <w:tc>
          <w:tcPr>
            <w:tcW w:w="222" w:type="pct"/>
            <w:textDirection w:val="btLr"/>
            <w:hideMark/>
          </w:tcPr>
          <w:p w14:paraId="3BB888A7" w14:textId="77777777" w:rsidR="00361CB0" w:rsidRPr="00976D33" w:rsidRDefault="00361CB0">
            <w:pPr>
              <w:spacing w:before="0" w:after="0" w:line="240" w:lineRule="auto"/>
              <w:ind w:left="113" w:right="113"/>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56 </w:t>
            </w:r>
          </w:p>
        </w:tc>
        <w:tc>
          <w:tcPr>
            <w:tcW w:w="1067" w:type="pct"/>
            <w:gridSpan w:val="2"/>
            <w:hideMark/>
          </w:tcPr>
          <w:p w14:paraId="315F52B3"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rPr>
              <w:t>Rivitalizimi i linjës 110 kV: L106 NS Ferizaj 2-NS Sharr</w:t>
            </w:r>
            <w:r>
              <w:rPr>
                <w:rFonts w:asciiTheme="majorHAnsi" w:hAnsiTheme="majorHAnsi"/>
                <w:color w:val="auto"/>
              </w:rPr>
              <w:t> </w:t>
            </w:r>
          </w:p>
        </w:tc>
        <w:tc>
          <w:tcPr>
            <w:tcW w:w="1388" w:type="pct"/>
            <w:gridSpan w:val="3"/>
            <w:hideMark/>
          </w:tcPr>
          <w:p w14:paraId="30F46350" w14:textId="77777777" w:rsidR="00361CB0" w:rsidRPr="00976D33" w:rsidRDefault="00361CB0" w:rsidP="2867CDA4">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auto"/>
                <w:sz w:val="18"/>
                <w:szCs w:val="18"/>
              </w:rPr>
            </w:pPr>
            <w:r>
              <w:rPr>
                <w:rFonts w:asciiTheme="majorHAnsi" w:hAnsiTheme="majorHAnsi"/>
                <w:color w:val="auto"/>
              </w:rPr>
              <w:t>- Demontimi i linjës ekzistuese me seksion prej150mm</w:t>
            </w:r>
            <w:r>
              <w:rPr>
                <w:rFonts w:asciiTheme="majorHAnsi" w:hAnsiTheme="majorHAnsi"/>
                <w:color w:val="auto"/>
                <w:sz w:val="16"/>
                <w:vertAlign w:val="superscript"/>
              </w:rPr>
              <w:t>2</w:t>
            </w:r>
            <w:r>
              <w:rPr>
                <w:rFonts w:asciiTheme="majorHAnsi" w:hAnsiTheme="majorHAnsi"/>
                <w:color w:val="auto"/>
              </w:rPr>
              <w:t xml:space="preserve">, 28.7 km nga NS Ferizaj </w:t>
            </w:r>
            <w:r>
              <w:rPr>
                <w:rFonts w:asciiTheme="majorHAnsi" w:hAnsiTheme="majorHAnsi"/>
                <w:color w:val="auto"/>
                <w:sz w:val="16"/>
                <w:vertAlign w:val="superscript"/>
              </w:rPr>
              <w:t>2</w:t>
            </w:r>
            <w:r>
              <w:rPr>
                <w:rFonts w:asciiTheme="majorHAnsi" w:hAnsiTheme="majorHAnsi"/>
                <w:color w:val="auto"/>
              </w:rPr>
              <w:t xml:space="preserve"> në NS Sharr (segmenti me seksionin prej 150mm</w:t>
            </w:r>
            <w:r>
              <w:rPr>
                <w:rFonts w:asciiTheme="majorHAnsi" w:hAnsiTheme="majorHAnsi"/>
                <w:color w:val="auto"/>
                <w:sz w:val="16"/>
                <w:vertAlign w:val="superscript"/>
              </w:rPr>
              <w:t>2</w:t>
            </w:r>
            <w:r>
              <w:rPr>
                <w:rFonts w:asciiTheme="majorHAnsi" w:hAnsiTheme="majorHAnsi"/>
                <w:color w:val="auto"/>
              </w:rPr>
              <w:t>, viti 1953); </w:t>
            </w:r>
          </w:p>
          <w:p w14:paraId="2A92B613"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Ndërtimi i linjës së re ASCR 28.7 km, 240 mm 2</w:t>
            </w:r>
            <w:r>
              <w:rPr>
                <w:rFonts w:asciiTheme="majorHAnsi" w:hAnsiTheme="majorHAnsi"/>
                <w:color w:val="auto"/>
                <w:sz w:val="16"/>
              </w:rPr>
              <w:t> </w:t>
            </w:r>
          </w:p>
        </w:tc>
        <w:tc>
          <w:tcPr>
            <w:tcW w:w="1870" w:type="pct"/>
            <w:gridSpan w:val="2"/>
            <w:hideMark/>
          </w:tcPr>
          <w:p w14:paraId="595FD1B7"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Rritja e kapacitetit transmetues të linjës nga 83 MVA në 114 MVA, reduktimi i humbjeve të energjisë në rrjetin 110 kV. </w:t>
            </w:r>
          </w:p>
        </w:tc>
        <w:tc>
          <w:tcPr>
            <w:tcW w:w="122" w:type="pct"/>
            <w:hideMark/>
          </w:tcPr>
          <w:p w14:paraId="4BFD3903" w14:textId="77777777" w:rsidR="00361CB0" w:rsidRPr="00976D33" w:rsidRDefault="00361CB0">
            <w:pPr>
              <w:spacing w:before="0" w:after="0" w:line="240" w:lineRule="auto"/>
              <w:ind w:left="105" w:right="105"/>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2029 </w:t>
            </w:r>
          </w:p>
        </w:tc>
      </w:tr>
      <w:tr w:rsidR="00AA7CDF" w:rsidRPr="00976D33" w14:paraId="387FC7D9" w14:textId="77777777" w:rsidTr="00FE486A">
        <w:trPr>
          <w:cantSplit/>
          <w:trHeight w:val="1134"/>
        </w:trPr>
        <w:tc>
          <w:tcPr>
            <w:cnfStyle w:val="001000000000" w:firstRow="0" w:lastRow="0" w:firstColumn="1" w:lastColumn="0" w:oddVBand="0" w:evenVBand="0" w:oddHBand="0" w:evenHBand="0" w:firstRowFirstColumn="0" w:firstRowLastColumn="0" w:lastRowFirstColumn="0" w:lastRowLastColumn="0"/>
            <w:tcW w:w="331" w:type="pct"/>
            <w:hideMark/>
          </w:tcPr>
          <w:p w14:paraId="0F9AD1F3" w14:textId="77777777" w:rsidR="00361CB0" w:rsidRPr="00976D33" w:rsidRDefault="00361CB0">
            <w:pPr>
              <w:spacing w:before="0" w:after="0" w:line="240" w:lineRule="auto"/>
              <w:jc w:val="right"/>
              <w:textAlignment w:val="baseline"/>
              <w:rPr>
                <w:rFonts w:asciiTheme="majorHAnsi" w:eastAsia="Times New Roman" w:hAnsiTheme="majorHAnsi" w:cstheme="majorHAnsi"/>
                <w:color w:val="auto"/>
                <w:sz w:val="18"/>
                <w:szCs w:val="18"/>
              </w:rPr>
            </w:pPr>
            <w:r>
              <w:rPr>
                <w:rFonts w:asciiTheme="majorHAnsi" w:hAnsiTheme="majorHAnsi"/>
                <w:color w:val="auto"/>
                <w:sz w:val="18"/>
              </w:rPr>
              <w:t>5 </w:t>
            </w:r>
          </w:p>
        </w:tc>
        <w:tc>
          <w:tcPr>
            <w:tcW w:w="222" w:type="pct"/>
            <w:textDirection w:val="btLr"/>
            <w:hideMark/>
          </w:tcPr>
          <w:p w14:paraId="41751B9D" w14:textId="77777777" w:rsidR="00361CB0" w:rsidRPr="00976D33" w:rsidRDefault="00361CB0">
            <w:pPr>
              <w:spacing w:before="0" w:after="0" w:line="240" w:lineRule="auto"/>
              <w:ind w:left="113" w:right="113"/>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97 </w:t>
            </w:r>
          </w:p>
        </w:tc>
        <w:tc>
          <w:tcPr>
            <w:tcW w:w="1067" w:type="pct"/>
            <w:gridSpan w:val="2"/>
            <w:hideMark/>
          </w:tcPr>
          <w:p w14:paraId="44B122B0"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rPr>
              <w:t>Rivitalizimi i linjës 110 kV: NS Trepça-NSS Vallaq</w:t>
            </w:r>
            <w:r>
              <w:rPr>
                <w:rFonts w:asciiTheme="majorHAnsi" w:hAnsiTheme="majorHAnsi"/>
                <w:color w:val="auto"/>
              </w:rPr>
              <w:t> </w:t>
            </w:r>
          </w:p>
        </w:tc>
        <w:tc>
          <w:tcPr>
            <w:tcW w:w="1388" w:type="pct"/>
            <w:gridSpan w:val="3"/>
            <w:hideMark/>
          </w:tcPr>
          <w:p w14:paraId="5A8C8CCF"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Rivitalizimi i linjës 110 kV me gjatësi 11.4 km duke ndryshuar përcjellësit nga 150mm</w:t>
            </w:r>
            <w:r>
              <w:rPr>
                <w:rFonts w:asciiTheme="majorHAnsi" w:hAnsiTheme="majorHAnsi"/>
                <w:color w:val="auto"/>
                <w:sz w:val="16"/>
                <w:vertAlign w:val="superscript"/>
              </w:rPr>
              <w:t>2</w:t>
            </w:r>
            <w:r>
              <w:rPr>
                <w:rFonts w:asciiTheme="majorHAnsi" w:hAnsiTheme="majorHAnsi"/>
                <w:color w:val="auto"/>
              </w:rPr>
              <w:t xml:space="preserve"> në 240 mm</w:t>
            </w:r>
            <w:r>
              <w:rPr>
                <w:rFonts w:asciiTheme="majorHAnsi" w:hAnsiTheme="majorHAnsi"/>
                <w:color w:val="auto"/>
                <w:sz w:val="16"/>
                <w:vertAlign w:val="superscript"/>
              </w:rPr>
              <w:t>2</w:t>
            </w:r>
            <w:r>
              <w:rPr>
                <w:rFonts w:asciiTheme="majorHAnsi" w:hAnsiTheme="majorHAnsi"/>
                <w:color w:val="auto"/>
                <w:sz w:val="16"/>
              </w:rPr>
              <w:t> </w:t>
            </w:r>
          </w:p>
        </w:tc>
        <w:tc>
          <w:tcPr>
            <w:tcW w:w="1870" w:type="pct"/>
            <w:gridSpan w:val="2"/>
            <w:hideMark/>
          </w:tcPr>
          <w:p w14:paraId="5D02B6FE"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Reduktimi i humbjeve në rrjetin 110 kV </w:t>
            </w:r>
          </w:p>
          <w:p w14:paraId="4C33074A"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Rritja e kapacitetit transmetues të linjës nga 83 MVA në 114 MVA </w:t>
            </w:r>
          </w:p>
        </w:tc>
        <w:tc>
          <w:tcPr>
            <w:tcW w:w="122" w:type="pct"/>
            <w:hideMark/>
          </w:tcPr>
          <w:p w14:paraId="5CAB73A1" w14:textId="77777777" w:rsidR="00361CB0" w:rsidRPr="00976D33" w:rsidRDefault="00361CB0">
            <w:pPr>
              <w:spacing w:before="0" w:after="0" w:line="240" w:lineRule="auto"/>
              <w:ind w:left="105" w:right="105"/>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2030 </w:t>
            </w:r>
          </w:p>
        </w:tc>
      </w:tr>
      <w:tr w:rsidR="00AA7CDF" w:rsidRPr="00976D33" w14:paraId="6B4852A9" w14:textId="77777777" w:rsidTr="00FE486A">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31" w:type="pct"/>
            <w:hideMark/>
          </w:tcPr>
          <w:p w14:paraId="192299F0" w14:textId="77777777" w:rsidR="00361CB0" w:rsidRPr="00976D33" w:rsidRDefault="00361CB0">
            <w:pPr>
              <w:spacing w:before="0" w:after="0" w:line="240" w:lineRule="auto"/>
              <w:jc w:val="right"/>
              <w:textAlignment w:val="baseline"/>
              <w:rPr>
                <w:rFonts w:asciiTheme="majorHAnsi" w:eastAsia="Times New Roman" w:hAnsiTheme="majorHAnsi" w:cstheme="majorHAnsi"/>
                <w:color w:val="auto"/>
                <w:sz w:val="18"/>
                <w:szCs w:val="18"/>
              </w:rPr>
            </w:pPr>
            <w:r>
              <w:rPr>
                <w:rFonts w:asciiTheme="majorHAnsi" w:hAnsiTheme="majorHAnsi"/>
                <w:color w:val="auto"/>
                <w:sz w:val="18"/>
              </w:rPr>
              <w:t>6 </w:t>
            </w:r>
          </w:p>
        </w:tc>
        <w:tc>
          <w:tcPr>
            <w:tcW w:w="222" w:type="pct"/>
            <w:textDirection w:val="btLr"/>
            <w:hideMark/>
          </w:tcPr>
          <w:p w14:paraId="5F785850" w14:textId="77777777" w:rsidR="00361CB0" w:rsidRPr="00976D33" w:rsidRDefault="00361CB0">
            <w:pPr>
              <w:spacing w:before="0" w:after="0" w:line="240" w:lineRule="auto"/>
              <w:ind w:left="113" w:right="113"/>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96 </w:t>
            </w:r>
          </w:p>
        </w:tc>
        <w:tc>
          <w:tcPr>
            <w:tcW w:w="1067" w:type="pct"/>
            <w:gridSpan w:val="2"/>
            <w:hideMark/>
          </w:tcPr>
          <w:p w14:paraId="26E0E3E2"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rPr>
              <w:t>Rivitalizimi i linjës 110 kV: NS Shtime-NS Theranda</w:t>
            </w:r>
            <w:r>
              <w:rPr>
                <w:rFonts w:asciiTheme="majorHAnsi" w:hAnsiTheme="majorHAnsi"/>
                <w:color w:val="auto"/>
              </w:rPr>
              <w:t> </w:t>
            </w:r>
          </w:p>
        </w:tc>
        <w:tc>
          <w:tcPr>
            <w:tcW w:w="1388" w:type="pct"/>
            <w:gridSpan w:val="3"/>
            <w:hideMark/>
          </w:tcPr>
          <w:p w14:paraId="1C932162"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Rivitalizimi i linjës 110 kV me gjatësi 24.4 km duke ndryshuar përcjellësit nga 150mm</w:t>
            </w:r>
            <w:r>
              <w:rPr>
                <w:rFonts w:asciiTheme="majorHAnsi" w:hAnsiTheme="majorHAnsi"/>
                <w:color w:val="auto"/>
                <w:sz w:val="16"/>
                <w:vertAlign w:val="superscript"/>
              </w:rPr>
              <w:t>2</w:t>
            </w:r>
            <w:r>
              <w:rPr>
                <w:rFonts w:asciiTheme="majorHAnsi" w:hAnsiTheme="majorHAnsi"/>
                <w:color w:val="auto"/>
              </w:rPr>
              <w:t xml:space="preserve"> në 240 mm</w:t>
            </w:r>
            <w:r>
              <w:rPr>
                <w:rFonts w:asciiTheme="majorHAnsi" w:hAnsiTheme="majorHAnsi"/>
                <w:color w:val="auto"/>
                <w:sz w:val="16"/>
                <w:vertAlign w:val="superscript"/>
              </w:rPr>
              <w:t>2</w:t>
            </w:r>
            <w:r>
              <w:rPr>
                <w:rFonts w:asciiTheme="majorHAnsi" w:hAnsiTheme="majorHAnsi"/>
                <w:color w:val="auto"/>
                <w:sz w:val="16"/>
              </w:rPr>
              <w:t> </w:t>
            </w:r>
          </w:p>
        </w:tc>
        <w:tc>
          <w:tcPr>
            <w:tcW w:w="1870" w:type="pct"/>
            <w:gridSpan w:val="2"/>
            <w:hideMark/>
          </w:tcPr>
          <w:p w14:paraId="53745CA1"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Reduktimi i humbjeve në rrjetin 110 kV </w:t>
            </w:r>
          </w:p>
          <w:p w14:paraId="321276E3"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Rritja e kapacitetit transmetues të linjës nga 83 MVA në 114 MVA </w:t>
            </w:r>
          </w:p>
        </w:tc>
        <w:tc>
          <w:tcPr>
            <w:tcW w:w="122" w:type="pct"/>
            <w:hideMark/>
          </w:tcPr>
          <w:p w14:paraId="0967B99C" w14:textId="77777777" w:rsidR="00361CB0" w:rsidRPr="00976D33" w:rsidRDefault="00361CB0">
            <w:pPr>
              <w:spacing w:before="0" w:after="0" w:line="240" w:lineRule="auto"/>
              <w:ind w:left="105" w:right="105"/>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2031 </w:t>
            </w:r>
          </w:p>
        </w:tc>
      </w:tr>
      <w:tr w:rsidR="00AA7CDF" w:rsidRPr="00976D33" w14:paraId="7D9995CC" w14:textId="77777777" w:rsidTr="00FE486A">
        <w:trPr>
          <w:cantSplit/>
          <w:trHeight w:val="1134"/>
        </w:trPr>
        <w:tc>
          <w:tcPr>
            <w:cnfStyle w:val="001000000000" w:firstRow="0" w:lastRow="0" w:firstColumn="1" w:lastColumn="0" w:oddVBand="0" w:evenVBand="0" w:oddHBand="0" w:evenHBand="0" w:firstRowFirstColumn="0" w:firstRowLastColumn="0" w:lastRowFirstColumn="0" w:lastRowLastColumn="0"/>
            <w:tcW w:w="331" w:type="pct"/>
            <w:hideMark/>
          </w:tcPr>
          <w:p w14:paraId="5098180D" w14:textId="77777777" w:rsidR="00361CB0" w:rsidRPr="00976D33" w:rsidRDefault="00361CB0">
            <w:pPr>
              <w:spacing w:before="0" w:after="0" w:line="240" w:lineRule="auto"/>
              <w:jc w:val="right"/>
              <w:textAlignment w:val="baseline"/>
              <w:rPr>
                <w:rFonts w:asciiTheme="majorHAnsi" w:eastAsia="Times New Roman" w:hAnsiTheme="majorHAnsi" w:cstheme="majorHAnsi"/>
                <w:color w:val="auto"/>
                <w:sz w:val="18"/>
                <w:szCs w:val="18"/>
              </w:rPr>
            </w:pPr>
            <w:r>
              <w:rPr>
                <w:rFonts w:asciiTheme="majorHAnsi" w:hAnsiTheme="majorHAnsi"/>
                <w:color w:val="auto"/>
                <w:sz w:val="18"/>
              </w:rPr>
              <w:t>7 </w:t>
            </w:r>
          </w:p>
        </w:tc>
        <w:tc>
          <w:tcPr>
            <w:tcW w:w="222" w:type="pct"/>
            <w:textDirection w:val="btLr"/>
            <w:hideMark/>
          </w:tcPr>
          <w:p w14:paraId="75DF91E5" w14:textId="77777777" w:rsidR="00361CB0" w:rsidRPr="00976D33" w:rsidRDefault="00361CB0">
            <w:pPr>
              <w:spacing w:before="0" w:after="0" w:line="240" w:lineRule="auto"/>
              <w:ind w:left="113" w:right="113"/>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97 </w:t>
            </w:r>
          </w:p>
        </w:tc>
        <w:tc>
          <w:tcPr>
            <w:tcW w:w="1067" w:type="pct"/>
            <w:gridSpan w:val="2"/>
            <w:hideMark/>
          </w:tcPr>
          <w:p w14:paraId="1CED02F8"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rPr>
              <w:t>Rivitalizimi i linjës 110 kV: NS Skenderaj-Transit </w:t>
            </w:r>
            <w:r>
              <w:rPr>
                <w:rFonts w:asciiTheme="majorHAnsi" w:hAnsiTheme="majorHAnsi"/>
                <w:color w:val="auto"/>
              </w:rPr>
              <w:t> </w:t>
            </w:r>
          </w:p>
        </w:tc>
        <w:tc>
          <w:tcPr>
            <w:tcW w:w="1388" w:type="pct"/>
            <w:gridSpan w:val="3"/>
            <w:hideMark/>
          </w:tcPr>
          <w:p w14:paraId="4B979279"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Rivitalizimi i linjës 110 kV me gjatësi 9 km, duke ndryshuar përcjellësit nga 150mm2 në 240mm2 në segmentin e linjës Skenderaj-Transit, pjesa me seksionin 150mm</w:t>
            </w:r>
            <w:r>
              <w:rPr>
                <w:rFonts w:asciiTheme="majorHAnsi" w:hAnsiTheme="majorHAnsi"/>
                <w:color w:val="auto"/>
                <w:vertAlign w:val="superscript"/>
              </w:rPr>
              <w:t>2</w:t>
            </w:r>
            <w:r>
              <w:rPr>
                <w:rFonts w:asciiTheme="majorHAnsi" w:hAnsiTheme="majorHAnsi"/>
                <w:color w:val="auto"/>
              </w:rPr>
              <w:t>. </w:t>
            </w:r>
          </w:p>
        </w:tc>
        <w:tc>
          <w:tcPr>
            <w:tcW w:w="1870" w:type="pct"/>
            <w:gridSpan w:val="2"/>
            <w:hideMark/>
          </w:tcPr>
          <w:p w14:paraId="10DB1682"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Reduktimi i humbjeve në rrjetin 110 kV </w:t>
            </w:r>
          </w:p>
          <w:p w14:paraId="3FFB37F1"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Rritja e kapacitetit transmetues të linjës nga 83 MVA në 114 MVA </w:t>
            </w:r>
          </w:p>
        </w:tc>
        <w:tc>
          <w:tcPr>
            <w:tcW w:w="122" w:type="pct"/>
            <w:hideMark/>
          </w:tcPr>
          <w:p w14:paraId="239DF3AA" w14:textId="77777777" w:rsidR="00361CB0" w:rsidRPr="00976D33" w:rsidRDefault="00361CB0">
            <w:pPr>
              <w:spacing w:before="0" w:after="0" w:line="240" w:lineRule="auto"/>
              <w:ind w:left="105" w:right="105"/>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2031 </w:t>
            </w:r>
          </w:p>
        </w:tc>
      </w:tr>
      <w:tr w:rsidR="00AA7CDF" w:rsidRPr="00976D33" w14:paraId="2B3723E5" w14:textId="77777777" w:rsidTr="00FE486A">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31" w:type="pct"/>
            <w:hideMark/>
          </w:tcPr>
          <w:p w14:paraId="0814B989" w14:textId="77777777" w:rsidR="00361CB0" w:rsidRPr="00976D33" w:rsidRDefault="00361CB0">
            <w:pPr>
              <w:spacing w:before="0" w:after="0" w:line="240" w:lineRule="auto"/>
              <w:jc w:val="right"/>
              <w:textAlignment w:val="baseline"/>
              <w:rPr>
                <w:rFonts w:asciiTheme="majorHAnsi" w:eastAsia="Times New Roman" w:hAnsiTheme="majorHAnsi" w:cstheme="majorHAnsi"/>
                <w:color w:val="auto"/>
                <w:sz w:val="18"/>
                <w:szCs w:val="18"/>
              </w:rPr>
            </w:pPr>
            <w:r>
              <w:rPr>
                <w:rFonts w:asciiTheme="majorHAnsi" w:hAnsiTheme="majorHAnsi"/>
                <w:color w:val="auto"/>
                <w:sz w:val="18"/>
              </w:rPr>
              <w:t>8 </w:t>
            </w:r>
          </w:p>
        </w:tc>
        <w:tc>
          <w:tcPr>
            <w:tcW w:w="222" w:type="pct"/>
            <w:textDirection w:val="btLr"/>
            <w:hideMark/>
          </w:tcPr>
          <w:p w14:paraId="1E1E6B27" w14:textId="77777777" w:rsidR="00361CB0" w:rsidRPr="00976D33" w:rsidRDefault="00361CB0">
            <w:pPr>
              <w:spacing w:before="0" w:after="0" w:line="240" w:lineRule="auto"/>
              <w:ind w:left="113" w:right="113"/>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58 </w:t>
            </w:r>
          </w:p>
        </w:tc>
        <w:tc>
          <w:tcPr>
            <w:tcW w:w="1067" w:type="pct"/>
            <w:gridSpan w:val="2"/>
            <w:hideMark/>
          </w:tcPr>
          <w:p w14:paraId="10017B5B"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rPr>
              <w:t>Rivitalizimi i linjës 110 kV: L116 (155/2) Vallaq-kufi</w:t>
            </w:r>
            <w:r>
              <w:rPr>
                <w:rFonts w:asciiTheme="majorHAnsi" w:hAnsiTheme="majorHAnsi"/>
                <w:color w:val="auto"/>
              </w:rPr>
              <w:t> </w:t>
            </w:r>
          </w:p>
        </w:tc>
        <w:tc>
          <w:tcPr>
            <w:tcW w:w="1388" w:type="pct"/>
            <w:gridSpan w:val="3"/>
            <w:hideMark/>
          </w:tcPr>
          <w:p w14:paraId="23E610C7"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Zëvendësimi i fazës dhe përcjellëseve mbrojtës deri në kufi (18.78 km), viti 1958. </w:t>
            </w:r>
          </w:p>
          <w:p w14:paraId="4C1E570B"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Përforcimi i shtyllave dhe zëvendësimi i izolatorëve. </w:t>
            </w:r>
          </w:p>
        </w:tc>
        <w:tc>
          <w:tcPr>
            <w:tcW w:w="1870" w:type="pct"/>
            <w:gridSpan w:val="2"/>
            <w:hideMark/>
          </w:tcPr>
          <w:p w14:paraId="42FE160A"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Përforcimi i kapaciteteve transmetuese dhe mbështetja e ngarkesës në pjesën veriore të Kosovës </w:t>
            </w:r>
          </w:p>
        </w:tc>
        <w:tc>
          <w:tcPr>
            <w:tcW w:w="122" w:type="pct"/>
            <w:hideMark/>
          </w:tcPr>
          <w:p w14:paraId="28A05DB1" w14:textId="77777777" w:rsidR="00361CB0" w:rsidRPr="00976D33" w:rsidRDefault="00361CB0">
            <w:pPr>
              <w:spacing w:before="0" w:after="0" w:line="240" w:lineRule="auto"/>
              <w:ind w:left="105" w:right="105"/>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2032 </w:t>
            </w:r>
          </w:p>
        </w:tc>
      </w:tr>
      <w:tr w:rsidR="00AA7CDF" w:rsidRPr="00976D33" w14:paraId="1E6B99ED" w14:textId="77777777" w:rsidTr="00FE486A">
        <w:trPr>
          <w:cantSplit/>
          <w:trHeight w:val="529"/>
        </w:trPr>
        <w:tc>
          <w:tcPr>
            <w:cnfStyle w:val="001000000000" w:firstRow="0" w:lastRow="0" w:firstColumn="1" w:lastColumn="0" w:oddVBand="0" w:evenVBand="0" w:oddHBand="0" w:evenHBand="0" w:firstRowFirstColumn="0" w:firstRowLastColumn="0" w:lastRowFirstColumn="0" w:lastRowLastColumn="0"/>
            <w:tcW w:w="331" w:type="pct"/>
          </w:tcPr>
          <w:p w14:paraId="7D68E4CD" w14:textId="77777777" w:rsidR="00361CB0" w:rsidRPr="00976D33" w:rsidRDefault="00361CB0">
            <w:pPr>
              <w:spacing w:before="0" w:after="0" w:line="240" w:lineRule="auto"/>
              <w:jc w:val="right"/>
              <w:textAlignment w:val="baseline"/>
              <w:rPr>
                <w:rFonts w:asciiTheme="majorHAnsi" w:eastAsia="Times New Roman" w:hAnsiTheme="majorHAnsi" w:cstheme="majorHAnsi"/>
                <w:color w:val="auto"/>
                <w:sz w:val="18"/>
                <w:szCs w:val="18"/>
              </w:rPr>
            </w:pPr>
          </w:p>
        </w:tc>
        <w:tc>
          <w:tcPr>
            <w:tcW w:w="222" w:type="pct"/>
            <w:textDirection w:val="btLr"/>
          </w:tcPr>
          <w:p w14:paraId="3C1E79CB" w14:textId="77777777" w:rsidR="00361CB0" w:rsidRPr="00976D33" w:rsidRDefault="00361CB0">
            <w:pPr>
              <w:spacing w:before="0" w:after="0" w:line="240" w:lineRule="auto"/>
              <w:ind w:left="113" w:right="113"/>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p>
        </w:tc>
        <w:tc>
          <w:tcPr>
            <w:tcW w:w="4325" w:type="pct"/>
            <w:gridSpan w:val="7"/>
          </w:tcPr>
          <w:p w14:paraId="78333B2E" w14:textId="77777777" w:rsidR="00361CB0" w:rsidRPr="00976D33" w:rsidRDefault="00361CB0">
            <w:pPr>
              <w:spacing w:before="0"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Cs w:val="20"/>
              </w:rPr>
            </w:pPr>
            <w:r>
              <w:rPr>
                <w:rFonts w:asciiTheme="majorHAnsi" w:hAnsiTheme="majorHAnsi"/>
                <w:color w:val="auto"/>
              </w:rPr>
              <w:t>KATEGORIA E PROJEKTIT: OPERACIONI I TREGUT TË ENERGJISË ELEKTRIKE (2024-2033)</w:t>
            </w:r>
          </w:p>
        </w:tc>
        <w:tc>
          <w:tcPr>
            <w:tcW w:w="122" w:type="pct"/>
          </w:tcPr>
          <w:p w14:paraId="60725D21" w14:textId="77777777" w:rsidR="00361CB0" w:rsidRPr="00976D33" w:rsidRDefault="00361CB0">
            <w:pPr>
              <w:spacing w:before="0" w:after="0" w:line="240" w:lineRule="auto"/>
              <w:ind w:left="105" w:right="105"/>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Cs w:val="20"/>
              </w:rPr>
            </w:pPr>
          </w:p>
        </w:tc>
      </w:tr>
      <w:tr w:rsidR="00AA7CDF" w:rsidRPr="00976D33" w14:paraId="2E23135B" w14:textId="77777777" w:rsidTr="00FE486A">
        <w:trPr>
          <w:cnfStyle w:val="000000100000" w:firstRow="0" w:lastRow="0" w:firstColumn="0" w:lastColumn="0" w:oddVBand="0" w:evenVBand="0" w:oddHBand="1" w:evenHBand="0" w:firstRowFirstColumn="0" w:firstRowLastColumn="0" w:lastRowFirstColumn="0" w:lastRowLastColumn="0"/>
          <w:cantSplit/>
          <w:trHeight w:val="1185"/>
        </w:trPr>
        <w:tc>
          <w:tcPr>
            <w:cnfStyle w:val="001000000000" w:firstRow="0" w:lastRow="0" w:firstColumn="1" w:lastColumn="0" w:oddVBand="0" w:evenVBand="0" w:oddHBand="0" w:evenHBand="0" w:firstRowFirstColumn="0" w:firstRowLastColumn="0" w:lastRowFirstColumn="0" w:lastRowLastColumn="0"/>
            <w:tcW w:w="331" w:type="pct"/>
            <w:hideMark/>
          </w:tcPr>
          <w:p w14:paraId="20FCD1E5" w14:textId="77777777" w:rsidR="00361CB0" w:rsidRPr="00976D33" w:rsidRDefault="00361CB0">
            <w:pPr>
              <w:spacing w:before="0" w:after="0" w:line="240" w:lineRule="auto"/>
              <w:jc w:val="right"/>
              <w:textAlignment w:val="baseline"/>
              <w:rPr>
                <w:rFonts w:asciiTheme="majorHAnsi" w:eastAsia="Times New Roman" w:hAnsiTheme="majorHAnsi" w:cstheme="majorHAnsi"/>
                <w:color w:val="auto"/>
                <w:sz w:val="18"/>
                <w:szCs w:val="18"/>
              </w:rPr>
            </w:pPr>
            <w:r>
              <w:rPr>
                <w:rFonts w:asciiTheme="majorHAnsi" w:hAnsiTheme="majorHAnsi"/>
                <w:color w:val="auto"/>
                <w:sz w:val="18"/>
              </w:rPr>
              <w:t>1 </w:t>
            </w:r>
          </w:p>
        </w:tc>
        <w:tc>
          <w:tcPr>
            <w:tcW w:w="222" w:type="pct"/>
            <w:textDirection w:val="btLr"/>
            <w:hideMark/>
          </w:tcPr>
          <w:p w14:paraId="1E0D0BE5" w14:textId="77777777" w:rsidR="00361CB0" w:rsidRPr="00976D33" w:rsidRDefault="00361CB0">
            <w:pPr>
              <w:spacing w:before="0" w:after="0" w:line="240" w:lineRule="auto"/>
              <w:ind w:left="113" w:right="113"/>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22"/>
              </w:rPr>
              <w:t>004 </w:t>
            </w:r>
          </w:p>
        </w:tc>
        <w:tc>
          <w:tcPr>
            <w:tcW w:w="1067" w:type="pct"/>
            <w:gridSpan w:val="2"/>
            <w:hideMark/>
          </w:tcPr>
          <w:p w14:paraId="758E1187"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rPr>
              <w:t>Reaktori i ndryshueshëm 100 MVAr, 400 kV në NS Ferizaj 2</w:t>
            </w:r>
            <w:r>
              <w:rPr>
                <w:rFonts w:asciiTheme="majorHAnsi" w:hAnsiTheme="majorHAnsi"/>
                <w:color w:val="auto"/>
              </w:rPr>
              <w:t> </w:t>
            </w:r>
          </w:p>
        </w:tc>
        <w:tc>
          <w:tcPr>
            <w:tcW w:w="1388" w:type="pct"/>
            <w:gridSpan w:val="3"/>
            <w:hideMark/>
          </w:tcPr>
          <w:p w14:paraId="664350DE" w14:textId="77777777" w:rsidR="00361CB0" w:rsidRPr="00976D33" w:rsidRDefault="00361CB0">
            <w:pPr>
              <w:spacing w:before="0" w:after="0" w:line="240" w:lineRule="auto"/>
              <w:jc w:val="left"/>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Instalimi i reaktorit devijues të ndryshueshëm 100 MVAr në bazën e lirë 400 kV  kV C05 në NS Ferizaj 2. </w:t>
            </w:r>
          </w:p>
          <w:p w14:paraId="3F8232FC" w14:textId="77777777" w:rsidR="00361CB0" w:rsidRPr="00976D33" w:rsidRDefault="00361CB0">
            <w:pPr>
              <w:spacing w:before="0" w:after="0" w:line="240" w:lineRule="auto"/>
              <w:ind w:left="1080" w:hanging="360"/>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Baza e reaktorit 400 kV   </w:t>
            </w:r>
          </w:p>
        </w:tc>
        <w:tc>
          <w:tcPr>
            <w:tcW w:w="1870" w:type="pct"/>
            <w:gridSpan w:val="2"/>
            <w:hideMark/>
          </w:tcPr>
          <w:p w14:paraId="00EABB54"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Reduktimi i nivelit të mbitensioneve në rrjetin e transmisionit. </w:t>
            </w:r>
          </w:p>
          <w:p w14:paraId="48212775"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Projekti i koordinuar rajonal </w:t>
            </w:r>
          </w:p>
        </w:tc>
        <w:tc>
          <w:tcPr>
            <w:tcW w:w="122" w:type="pct"/>
            <w:hideMark/>
          </w:tcPr>
          <w:p w14:paraId="3AF39836" w14:textId="77777777" w:rsidR="00361CB0" w:rsidRPr="00976D33" w:rsidRDefault="00361CB0">
            <w:pPr>
              <w:spacing w:before="0"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18"/>
              </w:rPr>
              <w:t>2025 </w:t>
            </w:r>
          </w:p>
        </w:tc>
      </w:tr>
      <w:tr w:rsidR="00AA7CDF" w:rsidRPr="00976D33" w14:paraId="1EC2C0A6" w14:textId="77777777" w:rsidTr="00FE486A">
        <w:trPr>
          <w:cantSplit/>
          <w:trHeight w:val="1185"/>
        </w:trPr>
        <w:tc>
          <w:tcPr>
            <w:cnfStyle w:val="001000000000" w:firstRow="0" w:lastRow="0" w:firstColumn="1" w:lastColumn="0" w:oddVBand="0" w:evenVBand="0" w:oddHBand="0" w:evenHBand="0" w:firstRowFirstColumn="0" w:firstRowLastColumn="0" w:lastRowFirstColumn="0" w:lastRowLastColumn="0"/>
            <w:tcW w:w="331" w:type="pct"/>
            <w:hideMark/>
          </w:tcPr>
          <w:p w14:paraId="12AA4554" w14:textId="77777777" w:rsidR="00361CB0" w:rsidRPr="00976D33" w:rsidRDefault="00361CB0">
            <w:pPr>
              <w:spacing w:before="0" w:after="0" w:line="240" w:lineRule="auto"/>
              <w:jc w:val="right"/>
              <w:textAlignment w:val="baseline"/>
              <w:rPr>
                <w:rFonts w:asciiTheme="majorHAnsi" w:eastAsia="Times New Roman" w:hAnsiTheme="majorHAnsi" w:cstheme="majorHAnsi"/>
                <w:color w:val="auto"/>
                <w:sz w:val="18"/>
                <w:szCs w:val="18"/>
              </w:rPr>
            </w:pPr>
            <w:r>
              <w:rPr>
                <w:rFonts w:asciiTheme="majorHAnsi" w:hAnsiTheme="majorHAnsi"/>
                <w:color w:val="auto"/>
                <w:sz w:val="18"/>
              </w:rPr>
              <w:t>2 </w:t>
            </w:r>
          </w:p>
        </w:tc>
        <w:tc>
          <w:tcPr>
            <w:tcW w:w="222" w:type="pct"/>
            <w:textDirection w:val="btLr"/>
            <w:hideMark/>
          </w:tcPr>
          <w:p w14:paraId="293274FE" w14:textId="77777777" w:rsidR="00361CB0" w:rsidRPr="00976D33" w:rsidRDefault="00361CB0">
            <w:pPr>
              <w:spacing w:before="0" w:after="0" w:line="240" w:lineRule="auto"/>
              <w:ind w:left="113" w:right="113"/>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22"/>
              </w:rPr>
              <w:t>008/5 </w:t>
            </w:r>
          </w:p>
        </w:tc>
        <w:tc>
          <w:tcPr>
            <w:tcW w:w="1067" w:type="pct"/>
            <w:gridSpan w:val="2"/>
            <w:hideMark/>
          </w:tcPr>
          <w:p w14:paraId="0FBF0713"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rPr>
              <w:t>Linja e re kabllore 110 kV NS Prishtina 2 -NS Prishtina 4</w:t>
            </w:r>
            <w:r>
              <w:rPr>
                <w:rFonts w:asciiTheme="majorHAnsi" w:hAnsiTheme="majorHAnsi"/>
                <w:color w:val="auto"/>
              </w:rPr>
              <w:t> </w:t>
            </w:r>
          </w:p>
        </w:tc>
        <w:tc>
          <w:tcPr>
            <w:tcW w:w="1388" w:type="pct"/>
            <w:gridSpan w:val="3"/>
            <w:hideMark/>
          </w:tcPr>
          <w:p w14:paraId="2E7F0C5D"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Dy baza të linjave 110 kV </w:t>
            </w:r>
          </w:p>
          <w:p w14:paraId="5B0A28EB" w14:textId="77777777" w:rsidR="00361CB0" w:rsidRPr="00976D33" w:rsidRDefault="00361CB0" w:rsidP="00AF7BBF">
            <w:pPr>
              <w:numPr>
                <w:ilvl w:val="0"/>
                <w:numId w:val="100"/>
              </w:numPr>
              <w:spacing w:before="0" w:after="0" w:line="240" w:lineRule="auto"/>
              <w:ind w:firstLine="0"/>
              <w:jc w:val="left"/>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Cs w:val="20"/>
              </w:rPr>
            </w:pPr>
            <w:r>
              <w:rPr>
                <w:rFonts w:asciiTheme="majorHAnsi" w:hAnsiTheme="majorHAnsi"/>
                <w:color w:val="auto"/>
              </w:rPr>
              <w:t>Linja kabllore 1000mm2, me gjatësi rreth 4.85 km </w:t>
            </w:r>
          </w:p>
        </w:tc>
        <w:tc>
          <w:tcPr>
            <w:tcW w:w="1870" w:type="pct"/>
            <w:gridSpan w:val="2"/>
            <w:hideMark/>
          </w:tcPr>
          <w:p w14:paraId="2FD0B71C"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Projekti mundëson plotësimin e kriterit N-1 për pjesën e rrjetit 110 kV që lidh NS Prishtina 2&amp;3 dhe NS Kosova A. </w:t>
            </w:r>
          </w:p>
        </w:tc>
        <w:tc>
          <w:tcPr>
            <w:tcW w:w="122" w:type="pct"/>
            <w:hideMark/>
          </w:tcPr>
          <w:p w14:paraId="750D6AAF" w14:textId="77777777" w:rsidR="00361CB0" w:rsidRPr="00976D33" w:rsidRDefault="00361CB0">
            <w:pPr>
              <w:spacing w:before="0"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2026 </w:t>
            </w:r>
          </w:p>
        </w:tc>
      </w:tr>
      <w:tr w:rsidR="00AA7CDF" w:rsidRPr="00976D33" w14:paraId="17D245FF" w14:textId="77777777" w:rsidTr="00FE486A">
        <w:trPr>
          <w:cnfStyle w:val="000000100000" w:firstRow="0" w:lastRow="0" w:firstColumn="0" w:lastColumn="0" w:oddVBand="0" w:evenVBand="0" w:oddHBand="1" w:evenHBand="0" w:firstRowFirstColumn="0" w:firstRowLastColumn="0" w:lastRowFirstColumn="0" w:lastRowLastColumn="0"/>
          <w:cantSplit/>
          <w:trHeight w:val="1185"/>
        </w:trPr>
        <w:tc>
          <w:tcPr>
            <w:cnfStyle w:val="001000000000" w:firstRow="0" w:lastRow="0" w:firstColumn="1" w:lastColumn="0" w:oddVBand="0" w:evenVBand="0" w:oddHBand="0" w:evenHBand="0" w:firstRowFirstColumn="0" w:firstRowLastColumn="0" w:lastRowFirstColumn="0" w:lastRowLastColumn="0"/>
            <w:tcW w:w="331" w:type="pct"/>
            <w:hideMark/>
          </w:tcPr>
          <w:p w14:paraId="30656A8F" w14:textId="77777777" w:rsidR="00361CB0" w:rsidRPr="00976D33" w:rsidRDefault="00361CB0">
            <w:pPr>
              <w:spacing w:before="0" w:after="0" w:line="240" w:lineRule="auto"/>
              <w:jc w:val="right"/>
              <w:textAlignment w:val="baseline"/>
              <w:rPr>
                <w:rFonts w:asciiTheme="majorHAnsi" w:eastAsia="Times New Roman" w:hAnsiTheme="majorHAnsi" w:cstheme="majorHAnsi"/>
                <w:color w:val="auto"/>
                <w:sz w:val="18"/>
                <w:szCs w:val="18"/>
              </w:rPr>
            </w:pPr>
            <w:r>
              <w:rPr>
                <w:rFonts w:asciiTheme="majorHAnsi" w:hAnsiTheme="majorHAnsi"/>
                <w:color w:val="auto"/>
                <w:sz w:val="18"/>
              </w:rPr>
              <w:t>3 </w:t>
            </w:r>
          </w:p>
        </w:tc>
        <w:tc>
          <w:tcPr>
            <w:tcW w:w="222" w:type="pct"/>
            <w:textDirection w:val="btLr"/>
            <w:hideMark/>
          </w:tcPr>
          <w:p w14:paraId="3DB5CA03" w14:textId="77777777" w:rsidR="00361CB0" w:rsidRPr="00976D33" w:rsidRDefault="00361CB0">
            <w:pPr>
              <w:spacing w:before="0" w:after="0" w:line="240" w:lineRule="auto"/>
              <w:ind w:left="113" w:right="113"/>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22"/>
              </w:rPr>
              <w:t>008/4 </w:t>
            </w:r>
          </w:p>
        </w:tc>
        <w:tc>
          <w:tcPr>
            <w:tcW w:w="1067" w:type="pct"/>
            <w:gridSpan w:val="2"/>
            <w:hideMark/>
          </w:tcPr>
          <w:p w14:paraId="0213BBAC"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rPr>
              <w:t>Linja e re dyfishe ajrore/kabllore dhe demontimi i linjës ekzistuese ndërmjet NS Prizreni 1 dhe NS Prizreni 2</w:t>
            </w:r>
            <w:r>
              <w:rPr>
                <w:rFonts w:asciiTheme="majorHAnsi" w:hAnsiTheme="majorHAnsi"/>
                <w:color w:val="auto"/>
              </w:rPr>
              <w:t> </w:t>
            </w:r>
          </w:p>
          <w:p w14:paraId="4A135C26"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w:t>
            </w:r>
          </w:p>
        </w:tc>
        <w:tc>
          <w:tcPr>
            <w:tcW w:w="1388" w:type="pct"/>
            <w:gridSpan w:val="3"/>
            <w:hideMark/>
          </w:tcPr>
          <w:p w14:paraId="63C2ED27"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- 4.81 km, linjë elektrike ajrore/kabllore ASCR 240 mm2 /1000mm2, (demontimi i linjës ekzistuese dhe shfrytëzimi i trasesë. Gjithashtu edhe përçuesi aktual HW 170mm2 përdoret për të përforcuar kapacitetin e linjës Prizren 1 - Prizren 3 </w:t>
            </w:r>
          </w:p>
          <w:p w14:paraId="4810EFB9" w14:textId="77777777" w:rsidR="00361CB0" w:rsidRPr="00976D33" w:rsidRDefault="00361CB0" w:rsidP="00AF7BBF">
            <w:pPr>
              <w:numPr>
                <w:ilvl w:val="0"/>
                <w:numId w:val="101"/>
              </w:numPr>
              <w:spacing w:before="0" w:after="0" w:line="240" w:lineRule="auto"/>
              <w:ind w:firstLine="0"/>
              <w:jc w:val="left"/>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Cs w:val="20"/>
              </w:rPr>
            </w:pPr>
            <w:r>
              <w:rPr>
                <w:rFonts w:asciiTheme="majorHAnsi" w:hAnsiTheme="majorHAnsi"/>
                <w:color w:val="auto"/>
              </w:rPr>
              <w:t>- Fusha e linjës 110 kV në NS Prizren 1 </w:t>
            </w:r>
          </w:p>
        </w:tc>
        <w:tc>
          <w:tcPr>
            <w:tcW w:w="1870" w:type="pct"/>
            <w:gridSpan w:val="2"/>
            <w:hideMark/>
          </w:tcPr>
          <w:p w14:paraId="4CC95E07"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Ndërtimi i linjës së re të transmetimit mundëson plotësimin e kriterit N-1 dhe redukton humbjet në rrjet. Krijimi i kushteve për integrimin e BRE-ve në rrjetin 110 kV </w:t>
            </w:r>
          </w:p>
        </w:tc>
        <w:tc>
          <w:tcPr>
            <w:tcW w:w="122" w:type="pct"/>
            <w:hideMark/>
          </w:tcPr>
          <w:p w14:paraId="642919DE" w14:textId="77777777" w:rsidR="00361CB0" w:rsidRPr="00976D33" w:rsidRDefault="00361CB0">
            <w:pPr>
              <w:spacing w:before="0"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2028 </w:t>
            </w:r>
          </w:p>
        </w:tc>
      </w:tr>
      <w:tr w:rsidR="00AA7CDF" w:rsidRPr="00976D33" w14:paraId="222763FA" w14:textId="77777777" w:rsidTr="00FE486A">
        <w:trPr>
          <w:cantSplit/>
          <w:trHeight w:val="1185"/>
        </w:trPr>
        <w:tc>
          <w:tcPr>
            <w:cnfStyle w:val="001000000000" w:firstRow="0" w:lastRow="0" w:firstColumn="1" w:lastColumn="0" w:oddVBand="0" w:evenVBand="0" w:oddHBand="0" w:evenHBand="0" w:firstRowFirstColumn="0" w:firstRowLastColumn="0" w:lastRowFirstColumn="0" w:lastRowLastColumn="0"/>
            <w:tcW w:w="331" w:type="pct"/>
            <w:hideMark/>
          </w:tcPr>
          <w:p w14:paraId="78D41423" w14:textId="77777777" w:rsidR="00361CB0" w:rsidRPr="00976D33" w:rsidRDefault="00361CB0">
            <w:pPr>
              <w:spacing w:before="0" w:after="0" w:line="240" w:lineRule="auto"/>
              <w:jc w:val="right"/>
              <w:textAlignment w:val="baseline"/>
              <w:rPr>
                <w:rFonts w:asciiTheme="majorHAnsi" w:eastAsia="Times New Roman" w:hAnsiTheme="majorHAnsi" w:cstheme="majorHAnsi"/>
                <w:color w:val="auto"/>
                <w:sz w:val="18"/>
                <w:szCs w:val="18"/>
              </w:rPr>
            </w:pPr>
            <w:r>
              <w:rPr>
                <w:rFonts w:asciiTheme="majorHAnsi" w:hAnsiTheme="majorHAnsi"/>
                <w:color w:val="auto"/>
                <w:sz w:val="18"/>
              </w:rPr>
              <w:lastRenderedPageBreak/>
              <w:t>4 </w:t>
            </w:r>
          </w:p>
        </w:tc>
        <w:tc>
          <w:tcPr>
            <w:tcW w:w="222" w:type="pct"/>
            <w:textDirection w:val="btLr"/>
            <w:hideMark/>
          </w:tcPr>
          <w:p w14:paraId="7B156E02" w14:textId="77777777" w:rsidR="00361CB0" w:rsidRPr="00976D33" w:rsidRDefault="00361CB0">
            <w:pPr>
              <w:spacing w:before="0" w:after="0" w:line="240" w:lineRule="auto"/>
              <w:ind w:left="113" w:right="113"/>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22"/>
              </w:rPr>
              <w:t>054 </w:t>
            </w:r>
          </w:p>
        </w:tc>
        <w:tc>
          <w:tcPr>
            <w:tcW w:w="1067" w:type="pct"/>
            <w:gridSpan w:val="2"/>
            <w:hideMark/>
          </w:tcPr>
          <w:p w14:paraId="002A4721"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rPr>
              <w:t>Linja e re e interkoneksionit 110 kV NS Deçan - NS Bajram Curri</w:t>
            </w:r>
            <w:r>
              <w:rPr>
                <w:rFonts w:asciiTheme="majorHAnsi" w:hAnsiTheme="majorHAnsi"/>
                <w:color w:val="auto"/>
              </w:rPr>
              <w:t> </w:t>
            </w:r>
          </w:p>
        </w:tc>
        <w:tc>
          <w:tcPr>
            <w:tcW w:w="1388" w:type="pct"/>
            <w:gridSpan w:val="3"/>
            <w:hideMark/>
          </w:tcPr>
          <w:p w14:paraId="70F76EF6" w14:textId="77777777" w:rsidR="00361CB0" w:rsidRPr="00976D33" w:rsidRDefault="00361CB0" w:rsidP="00AF7BBF">
            <w:pPr>
              <w:numPr>
                <w:ilvl w:val="0"/>
                <w:numId w:val="102"/>
              </w:numPr>
              <w:spacing w:before="0" w:after="0" w:line="240" w:lineRule="auto"/>
              <w:ind w:firstLine="0"/>
              <w:jc w:val="left"/>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Cs w:val="20"/>
              </w:rPr>
            </w:pPr>
            <w:r>
              <w:rPr>
                <w:rFonts w:asciiTheme="majorHAnsi" w:hAnsiTheme="majorHAnsi"/>
                <w:color w:val="auto"/>
              </w:rPr>
              <w:t>19 km linjë njëfishe 110 kV, 240 mm2 deri në kufi </w:t>
            </w:r>
          </w:p>
          <w:p w14:paraId="5F68D97D" w14:textId="77777777" w:rsidR="00361CB0" w:rsidRPr="00976D33" w:rsidRDefault="00361CB0" w:rsidP="00AF7BBF">
            <w:pPr>
              <w:numPr>
                <w:ilvl w:val="0"/>
                <w:numId w:val="102"/>
              </w:numPr>
              <w:spacing w:before="0" w:after="0" w:line="240" w:lineRule="auto"/>
              <w:ind w:firstLine="0"/>
              <w:jc w:val="left"/>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Cs w:val="20"/>
              </w:rPr>
            </w:pPr>
            <w:r>
              <w:rPr>
                <w:rFonts w:asciiTheme="majorHAnsi" w:hAnsiTheme="majorHAnsi"/>
                <w:color w:val="auto"/>
              </w:rPr>
              <w:t>Fushë e linjës 110 kV në NS Deçan </w:t>
            </w:r>
          </w:p>
        </w:tc>
        <w:tc>
          <w:tcPr>
            <w:tcW w:w="1870" w:type="pct"/>
            <w:gridSpan w:val="2"/>
            <w:hideMark/>
          </w:tcPr>
          <w:p w14:paraId="546C7DE1" w14:textId="77777777" w:rsidR="00361CB0" w:rsidRPr="00976D33" w:rsidRDefault="00361CB0" w:rsidP="00AF7BBF">
            <w:pPr>
              <w:numPr>
                <w:ilvl w:val="0"/>
                <w:numId w:val="103"/>
              </w:numPr>
              <w:spacing w:before="0" w:after="0" w:line="240" w:lineRule="auto"/>
              <w:ind w:firstLine="0"/>
              <w:jc w:val="left"/>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Cs w:val="20"/>
              </w:rPr>
            </w:pPr>
            <w:r>
              <w:rPr>
                <w:rFonts w:asciiTheme="majorHAnsi" w:hAnsiTheme="majorHAnsi"/>
                <w:color w:val="auto"/>
              </w:rPr>
              <w:t>Rritja e kapaciteteve ndërlidhëse ndërmjet KOSTT-it dhe OST-së </w:t>
            </w:r>
          </w:p>
          <w:p w14:paraId="61260909" w14:textId="77777777" w:rsidR="00361CB0" w:rsidRPr="00976D33" w:rsidRDefault="00361CB0">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Optimizimi i funksionimit të Bllokut të Kontrollit Shqipëri Kosovë (SHK) </w:t>
            </w:r>
          </w:p>
        </w:tc>
        <w:tc>
          <w:tcPr>
            <w:tcW w:w="122" w:type="pct"/>
            <w:hideMark/>
          </w:tcPr>
          <w:p w14:paraId="0B35987B" w14:textId="77777777" w:rsidR="00361CB0" w:rsidRPr="00976D33" w:rsidRDefault="00361CB0">
            <w:pPr>
              <w:spacing w:before="0"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2029 </w:t>
            </w:r>
          </w:p>
        </w:tc>
      </w:tr>
      <w:tr w:rsidR="00AA7CDF" w:rsidRPr="00976D33" w14:paraId="6B7812E5" w14:textId="77777777" w:rsidTr="00FE486A">
        <w:trPr>
          <w:cnfStyle w:val="000000100000" w:firstRow="0" w:lastRow="0" w:firstColumn="0" w:lastColumn="0" w:oddVBand="0" w:evenVBand="0" w:oddHBand="1" w:evenHBand="0" w:firstRowFirstColumn="0" w:firstRowLastColumn="0" w:lastRowFirstColumn="0" w:lastRowLastColumn="0"/>
          <w:cantSplit/>
          <w:trHeight w:val="5085"/>
        </w:trPr>
        <w:tc>
          <w:tcPr>
            <w:cnfStyle w:val="001000000000" w:firstRow="0" w:lastRow="0" w:firstColumn="1" w:lastColumn="0" w:oddVBand="0" w:evenVBand="0" w:oddHBand="0" w:evenHBand="0" w:firstRowFirstColumn="0" w:firstRowLastColumn="0" w:lastRowFirstColumn="0" w:lastRowLastColumn="0"/>
            <w:tcW w:w="331" w:type="pct"/>
            <w:hideMark/>
          </w:tcPr>
          <w:p w14:paraId="5C3337A0" w14:textId="77777777" w:rsidR="00361CB0" w:rsidRPr="00976D33" w:rsidRDefault="00361CB0">
            <w:pPr>
              <w:spacing w:before="0" w:after="0" w:line="240" w:lineRule="auto"/>
              <w:jc w:val="right"/>
              <w:textAlignment w:val="baseline"/>
              <w:rPr>
                <w:rFonts w:asciiTheme="majorHAnsi" w:eastAsia="Times New Roman" w:hAnsiTheme="majorHAnsi" w:cstheme="majorHAnsi"/>
                <w:color w:val="auto"/>
                <w:sz w:val="18"/>
                <w:szCs w:val="18"/>
              </w:rPr>
            </w:pPr>
            <w:r>
              <w:rPr>
                <w:rFonts w:asciiTheme="majorHAnsi" w:hAnsiTheme="majorHAnsi"/>
                <w:color w:val="auto"/>
                <w:sz w:val="18"/>
              </w:rPr>
              <w:t>5 </w:t>
            </w:r>
          </w:p>
        </w:tc>
        <w:tc>
          <w:tcPr>
            <w:tcW w:w="222" w:type="pct"/>
            <w:textDirection w:val="btLr"/>
            <w:hideMark/>
          </w:tcPr>
          <w:p w14:paraId="33E9CBBE" w14:textId="77777777" w:rsidR="00361CB0" w:rsidRPr="00976D33" w:rsidRDefault="00361CB0">
            <w:pPr>
              <w:spacing w:before="0" w:after="0" w:line="240" w:lineRule="auto"/>
              <w:ind w:left="113" w:right="113"/>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sz w:val="22"/>
              </w:rPr>
              <w:t>102 </w:t>
            </w:r>
          </w:p>
        </w:tc>
        <w:tc>
          <w:tcPr>
            <w:tcW w:w="1067" w:type="pct"/>
            <w:gridSpan w:val="2"/>
            <w:hideMark/>
          </w:tcPr>
          <w:p w14:paraId="2B3A10F7"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b/>
                <w:color w:val="auto"/>
              </w:rPr>
              <w:t>NS NASHEC, 400/220/110 kV me linjën lidhëse 400 kV</w:t>
            </w:r>
            <w:r>
              <w:rPr>
                <w:rFonts w:asciiTheme="majorHAnsi" w:hAnsiTheme="majorHAnsi"/>
                <w:color w:val="auto"/>
              </w:rPr>
              <w:t> </w:t>
            </w:r>
          </w:p>
        </w:tc>
        <w:tc>
          <w:tcPr>
            <w:tcW w:w="1388" w:type="pct"/>
            <w:gridSpan w:val="3"/>
            <w:hideMark/>
          </w:tcPr>
          <w:p w14:paraId="6DA99E82"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Ndërtimi i NS Nasheci, 400/110 kV, 1x300 MVA në vazhdimësi të NS Prizreni 2, i cili përmban dy fusha të linjave 400 kV, një fushë lidhëse 400 kV, një fushë TR 400 kV dhe një fushë TR 110 kV. </w:t>
            </w:r>
          </w:p>
          <w:p w14:paraId="1F32C5B5"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Zgjerimi i sistemit të përcjellësit elektrik 110 kV </w:t>
            </w:r>
          </w:p>
          <w:p w14:paraId="79D77A8E"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Ndërtimi i Stacionit Shpërndarës SSH Gjakovë, 400 kV me katër hapësira për linjat dhe një hapësirë për lidhës të kabllos 400 kV. </w:t>
            </w:r>
          </w:p>
          <w:p w14:paraId="5A859691"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Ndërtimi i linjës njëfishe 400 kV, 31.5 km SG Gjakovë-NS Nashec. </w:t>
            </w:r>
          </w:p>
          <w:p w14:paraId="51EE119D"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Ndërtimi i linjës njëfishe SSH Gjakova - NS Peja 3 me gjatësi 35.5 km. </w:t>
            </w:r>
          </w:p>
          <w:p w14:paraId="3526A52E"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Ndërtimi i linjës së dytë të interkoneksionit 400 kV NS Nashec-NS Fierzë me gjatësi 71 km (45 në Kosovë) </w:t>
            </w:r>
          </w:p>
        </w:tc>
        <w:tc>
          <w:tcPr>
            <w:tcW w:w="1870" w:type="pct"/>
            <w:gridSpan w:val="2"/>
            <w:hideMark/>
          </w:tcPr>
          <w:p w14:paraId="269B93D4"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Rikonfigurimi i rrjetit 400 kV dhe 110 kV dhe optimizimi i flukseve të energjisë aktive dhe reaktive, reduktimi i humbjeve, mbështetja e gjenerimit dhe ngarkesës së re. </w:t>
            </w:r>
          </w:p>
          <w:p w14:paraId="3982F5BF"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Forcimi i kapaciteteve të ndërlidhjes me Shqipërinë </w:t>
            </w:r>
          </w:p>
          <w:p w14:paraId="701A7008"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Mbështetja e integrimit të BRE-ve në nivel të lartë dhe dekarbonizimit të sektorit të energjisë elektrike </w:t>
            </w:r>
          </w:p>
          <w:p w14:paraId="4148E655" w14:textId="77777777" w:rsidR="00361CB0" w:rsidRPr="00976D33" w:rsidRDefault="00361CB0">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 Mbështetja e tregut të energjisë elektrike </w:t>
            </w:r>
          </w:p>
        </w:tc>
        <w:tc>
          <w:tcPr>
            <w:tcW w:w="122" w:type="pct"/>
            <w:hideMark/>
          </w:tcPr>
          <w:p w14:paraId="24B9156F" w14:textId="77777777" w:rsidR="00361CB0" w:rsidRPr="00976D33" w:rsidRDefault="00361CB0">
            <w:pPr>
              <w:spacing w:before="0"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rPr>
            </w:pPr>
            <w:r>
              <w:rPr>
                <w:rFonts w:asciiTheme="majorHAnsi" w:hAnsiTheme="majorHAnsi"/>
                <w:color w:val="auto"/>
              </w:rPr>
              <w:t>2032 </w:t>
            </w:r>
          </w:p>
        </w:tc>
      </w:tr>
    </w:tbl>
    <w:p w14:paraId="04189197" w14:textId="77777777" w:rsidR="00361CB0" w:rsidRPr="00976D33" w:rsidRDefault="00361CB0" w:rsidP="00361CB0">
      <w:r>
        <w:t xml:space="preserve">Në lidhje me projeksionet e kërkesave për zgjerim të rrjetit të gazit, siç është theksuar tashmë në seksionet e mëparshme, Kosova nuk ka rrjet të transmisionit të gazit. Megjithatë, planet për kyçje të mundshme në të ardhmen në sistemet e transmisionit të gazit shpjegohen shkurt në </w:t>
      </w:r>
      <w:r>
        <w:rPr>
          <w:b/>
          <w:color w:val="024F75" w:themeColor="accent1"/>
        </w:rPr>
        <w:t xml:space="preserve">Strategjinë e Energjisë së Republikës së Kosovës 2022-2031 </w:t>
      </w:r>
      <w:r>
        <w:t xml:space="preserve">(shkurt: Strategjia e Energjisë). Siç përshkruan strategjia, një lidhje të vetme operative me sistemet e transmisionit të gazit natyror, qoftë Gazsjellësi Trans-Adriatik (TAP) ose terminalet e gazit natyror të lëngshëm (LNG) në detin Egje ose Jon, d.m.th. përmes Maqedonisë së Veriut ose Shqipërisë, , do të kërkonte minimalisht 7-9 vite planifikim dhe ndërtim. Nëse ndërtohet një interkoneksion, do të mundësonte funksionimin e prodhimit të energjisë të bazuar në gaz dhe potencialisht shfrytëzimin e gazit natyror në industri. </w:t>
      </w:r>
    </w:p>
    <w:p w14:paraId="406198AB" w14:textId="1479AB7B" w:rsidR="00361CB0" w:rsidRPr="00976D33" w:rsidRDefault="00361CB0" w:rsidP="00361CB0">
      <w:r>
        <w:t>Në Strategjinë Kombëtare të Energjisë, konsiderohet edhe mundësia e shfrytëzimit të infrastrukturës së gazit të planifikuar në Shqipëri (lidhja me TAP ose qasja në terminalin LNG në Vlorë). Në këtë drejtim, zhvillimet në rajon dhe globalisht do të ndiqen nga afër dhe do të hulumtohet (bashkë)investimi në termocentrale me gaz për ngarkesën bazë dhe/ose fleksibilitetin e sistemit në Shqipëri, Maqedoni të Veriut dhe Greqi me mundësi të implementimit deri në vitin 2031.</w:t>
      </w:r>
    </w:p>
    <w:p w14:paraId="7B2ABDA5" w14:textId="77777777" w:rsidR="00361CB0" w:rsidRPr="00976D33" w:rsidRDefault="00361CB0" w:rsidP="00361CB0">
      <w:pPr>
        <w:pStyle w:val="Heading3"/>
      </w:pPr>
      <w:bookmarkStart w:id="480" w:name="_Toc137677734"/>
      <w:bookmarkStart w:id="481" w:name="_Toc182302339"/>
      <w:r>
        <w:t>Tregjet e energjisë elektrike dhe gazit, çmimet e energjisë</w:t>
      </w:r>
      <w:bookmarkEnd w:id="480"/>
      <w:bookmarkEnd w:id="481"/>
    </w:p>
    <w:p w14:paraId="31BA67DE" w14:textId="77777777" w:rsidR="00361CB0" w:rsidRPr="00976D33" w:rsidRDefault="00361CB0" w:rsidP="00AF7BBF">
      <w:pPr>
        <w:pStyle w:val="Heading4"/>
        <w:numPr>
          <w:ilvl w:val="0"/>
          <w:numId w:val="68"/>
        </w:numPr>
      </w:pPr>
      <w:r>
        <w:t>Gjendja aktuale e tregjeve të energjisë elektrike dhe gazit, përfshirë çmimet e energjisë</w:t>
      </w:r>
    </w:p>
    <w:p w14:paraId="572F6C1D" w14:textId="62001EC1" w:rsidR="00361CB0" w:rsidRPr="00976D33" w:rsidRDefault="00361CB0" w:rsidP="00361CB0">
      <w:r>
        <w:t xml:space="preserve">Në vitin 2016, </w:t>
      </w:r>
      <w:r>
        <w:rPr>
          <w:b/>
          <w:color w:val="024F75" w:themeColor="accent1"/>
        </w:rPr>
        <w:t>Ligji për Energjinë</w:t>
      </w:r>
      <w:r>
        <w:t xml:space="preserve">, </w:t>
      </w:r>
      <w:r>
        <w:rPr>
          <w:b/>
          <w:color w:val="024F75" w:themeColor="accent1"/>
        </w:rPr>
        <w:t>Ligji për Energjinë Elektrike</w:t>
      </w:r>
      <w:r>
        <w:rPr>
          <w:color w:val="024F75" w:themeColor="accent1"/>
        </w:rPr>
        <w:t xml:space="preserve"> </w:t>
      </w:r>
      <w:r>
        <w:t xml:space="preserve">dhe </w:t>
      </w:r>
      <w:r>
        <w:rPr>
          <w:b/>
          <w:color w:val="024F75" w:themeColor="accent1"/>
        </w:rPr>
        <w:t>Ligji për Rregullatorin e Energjisë</w:t>
      </w:r>
      <w:r>
        <w:t xml:space="preserve">, u miratuan. Kjo paketë ligjesh mundësoi, ndër të tjera, hapjen graduale të tregut energjetik. Para kësaj, sektori energjetik i Kosovës kishte dëshmuar tashmë reforma të mëdha të cilat fillimisht filluan me themelimin e Zyrës së pavarur të Rregullatorit për Energji (ZRRE) në vitin 2004, pasuar me ndarjen e Korporatës Energjetike të </w:t>
      </w:r>
      <w:r>
        <w:lastRenderedPageBreak/>
        <w:t>Kosovës (KEK) në pronësi vertikalisht të integruar shtetërore. Deri në atë kohë, KEK-u kishte mbikëqyrur prodhimin, transmisionin, distribuimin dhe furnizimin me energji elektrike. Në vitin 2006, procesi i ndarjes çoi në krijimin e Operatorit të Sistemit të Transmisionit (OST), përkatësisht KOSTT-it i cili gjithashtu shërben si Operator i Tregut (OT). KOSTT dhe KEK mbeten në pronësi publike. Procesi i ndarjes vazhdoi me shërbimet e shpërndarjes dhe furnizimit të KEK-ut në vitin 2013, i cili u privatizua menjëherë në një kompani private. Pas kësaj, dhe në përputhje me kërkesat përkatëse ligjore, distribuimi dhe furnizimi kaluan përmes ndarjes ligjore në vitin 2015 duke themeluar OSSH (KEDS) dhe furnizuesin aktual (KESCO), megjithatë, të dyja në pronësi të një kompanie private që privatizoi bizneset në vitin 2013. Ky proces hapi rrugën për themelimin dhe licencimin e furnizuesve të tjerë për operim.</w:t>
      </w:r>
    </w:p>
    <w:p w14:paraId="515384C7" w14:textId="19A59A1F" w:rsidR="00361CB0" w:rsidRPr="00976D33" w:rsidRDefault="00361CB0" w:rsidP="00361CB0">
      <w:r>
        <w:t>Aktualisht, janë tetë furnizues të licencuar në Kosovë, por vetëm një është aktiv (KESCO). Në vitin 2020 dhe 2021, KESCO funksionoi si Furnizues i Shërbimeve Publike, Furnizues i Mundësisë së Fundit dhe si furnizuesi i vetëm aktiv në tregun e parregulluar. Kështu, KESCO ka pjesëmarrje 100% të tregut me pakicë të energjisë elektrike në Kosovë, për konsumatorët familjarë dhe industrialë. Asnjë klient nuk kishte përdorur të drejtën për të ndërruar furnizuesin e tyre në asnjë nga segmentet e tregut me pakicë. Për momentin, bazuar në treguesit e analizuar, tregu i energjisë elektrike me shumicë dhe pakicë shfaq mungesë konkurrence dhe koncentrim të lartë në treg.</w:t>
      </w:r>
    </w:p>
    <w:p w14:paraId="0C19A3E2" w14:textId="2BC42176" w:rsidR="00361CB0" w:rsidRPr="00976D33" w:rsidRDefault="00361CB0" w:rsidP="00361CB0">
      <w:r>
        <w:t>Tregu me shumicë i energjisë elektrike aktualisht është i strukturuar rreth kontratave bilaterale. Energjia elektrike importohet kryesisht nga tregjet rajonale të ditës në avancë ose brenda të njëjtës ditë me kontrata bilaterale. Megjithatë, tregjet e ditës në avancë janë krijuar së fundmi me operacionalizimin e plotë të ALPEX-it në fund të janarit të vitit 2024. Energjia e prodhuar nga KEK-u shitet me prioritet tek Furnizuesi i Shërbimeve Universale. Gjatë procesit të ndarjes dhe privatizimit, është nënshkruar një Marrëveshje për Furnizimin me Shumicë (MFSH) ndërmjet KEK-ut dhe furnizuesit aktual KEDS (më vonë u nda ligjërisht në KEDS dhe KESCO).</w:t>
      </w:r>
    </w:p>
    <w:p w14:paraId="4EB0C38E" w14:textId="737482CD" w:rsidR="00361CB0" w:rsidRPr="00976D33" w:rsidRDefault="00361CB0" w:rsidP="00361CB0">
      <w:r>
        <w:t>Që nga viti 2017, çmimet e prodhimit në Kosovë janë të parregulluara dhe caktohen përmes kontratave bilaterale. Në vitin 2019, HC i Ujmanit filloi të ofrojë prodhimin e tyre përmes procedurave konkurruese.</w:t>
      </w:r>
    </w:p>
    <w:p w14:paraId="6E4B101A" w14:textId="57CADBBF" w:rsidR="00361CB0" w:rsidRPr="00976D33" w:rsidRDefault="00361CB0" w:rsidP="00361CB0">
      <w:r>
        <w:t xml:space="preserve">Çmimet e konsumit të energjisë elektrike varen nga kategoria e konsumatorëve, niveli i tensionit në të cilin janë lidhur klientët dhe përdorimi i energjisë elektrike me tarifa të ndryshme sipas sezonit dhe kohës në të cilën konsumohet energjia. Rrjedhimisht, çmimi i shitjes ndryshon gjithashtu sipas rajoneve varësisht nga përqendrimi i aktiviteteve tregtare/industriale që përdorin energjinë elektrike në periudha të caktuara. Ky çmim mesatar i shitjes (pa TVSH) është paraqitur në figurën e mëposhtme, i nxjerrë nga raporti i fundit i publikuar nga ZRRE për vitin 2022.  </w:t>
      </w:r>
    </w:p>
    <w:p w14:paraId="50B59667" w14:textId="7AEA363B" w:rsidR="00361CB0" w:rsidRPr="00976D33" w:rsidRDefault="00361CB0" w:rsidP="00361CB0">
      <w:r>
        <w:t>Sipas Raportit të fundit Vjetor të ZRRE-së për vitin 2022, çmimi mesatar për ekonomitë familjare ishte 6.14 EUR-ct/kWh (çmimet e vitit 2016: 5.27 EUR-ct/kWh), ndërsa çmimi mesatar i energjisë për konsumatorët jofamiljarë ishte 9.27 EUR-ct/kWh (çmimet 2016: 7,62 EUR-ct/kWh) (</w:t>
      </w:r>
      <w:r w:rsidRPr="00976D33">
        <w:fldChar w:fldCharType="begin"/>
      </w:r>
      <w:r w:rsidRPr="00976D33">
        <w:instrText xml:space="preserve"> REF _Ref138096509 \h </w:instrText>
      </w:r>
      <w:r w:rsidR="004A7007" w:rsidRPr="00976D33">
        <w:instrText xml:space="preserve"> \* MERGEFORMAT </w:instrText>
      </w:r>
      <w:r w:rsidRPr="00976D33">
        <w:fldChar w:fldCharType="separate"/>
      </w:r>
      <w:r w:rsidR="003B7FFA">
        <w:t>Figura 60</w:t>
      </w:r>
      <w:r w:rsidRPr="00976D33">
        <w:fldChar w:fldCharType="end"/>
      </w:r>
      <w:r>
        <w:t xml:space="preserve">). Duhet theksuar se në fund të marsit të vitit 2023, Bordi i ZRRE-së miratoi tarifat e reja, të cilat janë 15.4% më të larta për të gjitha kategoritë e konsumatorëve të rregulluar. </w:t>
      </w:r>
    </w:p>
    <w:p w14:paraId="6157C90E" w14:textId="77B4F2B2" w:rsidR="00361CB0" w:rsidRDefault="00361CB0" w:rsidP="00361CB0">
      <w:r>
        <w:t xml:space="preserve">Përveç kësaj, </w:t>
      </w:r>
      <w:r w:rsidRPr="00976D33">
        <w:fldChar w:fldCharType="begin"/>
      </w:r>
      <w:r w:rsidRPr="00976D33">
        <w:instrText xml:space="preserve"> REF _Ref138096483 \h </w:instrText>
      </w:r>
      <w:r w:rsidR="004A7007" w:rsidRPr="00976D33">
        <w:instrText xml:space="preserve"> \* MERGEFORMAT </w:instrText>
      </w:r>
      <w:r w:rsidRPr="00976D33">
        <w:fldChar w:fldCharType="separate"/>
      </w:r>
      <w:r w:rsidR="003B7FFA">
        <w:t>Figura 61</w:t>
      </w:r>
      <w:r w:rsidRPr="00976D33">
        <w:fldChar w:fldCharType="end"/>
      </w:r>
      <w:r>
        <w:t xml:space="preserve"> tregon çmimet e energjisë elektrike të ekonomive familjare dhe jofamiljare për dhjetë vitet e fundit.</w:t>
      </w:r>
    </w:p>
    <w:p w14:paraId="482861D0" w14:textId="77777777" w:rsidR="00F21CB4" w:rsidRDefault="00F21CB4" w:rsidP="00361CB0"/>
    <w:p w14:paraId="1E8802FE" w14:textId="77777777" w:rsidR="00F21CB4" w:rsidRDefault="00F21CB4" w:rsidP="00361CB0"/>
    <w:p w14:paraId="75A5FB9F" w14:textId="77777777" w:rsidR="00F21CB4" w:rsidRDefault="00F21CB4" w:rsidP="00361CB0"/>
    <w:p w14:paraId="73F8D134" w14:textId="77777777" w:rsidR="00F21CB4" w:rsidRDefault="00F21CB4" w:rsidP="00361CB0"/>
    <w:p w14:paraId="7AB904A7" w14:textId="77777777" w:rsidR="00F21CB4" w:rsidRDefault="00F21CB4" w:rsidP="00361CB0"/>
    <w:p w14:paraId="5121F4FC" w14:textId="77777777" w:rsidR="00F21CB4" w:rsidRDefault="00F21CB4" w:rsidP="00361CB0"/>
    <w:p w14:paraId="1925E37F" w14:textId="77777777" w:rsidR="00F21CB4" w:rsidRDefault="00F21CB4" w:rsidP="00361CB0"/>
    <w:p w14:paraId="6D006DD9" w14:textId="77777777" w:rsidR="00F50432" w:rsidRPr="00976D33" w:rsidRDefault="00F50432" w:rsidP="00361CB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387"/>
      </w:tblGrid>
      <w:tr w:rsidR="00361CB0" w:rsidRPr="00976D33" w14:paraId="5F4FBB77" w14:textId="77777777">
        <w:tc>
          <w:tcPr>
            <w:tcW w:w="4111" w:type="dxa"/>
          </w:tcPr>
          <w:p w14:paraId="2FB9F158" w14:textId="6D2FFFCF" w:rsidR="00361CB0" w:rsidRPr="00976D33" w:rsidRDefault="00361CB0">
            <w:pPr>
              <w:pStyle w:val="Caption"/>
            </w:pPr>
            <w:bookmarkStart w:id="482" w:name="_Ref138096509"/>
            <w:bookmarkStart w:id="483" w:name="_Toc181867263"/>
            <w:r>
              <w:lastRenderedPageBreak/>
              <w:t xml:space="preserve">Figura </w:t>
            </w:r>
            <w:r w:rsidRPr="00976D33">
              <w:fldChar w:fldCharType="begin"/>
            </w:r>
            <w:r w:rsidRPr="00976D33">
              <w:instrText>SEQ Figure \* ARABIC</w:instrText>
            </w:r>
            <w:r w:rsidRPr="00976D33">
              <w:fldChar w:fldCharType="separate"/>
            </w:r>
            <w:r w:rsidR="003B7FFA">
              <w:rPr>
                <w:noProof/>
              </w:rPr>
              <w:t>60</w:t>
            </w:r>
            <w:r w:rsidRPr="00976D33">
              <w:fldChar w:fldCharType="end"/>
            </w:r>
            <w:bookmarkEnd w:id="482"/>
            <w:r>
              <w:t>. Çmimi mesatar i shitjes së energjisë elektrike pa TVSH</w:t>
            </w:r>
            <w:bookmarkEnd w:id="483"/>
          </w:p>
        </w:tc>
        <w:tc>
          <w:tcPr>
            <w:tcW w:w="5387" w:type="dxa"/>
          </w:tcPr>
          <w:p w14:paraId="0B6C92FD" w14:textId="48F1EF3C" w:rsidR="00361CB0" w:rsidRPr="00976D33" w:rsidRDefault="00361CB0">
            <w:pPr>
              <w:pStyle w:val="Caption"/>
            </w:pPr>
            <w:bookmarkStart w:id="484" w:name="_Ref138096483"/>
            <w:bookmarkStart w:id="485" w:name="_Toc181867264"/>
            <w:r>
              <w:t xml:space="preserve">Figura </w:t>
            </w:r>
            <w:r w:rsidRPr="00976D33">
              <w:fldChar w:fldCharType="begin"/>
            </w:r>
            <w:r w:rsidRPr="00976D33">
              <w:instrText>SEQ Figure \* ARABIC</w:instrText>
            </w:r>
            <w:r w:rsidRPr="00976D33">
              <w:fldChar w:fldCharType="separate"/>
            </w:r>
            <w:r w:rsidR="003B7FFA">
              <w:rPr>
                <w:noProof/>
              </w:rPr>
              <w:t>61</w:t>
            </w:r>
            <w:r w:rsidRPr="00976D33">
              <w:fldChar w:fldCharType="end"/>
            </w:r>
            <w:bookmarkEnd w:id="484"/>
            <w:r>
              <w:t>. Çmimi mesatar i energjisë elektrike për ekonomitë familjare dhe jofamiljare 2011 - 2022</w:t>
            </w:r>
            <w:bookmarkEnd w:id="485"/>
          </w:p>
        </w:tc>
      </w:tr>
    </w:tbl>
    <w:p w14:paraId="10D7AFFB" w14:textId="77777777" w:rsidR="00361CB0" w:rsidRPr="00976D33" w:rsidRDefault="00361CB0" w:rsidP="00361CB0">
      <w:pPr>
        <w:pStyle w:val="Tabellenberschrift"/>
        <w:spacing w:after="0" w:line="240" w:lineRule="auto"/>
      </w:pPr>
      <w:r>
        <w:rPr>
          <w:noProof/>
          <w:lang w:val="en-US" w:eastAsia="en-US"/>
        </w:rPr>
        <w:drawing>
          <wp:inline distT="0" distB="0" distL="0" distR="0" wp14:anchorId="203F9394" wp14:editId="12837784">
            <wp:extent cx="6079490" cy="2169795"/>
            <wp:effectExtent l="0" t="0" r="0" b="0"/>
            <wp:docPr id="287003177" name="Grafik 28700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079490" cy="2169795"/>
                    </a:xfrm>
                    <a:prstGeom prst="rect">
                      <a:avLst/>
                    </a:prstGeom>
                    <a:noFill/>
                    <a:ln>
                      <a:noFill/>
                    </a:ln>
                  </pic:spPr>
                </pic:pic>
              </a:graphicData>
            </a:graphic>
          </wp:inline>
        </w:drawing>
      </w:r>
    </w:p>
    <w:p w14:paraId="3D86EB4D" w14:textId="77777777" w:rsidR="00361CB0" w:rsidRPr="00976D33" w:rsidRDefault="00361CB0" w:rsidP="00361CB0">
      <w:pPr>
        <w:pStyle w:val="Fliesstext"/>
        <w:spacing w:before="0"/>
        <w:rPr>
          <w:i/>
          <w:color w:val="0F0D29" w:themeColor="text1"/>
          <w:sz w:val="18"/>
          <w:szCs w:val="18"/>
        </w:rPr>
      </w:pPr>
      <w:r>
        <w:rPr>
          <w:i/>
          <w:color w:val="0F0D29" w:themeColor="text1"/>
          <w:sz w:val="18"/>
        </w:rPr>
        <w:t>Burimi: Raporti Vjetor i ZRRE-së 2022, Shënim: Numrat u ulën në çmimet e vitit 2016</w:t>
      </w:r>
    </w:p>
    <w:p w14:paraId="4E2BABB8" w14:textId="3A7C133E" w:rsidR="00361CB0" w:rsidRPr="00976D33" w:rsidRDefault="00361CB0" w:rsidP="00361CB0">
      <w:pPr>
        <w:pStyle w:val="Caption"/>
      </w:pPr>
      <w:bookmarkStart w:id="486" w:name="_Toc181867310"/>
      <w:r>
        <w:t xml:space="preserve">Tabela </w:t>
      </w:r>
      <w:r w:rsidRPr="00976D33">
        <w:fldChar w:fldCharType="begin"/>
      </w:r>
      <w:r w:rsidRPr="00976D33">
        <w:instrText>SEQ Table \* ARABIC</w:instrText>
      </w:r>
      <w:r w:rsidRPr="00976D33">
        <w:fldChar w:fldCharType="separate"/>
      </w:r>
      <w:r w:rsidR="003B7FFA">
        <w:rPr>
          <w:noProof/>
        </w:rPr>
        <w:t>17</w:t>
      </w:r>
      <w:r w:rsidRPr="00976D33">
        <w:fldChar w:fldCharType="end"/>
      </w:r>
      <w:r>
        <w:t>. Struktura tarifore për konsumatorët e rregulluar në vitin 2022</w:t>
      </w:r>
      <w:bookmarkEnd w:id="486"/>
    </w:p>
    <w:tbl>
      <w:tblPr>
        <w:tblStyle w:val="ListTable3-Accent1"/>
        <w:tblW w:w="5000" w:type="pct"/>
        <w:tblLook w:val="01E0" w:firstRow="1" w:lastRow="1" w:firstColumn="1" w:lastColumn="1" w:noHBand="0" w:noVBand="0"/>
      </w:tblPr>
      <w:tblGrid>
        <w:gridCol w:w="910"/>
        <w:gridCol w:w="1496"/>
        <w:gridCol w:w="2552"/>
        <w:gridCol w:w="2070"/>
        <w:gridCol w:w="1337"/>
        <w:gridCol w:w="1199"/>
      </w:tblGrid>
      <w:tr w:rsidR="00361CB0" w:rsidRPr="00976D33" w14:paraId="24DEA643" w14:textId="77777777">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476" w:type="pct"/>
            <w:vAlign w:val="center"/>
          </w:tcPr>
          <w:p w14:paraId="7C6798DE" w14:textId="77777777" w:rsidR="00361CB0" w:rsidRPr="00976D33" w:rsidRDefault="00361CB0">
            <w:pPr>
              <w:widowControl w:val="0"/>
              <w:autoSpaceDE w:val="0"/>
              <w:autoSpaceDN w:val="0"/>
              <w:spacing w:before="0" w:after="0"/>
              <w:ind w:left="158"/>
              <w:jc w:val="center"/>
              <w:rPr>
                <w:rFonts w:asciiTheme="majorHAnsi" w:eastAsia="Calibri" w:hAnsiTheme="majorHAnsi" w:cstheme="majorHAnsi"/>
                <w:color w:val="FFFFFF" w:themeColor="background1"/>
                <w:sz w:val="18"/>
                <w:szCs w:val="18"/>
              </w:rPr>
            </w:pPr>
            <w:r>
              <w:rPr>
                <w:rFonts w:asciiTheme="majorHAnsi" w:hAnsiTheme="majorHAnsi"/>
                <w:color w:val="FFFFFF" w:themeColor="background1"/>
                <w:sz w:val="18"/>
              </w:rPr>
              <w:t>Grupi tarifor</w:t>
            </w:r>
          </w:p>
        </w:tc>
        <w:tc>
          <w:tcPr>
            <w:cnfStyle w:val="000010000000" w:firstRow="0" w:lastRow="0" w:firstColumn="0" w:lastColumn="0" w:oddVBand="1" w:evenVBand="0" w:oddHBand="0" w:evenHBand="0" w:firstRowFirstColumn="0" w:firstRowLastColumn="0" w:lastRowFirstColumn="0" w:lastRowLastColumn="0"/>
            <w:tcW w:w="782" w:type="pct"/>
            <w:vAlign w:val="center"/>
          </w:tcPr>
          <w:p w14:paraId="2D60737C" w14:textId="77777777" w:rsidR="00361CB0" w:rsidRPr="00976D33" w:rsidRDefault="00361CB0">
            <w:pPr>
              <w:widowControl w:val="0"/>
              <w:autoSpaceDE w:val="0"/>
              <w:autoSpaceDN w:val="0"/>
              <w:spacing w:before="0" w:after="0"/>
              <w:ind w:left="195"/>
              <w:jc w:val="center"/>
              <w:rPr>
                <w:rFonts w:asciiTheme="majorHAnsi" w:eastAsia="Calibri" w:hAnsiTheme="majorHAnsi" w:cstheme="majorHAnsi"/>
                <w:color w:val="FFFFFF" w:themeColor="background1"/>
                <w:sz w:val="18"/>
                <w:szCs w:val="18"/>
              </w:rPr>
            </w:pPr>
            <w:r>
              <w:rPr>
                <w:rFonts w:asciiTheme="majorHAnsi" w:hAnsiTheme="majorHAnsi"/>
                <w:color w:val="FFFFFF" w:themeColor="background1"/>
                <w:sz w:val="18"/>
              </w:rPr>
              <w:t>Furnizimi i nivelit të tensionit</w:t>
            </w:r>
          </w:p>
        </w:tc>
        <w:tc>
          <w:tcPr>
            <w:tcW w:w="1334" w:type="pct"/>
            <w:vAlign w:val="center"/>
          </w:tcPr>
          <w:p w14:paraId="683B392E" w14:textId="77777777" w:rsidR="00361CB0" w:rsidRPr="00976D33" w:rsidRDefault="00361CB0">
            <w:pPr>
              <w:widowControl w:val="0"/>
              <w:autoSpaceDE w:val="0"/>
              <w:autoSpaceDN w:val="0"/>
              <w:spacing w:before="0" w:after="0"/>
              <w:ind w:left="539"/>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FFFFFF" w:themeColor="background1"/>
                <w:sz w:val="18"/>
                <w:szCs w:val="18"/>
              </w:rPr>
            </w:pPr>
            <w:r>
              <w:rPr>
                <w:rFonts w:asciiTheme="majorHAnsi" w:hAnsiTheme="majorHAnsi"/>
                <w:color w:val="FFFFFF" w:themeColor="background1"/>
                <w:sz w:val="18"/>
              </w:rPr>
              <w:t>Elementi tarifor</w:t>
            </w:r>
          </w:p>
        </w:tc>
        <w:tc>
          <w:tcPr>
            <w:cnfStyle w:val="000010000000" w:firstRow="0" w:lastRow="0" w:firstColumn="0" w:lastColumn="0" w:oddVBand="1" w:evenVBand="0" w:oddHBand="0" w:evenHBand="0" w:firstRowFirstColumn="0" w:firstRowLastColumn="0" w:lastRowFirstColumn="0" w:lastRowLastColumn="0"/>
            <w:tcW w:w="1082" w:type="pct"/>
            <w:vAlign w:val="center"/>
          </w:tcPr>
          <w:p w14:paraId="430D9172" w14:textId="77777777" w:rsidR="00361CB0" w:rsidRPr="00976D33" w:rsidRDefault="00361CB0">
            <w:pPr>
              <w:widowControl w:val="0"/>
              <w:autoSpaceDE w:val="0"/>
              <w:autoSpaceDN w:val="0"/>
              <w:spacing w:before="0" w:after="0"/>
              <w:ind w:left="488" w:right="471"/>
              <w:jc w:val="center"/>
              <w:rPr>
                <w:rFonts w:asciiTheme="majorHAnsi" w:eastAsia="Calibri" w:hAnsiTheme="majorHAnsi" w:cstheme="majorHAnsi"/>
                <w:color w:val="FFFFFF" w:themeColor="background1"/>
                <w:sz w:val="18"/>
                <w:szCs w:val="18"/>
              </w:rPr>
            </w:pPr>
            <w:r>
              <w:rPr>
                <w:rFonts w:asciiTheme="majorHAnsi" w:hAnsiTheme="majorHAnsi"/>
                <w:color w:val="FFFFFF" w:themeColor="background1"/>
                <w:sz w:val="18"/>
              </w:rPr>
              <w:t>Njësia</w:t>
            </w:r>
          </w:p>
        </w:tc>
        <w:tc>
          <w:tcPr>
            <w:tcW w:w="699" w:type="pct"/>
            <w:vAlign w:val="center"/>
          </w:tcPr>
          <w:p w14:paraId="7A91A64A" w14:textId="77777777" w:rsidR="00361CB0" w:rsidRPr="00976D33" w:rsidRDefault="00361CB0">
            <w:pPr>
              <w:widowControl w:val="0"/>
              <w:autoSpaceDE w:val="0"/>
              <w:autoSpaceDN w:val="0"/>
              <w:spacing w:before="0" w:after="0"/>
              <w:ind w:left="26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FFFFFF" w:themeColor="background1"/>
                <w:sz w:val="18"/>
                <w:szCs w:val="18"/>
              </w:rPr>
            </w:pPr>
            <w:r>
              <w:rPr>
                <w:rFonts w:asciiTheme="majorHAnsi" w:hAnsiTheme="majorHAnsi"/>
                <w:color w:val="FFFFFF" w:themeColor="background1"/>
                <w:sz w:val="18"/>
              </w:rPr>
              <w:t>Koha e ditës</w:t>
            </w:r>
          </w:p>
        </w:tc>
        <w:tc>
          <w:tcPr>
            <w:cnfStyle w:val="000100001000" w:firstRow="0" w:lastRow="0" w:firstColumn="0" w:lastColumn="1" w:oddVBand="0" w:evenVBand="0" w:oddHBand="0" w:evenHBand="0" w:firstRowFirstColumn="0" w:firstRowLastColumn="1" w:lastRowFirstColumn="0" w:lastRowLastColumn="0"/>
            <w:tcW w:w="628" w:type="pct"/>
            <w:vAlign w:val="center"/>
          </w:tcPr>
          <w:p w14:paraId="40A569F5" w14:textId="77777777" w:rsidR="00361CB0" w:rsidRPr="00976D33" w:rsidRDefault="00361CB0">
            <w:pPr>
              <w:widowControl w:val="0"/>
              <w:autoSpaceDE w:val="0"/>
              <w:autoSpaceDN w:val="0"/>
              <w:spacing w:before="0" w:after="0"/>
              <w:ind w:right="341"/>
              <w:jc w:val="center"/>
              <w:rPr>
                <w:rFonts w:asciiTheme="majorHAnsi" w:eastAsia="Calibri" w:hAnsiTheme="majorHAnsi" w:cstheme="majorHAnsi"/>
                <w:color w:val="FFFFFF" w:themeColor="background1"/>
                <w:sz w:val="18"/>
                <w:szCs w:val="18"/>
              </w:rPr>
            </w:pPr>
            <w:r>
              <w:rPr>
                <w:rFonts w:asciiTheme="majorHAnsi" w:hAnsiTheme="majorHAnsi"/>
                <w:color w:val="FFFFFF" w:themeColor="background1"/>
                <w:sz w:val="18"/>
              </w:rPr>
              <w:t>Tarifa</w:t>
            </w:r>
          </w:p>
        </w:tc>
      </w:tr>
      <w:tr w:rsidR="00361CB0" w:rsidRPr="00976D33" w14:paraId="2196401F" w14:textId="7777777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76" w:type="pct"/>
            <w:vMerge w:val="restart"/>
            <w:vAlign w:val="center"/>
          </w:tcPr>
          <w:p w14:paraId="0C9D0C0B" w14:textId="77777777" w:rsidR="00361CB0" w:rsidRPr="00976D33" w:rsidRDefault="00361CB0">
            <w:pPr>
              <w:widowControl w:val="0"/>
              <w:autoSpaceDE w:val="0"/>
              <w:autoSpaceDN w:val="0"/>
              <w:spacing w:before="0" w:after="0"/>
              <w:ind w:left="21"/>
              <w:jc w:val="left"/>
              <w:rPr>
                <w:rFonts w:asciiTheme="majorHAnsi" w:eastAsia="Calibri" w:hAnsiTheme="majorHAnsi" w:cstheme="majorHAnsi"/>
                <w:sz w:val="18"/>
                <w:szCs w:val="18"/>
              </w:rPr>
            </w:pPr>
            <w:r>
              <w:rPr>
                <w:rFonts w:asciiTheme="majorHAnsi" w:hAnsiTheme="majorHAnsi"/>
                <w:sz w:val="18"/>
              </w:rPr>
              <w:t>1</w:t>
            </w:r>
          </w:p>
        </w:tc>
        <w:tc>
          <w:tcPr>
            <w:cnfStyle w:val="000010000000" w:firstRow="0" w:lastRow="0" w:firstColumn="0" w:lastColumn="0" w:oddVBand="1" w:evenVBand="0" w:oddHBand="0" w:evenHBand="0" w:firstRowFirstColumn="0" w:firstRowLastColumn="0" w:lastRowFirstColumn="0" w:lastRowLastColumn="0"/>
            <w:tcW w:w="782" w:type="pct"/>
            <w:vMerge w:val="restart"/>
            <w:vAlign w:val="center"/>
          </w:tcPr>
          <w:p w14:paraId="7FE3C235" w14:textId="77777777" w:rsidR="00361CB0" w:rsidRPr="00976D33" w:rsidRDefault="00361CB0">
            <w:pPr>
              <w:widowControl w:val="0"/>
              <w:autoSpaceDE w:val="0"/>
              <w:autoSpaceDN w:val="0"/>
              <w:spacing w:before="0" w:after="0"/>
              <w:jc w:val="left"/>
              <w:rPr>
                <w:rFonts w:asciiTheme="majorHAnsi" w:eastAsia="Calibri" w:hAnsiTheme="majorHAnsi" w:cstheme="majorHAnsi"/>
                <w:sz w:val="18"/>
                <w:szCs w:val="18"/>
              </w:rPr>
            </w:pPr>
            <w:r>
              <w:rPr>
                <w:rFonts w:asciiTheme="majorHAnsi" w:hAnsiTheme="majorHAnsi"/>
                <w:sz w:val="18"/>
              </w:rPr>
              <w:t>35 kV</w:t>
            </w:r>
          </w:p>
        </w:tc>
        <w:tc>
          <w:tcPr>
            <w:tcW w:w="1334" w:type="pct"/>
            <w:vAlign w:val="center"/>
          </w:tcPr>
          <w:p w14:paraId="5F9E5EA4" w14:textId="77777777" w:rsidR="00361CB0" w:rsidRPr="00976D33" w:rsidRDefault="00361CB0">
            <w:pPr>
              <w:widowControl w:val="0"/>
              <w:autoSpaceDE w:val="0"/>
              <w:autoSpaceDN w:val="0"/>
              <w:spacing w:before="0" w:after="0"/>
              <w:ind w:left="30"/>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Tarifa fikse e konsumatorit</w:t>
            </w:r>
          </w:p>
        </w:tc>
        <w:tc>
          <w:tcPr>
            <w:cnfStyle w:val="000010000000" w:firstRow="0" w:lastRow="0" w:firstColumn="0" w:lastColumn="0" w:oddVBand="1" w:evenVBand="0" w:oddHBand="0" w:evenHBand="0" w:firstRowFirstColumn="0" w:firstRowLastColumn="0" w:lastRowFirstColumn="0" w:lastRowLastColumn="0"/>
            <w:tcW w:w="1082" w:type="pct"/>
            <w:vAlign w:val="center"/>
          </w:tcPr>
          <w:p w14:paraId="59A1AF4A" w14:textId="77777777" w:rsidR="00361CB0" w:rsidRPr="00976D33" w:rsidRDefault="00361CB0">
            <w:pPr>
              <w:widowControl w:val="0"/>
              <w:autoSpaceDE w:val="0"/>
              <w:autoSpaceDN w:val="0"/>
              <w:spacing w:before="0" w:after="0"/>
              <w:ind w:left="34" w:right="-108"/>
              <w:jc w:val="left"/>
              <w:rPr>
                <w:rFonts w:asciiTheme="majorHAnsi" w:eastAsia="Calibri" w:hAnsiTheme="majorHAnsi" w:cstheme="majorHAnsi"/>
                <w:sz w:val="18"/>
                <w:szCs w:val="18"/>
              </w:rPr>
            </w:pPr>
            <w:r>
              <w:rPr>
                <w:rFonts w:asciiTheme="majorHAnsi" w:hAnsiTheme="majorHAnsi"/>
                <w:sz w:val="18"/>
              </w:rPr>
              <w:t>€/konsumator/muaj</w:t>
            </w:r>
          </w:p>
        </w:tc>
        <w:tc>
          <w:tcPr>
            <w:tcW w:w="699" w:type="pct"/>
            <w:vAlign w:val="center"/>
          </w:tcPr>
          <w:p w14:paraId="2ACE916F" w14:textId="77777777" w:rsidR="00361CB0" w:rsidRPr="00976D33" w:rsidRDefault="00361CB0">
            <w:pPr>
              <w:widowControl w:val="0"/>
              <w:autoSpaceDE w:val="0"/>
              <w:autoSpaceDN w:val="0"/>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p>
        </w:tc>
        <w:tc>
          <w:tcPr>
            <w:cnfStyle w:val="000100000000" w:firstRow="0" w:lastRow="0" w:firstColumn="0" w:lastColumn="1" w:oddVBand="0" w:evenVBand="0" w:oddHBand="0" w:evenHBand="0" w:firstRowFirstColumn="0" w:firstRowLastColumn="0" w:lastRowFirstColumn="0" w:lastRowLastColumn="0"/>
            <w:tcW w:w="628" w:type="pct"/>
            <w:vAlign w:val="center"/>
          </w:tcPr>
          <w:p w14:paraId="51AE2A36" w14:textId="77777777" w:rsidR="00361CB0" w:rsidRPr="00976D33" w:rsidRDefault="00361CB0">
            <w:pPr>
              <w:widowControl w:val="0"/>
              <w:autoSpaceDE w:val="0"/>
              <w:autoSpaceDN w:val="0"/>
              <w:spacing w:before="0" w:after="0"/>
              <w:ind w:right="349"/>
              <w:jc w:val="left"/>
              <w:rPr>
                <w:rFonts w:asciiTheme="majorHAnsi" w:eastAsia="Calibri" w:hAnsiTheme="majorHAnsi" w:cstheme="majorHAnsi"/>
                <w:sz w:val="18"/>
                <w:szCs w:val="18"/>
              </w:rPr>
            </w:pPr>
            <w:r>
              <w:rPr>
                <w:rFonts w:asciiTheme="majorHAnsi" w:hAnsiTheme="majorHAnsi"/>
                <w:sz w:val="18"/>
              </w:rPr>
              <w:t>9.60</w:t>
            </w:r>
          </w:p>
        </w:tc>
      </w:tr>
      <w:tr w:rsidR="00361CB0" w:rsidRPr="00976D33" w14:paraId="79FF88E0" w14:textId="77777777">
        <w:trPr>
          <w:trHeight w:val="224"/>
        </w:trPr>
        <w:tc>
          <w:tcPr>
            <w:cnfStyle w:val="001000000000" w:firstRow="0" w:lastRow="0" w:firstColumn="1" w:lastColumn="0" w:oddVBand="0" w:evenVBand="0" w:oddHBand="0" w:evenHBand="0" w:firstRowFirstColumn="0" w:firstRowLastColumn="0" w:lastRowFirstColumn="0" w:lastRowLastColumn="0"/>
            <w:tcW w:w="476" w:type="pct"/>
            <w:vMerge/>
            <w:vAlign w:val="center"/>
          </w:tcPr>
          <w:p w14:paraId="1C26AB52" w14:textId="77777777" w:rsidR="00361CB0" w:rsidRPr="00976D33" w:rsidRDefault="00361CB0">
            <w:pPr>
              <w:spacing w:before="0" w:after="0"/>
              <w:jc w:val="left"/>
              <w:rPr>
                <w:rFonts w:asciiTheme="majorHAns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14:paraId="12873C43" w14:textId="77777777" w:rsidR="00361CB0" w:rsidRPr="00976D33" w:rsidRDefault="00361CB0">
            <w:pPr>
              <w:spacing w:before="0" w:after="0"/>
              <w:jc w:val="left"/>
              <w:rPr>
                <w:rFonts w:asciiTheme="majorHAnsi" w:hAnsiTheme="majorHAnsi" w:cstheme="majorHAnsi"/>
                <w:sz w:val="18"/>
                <w:szCs w:val="18"/>
              </w:rPr>
            </w:pPr>
          </w:p>
        </w:tc>
        <w:tc>
          <w:tcPr>
            <w:tcW w:w="1334" w:type="pct"/>
            <w:vAlign w:val="center"/>
          </w:tcPr>
          <w:p w14:paraId="691F9727" w14:textId="77777777" w:rsidR="00361CB0" w:rsidRPr="00976D33" w:rsidRDefault="00361CB0">
            <w:pPr>
              <w:widowControl w:val="0"/>
              <w:autoSpaceDE w:val="0"/>
              <w:autoSpaceDN w:val="0"/>
              <w:spacing w:before="0" w:after="0"/>
              <w:ind w:left="3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Energjia e shfrytëzuar</w:t>
            </w:r>
          </w:p>
        </w:tc>
        <w:tc>
          <w:tcPr>
            <w:cnfStyle w:val="000010000000" w:firstRow="0" w:lastRow="0" w:firstColumn="0" w:lastColumn="0" w:oddVBand="1" w:evenVBand="0" w:oddHBand="0" w:evenHBand="0" w:firstRowFirstColumn="0" w:firstRowLastColumn="0" w:lastRowFirstColumn="0" w:lastRowLastColumn="0"/>
            <w:tcW w:w="1082" w:type="pct"/>
            <w:vAlign w:val="center"/>
          </w:tcPr>
          <w:p w14:paraId="7BF69193" w14:textId="77777777" w:rsidR="00361CB0" w:rsidRPr="00976D33" w:rsidRDefault="00361CB0">
            <w:pPr>
              <w:widowControl w:val="0"/>
              <w:autoSpaceDE w:val="0"/>
              <w:autoSpaceDN w:val="0"/>
              <w:spacing w:before="0" w:after="0"/>
              <w:ind w:left="34" w:right="-108"/>
              <w:jc w:val="left"/>
              <w:rPr>
                <w:rFonts w:asciiTheme="majorHAnsi" w:eastAsia="Calibri" w:hAnsiTheme="majorHAnsi" w:cstheme="majorHAnsi"/>
                <w:sz w:val="18"/>
                <w:szCs w:val="18"/>
              </w:rPr>
            </w:pPr>
            <w:r>
              <w:rPr>
                <w:rFonts w:asciiTheme="majorHAnsi" w:hAnsiTheme="majorHAnsi"/>
                <w:sz w:val="18"/>
              </w:rPr>
              <w:t>€/kW/muaj</w:t>
            </w:r>
          </w:p>
        </w:tc>
        <w:tc>
          <w:tcPr>
            <w:tcW w:w="699" w:type="pct"/>
            <w:vAlign w:val="center"/>
          </w:tcPr>
          <w:p w14:paraId="3D3BAF83" w14:textId="77777777" w:rsidR="00361CB0" w:rsidRPr="00976D33" w:rsidRDefault="00361CB0">
            <w:pPr>
              <w:widowControl w:val="0"/>
              <w:autoSpaceDE w:val="0"/>
              <w:autoSpaceDN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p>
        </w:tc>
        <w:tc>
          <w:tcPr>
            <w:cnfStyle w:val="000100000000" w:firstRow="0" w:lastRow="0" w:firstColumn="0" w:lastColumn="1" w:oddVBand="0" w:evenVBand="0" w:oddHBand="0" w:evenHBand="0" w:firstRowFirstColumn="0" w:firstRowLastColumn="0" w:lastRowFirstColumn="0" w:lastRowLastColumn="0"/>
            <w:tcW w:w="628" w:type="pct"/>
            <w:vAlign w:val="center"/>
          </w:tcPr>
          <w:p w14:paraId="35C8F8DA" w14:textId="77777777" w:rsidR="00361CB0" w:rsidRPr="00976D33" w:rsidRDefault="00361CB0">
            <w:pPr>
              <w:widowControl w:val="0"/>
              <w:autoSpaceDE w:val="0"/>
              <w:autoSpaceDN w:val="0"/>
              <w:spacing w:before="0" w:after="0"/>
              <w:ind w:right="387"/>
              <w:jc w:val="left"/>
              <w:rPr>
                <w:rFonts w:asciiTheme="majorHAnsi" w:eastAsia="Calibri" w:hAnsiTheme="majorHAnsi" w:cstheme="majorHAnsi"/>
                <w:sz w:val="18"/>
                <w:szCs w:val="18"/>
              </w:rPr>
            </w:pPr>
            <w:r>
              <w:rPr>
                <w:rFonts w:asciiTheme="majorHAnsi" w:hAnsiTheme="majorHAnsi"/>
                <w:sz w:val="18"/>
              </w:rPr>
              <w:t>5.02</w:t>
            </w:r>
          </w:p>
        </w:tc>
      </w:tr>
      <w:tr w:rsidR="00361CB0" w:rsidRPr="00976D33" w14:paraId="1BCB64D0" w14:textId="7777777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76" w:type="pct"/>
            <w:vMerge/>
            <w:vAlign w:val="center"/>
          </w:tcPr>
          <w:p w14:paraId="5B32F6BB" w14:textId="77777777" w:rsidR="00361CB0" w:rsidRPr="00976D33" w:rsidRDefault="00361CB0">
            <w:pPr>
              <w:spacing w:before="0" w:after="0"/>
              <w:jc w:val="left"/>
              <w:rPr>
                <w:rFonts w:asciiTheme="majorHAns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14:paraId="4D30396D" w14:textId="77777777" w:rsidR="00361CB0" w:rsidRPr="00976D33" w:rsidRDefault="00361CB0">
            <w:pPr>
              <w:spacing w:before="0" w:after="0"/>
              <w:jc w:val="left"/>
              <w:rPr>
                <w:rFonts w:asciiTheme="majorHAnsi" w:hAnsiTheme="majorHAnsi" w:cstheme="majorHAnsi"/>
                <w:sz w:val="18"/>
                <w:szCs w:val="18"/>
              </w:rPr>
            </w:pPr>
          </w:p>
        </w:tc>
        <w:tc>
          <w:tcPr>
            <w:tcW w:w="1334" w:type="pct"/>
            <w:vMerge w:val="restart"/>
            <w:vAlign w:val="center"/>
          </w:tcPr>
          <w:p w14:paraId="4E17EE1A" w14:textId="77777777" w:rsidR="00361CB0" w:rsidRPr="00976D33" w:rsidRDefault="00361CB0">
            <w:pPr>
              <w:widowControl w:val="0"/>
              <w:autoSpaceDE w:val="0"/>
              <w:autoSpaceDN w:val="0"/>
              <w:spacing w:before="0" w:after="0"/>
              <w:ind w:left="30" w:right="-29"/>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Energjia aktive (P), nga e cila</w:t>
            </w:r>
          </w:p>
        </w:tc>
        <w:tc>
          <w:tcPr>
            <w:cnfStyle w:val="000010000000" w:firstRow="0" w:lastRow="0" w:firstColumn="0" w:lastColumn="0" w:oddVBand="1" w:evenVBand="0" w:oddHBand="0" w:evenHBand="0" w:firstRowFirstColumn="0" w:firstRowLastColumn="0" w:lastRowFirstColumn="0" w:lastRowLastColumn="0"/>
            <w:tcW w:w="1082" w:type="pct"/>
            <w:vAlign w:val="center"/>
          </w:tcPr>
          <w:p w14:paraId="07163DAE" w14:textId="77777777" w:rsidR="00361CB0" w:rsidRPr="00976D33" w:rsidRDefault="00361CB0">
            <w:pPr>
              <w:widowControl w:val="0"/>
              <w:autoSpaceDE w:val="0"/>
              <w:autoSpaceDN w:val="0"/>
              <w:spacing w:before="0" w:after="0"/>
              <w:ind w:left="34" w:right="-108"/>
              <w:jc w:val="left"/>
              <w:rPr>
                <w:rFonts w:asciiTheme="majorHAnsi" w:eastAsia="Calibri" w:hAnsiTheme="majorHAnsi" w:cstheme="majorHAnsi"/>
                <w:sz w:val="18"/>
                <w:szCs w:val="18"/>
              </w:rPr>
            </w:pPr>
            <w:r>
              <w:rPr>
                <w:rFonts w:asciiTheme="majorHAnsi" w:hAnsiTheme="majorHAnsi"/>
                <w:sz w:val="18"/>
              </w:rPr>
              <w:t>€c/kWh</w:t>
            </w:r>
          </w:p>
        </w:tc>
        <w:tc>
          <w:tcPr>
            <w:tcW w:w="699" w:type="pct"/>
            <w:vAlign w:val="center"/>
          </w:tcPr>
          <w:p w14:paraId="7B48F4B4" w14:textId="77777777" w:rsidR="00361CB0" w:rsidRPr="00976D33" w:rsidRDefault="00361CB0">
            <w:pPr>
              <w:widowControl w:val="0"/>
              <w:autoSpaceDE w:val="0"/>
              <w:autoSpaceDN w:val="0"/>
              <w:spacing w:before="0" w:after="0"/>
              <w:ind w:left="31"/>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Tarifa e lartë</w:t>
            </w:r>
          </w:p>
        </w:tc>
        <w:tc>
          <w:tcPr>
            <w:cnfStyle w:val="000100000000" w:firstRow="0" w:lastRow="0" w:firstColumn="0" w:lastColumn="1" w:oddVBand="0" w:evenVBand="0" w:oddHBand="0" w:evenHBand="0" w:firstRowFirstColumn="0" w:firstRowLastColumn="0" w:lastRowFirstColumn="0" w:lastRowLastColumn="0"/>
            <w:tcW w:w="628" w:type="pct"/>
            <w:vAlign w:val="center"/>
          </w:tcPr>
          <w:p w14:paraId="38E09BF2" w14:textId="77777777" w:rsidR="00361CB0" w:rsidRPr="00976D33" w:rsidRDefault="00361CB0">
            <w:pPr>
              <w:widowControl w:val="0"/>
              <w:autoSpaceDE w:val="0"/>
              <w:autoSpaceDN w:val="0"/>
              <w:spacing w:before="0" w:after="0"/>
              <w:ind w:right="387"/>
              <w:jc w:val="left"/>
              <w:rPr>
                <w:rFonts w:asciiTheme="majorHAnsi" w:eastAsia="Calibri" w:hAnsiTheme="majorHAnsi" w:cstheme="majorHAnsi"/>
                <w:sz w:val="18"/>
                <w:szCs w:val="18"/>
              </w:rPr>
            </w:pPr>
            <w:r>
              <w:rPr>
                <w:rFonts w:asciiTheme="majorHAnsi" w:hAnsiTheme="majorHAnsi"/>
                <w:sz w:val="18"/>
              </w:rPr>
              <w:t>4.22</w:t>
            </w:r>
          </w:p>
        </w:tc>
      </w:tr>
      <w:tr w:rsidR="00361CB0" w:rsidRPr="00976D33" w14:paraId="1D320E77" w14:textId="77777777">
        <w:trPr>
          <w:trHeight w:val="225"/>
        </w:trPr>
        <w:tc>
          <w:tcPr>
            <w:cnfStyle w:val="001000000000" w:firstRow="0" w:lastRow="0" w:firstColumn="1" w:lastColumn="0" w:oddVBand="0" w:evenVBand="0" w:oddHBand="0" w:evenHBand="0" w:firstRowFirstColumn="0" w:firstRowLastColumn="0" w:lastRowFirstColumn="0" w:lastRowLastColumn="0"/>
            <w:tcW w:w="476" w:type="pct"/>
            <w:vMerge/>
            <w:vAlign w:val="center"/>
          </w:tcPr>
          <w:p w14:paraId="64E7477E" w14:textId="77777777" w:rsidR="00361CB0" w:rsidRPr="00976D33" w:rsidRDefault="00361CB0">
            <w:pPr>
              <w:spacing w:before="0" w:after="0"/>
              <w:jc w:val="left"/>
              <w:rPr>
                <w:rFonts w:asciiTheme="majorHAns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14:paraId="17AE9500" w14:textId="77777777" w:rsidR="00361CB0" w:rsidRPr="00976D33" w:rsidRDefault="00361CB0">
            <w:pPr>
              <w:spacing w:before="0" w:after="0"/>
              <w:jc w:val="left"/>
              <w:rPr>
                <w:rFonts w:asciiTheme="majorHAnsi" w:hAnsiTheme="majorHAnsi" w:cstheme="majorHAnsi"/>
                <w:sz w:val="18"/>
                <w:szCs w:val="18"/>
              </w:rPr>
            </w:pPr>
          </w:p>
        </w:tc>
        <w:tc>
          <w:tcPr>
            <w:tcW w:w="1334" w:type="pct"/>
            <w:vMerge/>
            <w:vAlign w:val="center"/>
          </w:tcPr>
          <w:p w14:paraId="1F96EDE1" w14:textId="77777777" w:rsidR="00361CB0" w:rsidRPr="00976D33" w:rsidRDefault="00361CB0">
            <w:pPr>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1082" w:type="pct"/>
            <w:vAlign w:val="center"/>
          </w:tcPr>
          <w:p w14:paraId="7C309226" w14:textId="77777777" w:rsidR="00361CB0" w:rsidRPr="00976D33" w:rsidRDefault="00361CB0">
            <w:pPr>
              <w:widowControl w:val="0"/>
              <w:autoSpaceDE w:val="0"/>
              <w:autoSpaceDN w:val="0"/>
              <w:spacing w:before="0" w:after="0"/>
              <w:ind w:left="34" w:right="-108"/>
              <w:jc w:val="left"/>
              <w:rPr>
                <w:rFonts w:asciiTheme="majorHAnsi" w:eastAsia="Calibri" w:hAnsiTheme="majorHAnsi" w:cstheme="majorHAnsi"/>
                <w:sz w:val="18"/>
                <w:szCs w:val="18"/>
              </w:rPr>
            </w:pPr>
            <w:r>
              <w:rPr>
                <w:rFonts w:asciiTheme="majorHAnsi" w:hAnsiTheme="majorHAnsi"/>
                <w:sz w:val="18"/>
              </w:rPr>
              <w:t>€c/kWh</w:t>
            </w:r>
          </w:p>
        </w:tc>
        <w:tc>
          <w:tcPr>
            <w:tcW w:w="699" w:type="pct"/>
            <w:vAlign w:val="center"/>
          </w:tcPr>
          <w:p w14:paraId="6E63AB98" w14:textId="77777777" w:rsidR="00361CB0" w:rsidRPr="00976D33" w:rsidRDefault="00361CB0">
            <w:pPr>
              <w:widowControl w:val="0"/>
              <w:autoSpaceDE w:val="0"/>
              <w:autoSpaceDN w:val="0"/>
              <w:spacing w:before="0" w:after="0"/>
              <w:ind w:left="31"/>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Tarifa e ulët</w:t>
            </w:r>
          </w:p>
        </w:tc>
        <w:tc>
          <w:tcPr>
            <w:cnfStyle w:val="000100000000" w:firstRow="0" w:lastRow="0" w:firstColumn="0" w:lastColumn="1" w:oddVBand="0" w:evenVBand="0" w:oddHBand="0" w:evenHBand="0" w:firstRowFirstColumn="0" w:firstRowLastColumn="0" w:lastRowFirstColumn="0" w:lastRowLastColumn="0"/>
            <w:tcW w:w="628" w:type="pct"/>
            <w:vAlign w:val="center"/>
          </w:tcPr>
          <w:p w14:paraId="00BAE6BA" w14:textId="77777777" w:rsidR="00361CB0" w:rsidRPr="00976D33" w:rsidRDefault="00361CB0">
            <w:pPr>
              <w:widowControl w:val="0"/>
              <w:autoSpaceDE w:val="0"/>
              <w:autoSpaceDN w:val="0"/>
              <w:spacing w:before="0" w:after="0"/>
              <w:ind w:right="387"/>
              <w:jc w:val="left"/>
              <w:rPr>
                <w:rFonts w:asciiTheme="majorHAnsi" w:eastAsia="Calibri" w:hAnsiTheme="majorHAnsi" w:cstheme="majorHAnsi"/>
                <w:sz w:val="18"/>
                <w:szCs w:val="18"/>
              </w:rPr>
            </w:pPr>
            <w:r>
              <w:rPr>
                <w:rFonts w:asciiTheme="majorHAnsi" w:hAnsiTheme="majorHAnsi"/>
                <w:sz w:val="18"/>
              </w:rPr>
              <w:t>2.71</w:t>
            </w:r>
          </w:p>
        </w:tc>
      </w:tr>
      <w:tr w:rsidR="00361CB0" w:rsidRPr="00976D33" w14:paraId="19BB0880" w14:textId="7777777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76" w:type="pct"/>
            <w:vMerge/>
            <w:vAlign w:val="center"/>
          </w:tcPr>
          <w:p w14:paraId="2461BB1B" w14:textId="77777777" w:rsidR="00361CB0" w:rsidRPr="00976D33" w:rsidRDefault="00361CB0">
            <w:pPr>
              <w:spacing w:before="0" w:after="0"/>
              <w:jc w:val="left"/>
              <w:rPr>
                <w:rFonts w:asciiTheme="majorHAns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14:paraId="5453D1E9" w14:textId="77777777" w:rsidR="00361CB0" w:rsidRPr="00976D33" w:rsidRDefault="00361CB0">
            <w:pPr>
              <w:spacing w:before="0" w:after="0"/>
              <w:jc w:val="left"/>
              <w:rPr>
                <w:rFonts w:asciiTheme="majorHAnsi" w:hAnsiTheme="majorHAnsi" w:cstheme="majorHAnsi"/>
                <w:sz w:val="18"/>
                <w:szCs w:val="18"/>
              </w:rPr>
            </w:pPr>
          </w:p>
        </w:tc>
        <w:tc>
          <w:tcPr>
            <w:tcW w:w="1334" w:type="pct"/>
            <w:vAlign w:val="center"/>
          </w:tcPr>
          <w:p w14:paraId="2EA8CAB3" w14:textId="77777777" w:rsidR="00361CB0" w:rsidRPr="00976D33" w:rsidRDefault="00361CB0">
            <w:pPr>
              <w:widowControl w:val="0"/>
              <w:autoSpaceDE w:val="0"/>
              <w:autoSpaceDN w:val="0"/>
              <w:spacing w:before="0" w:after="0"/>
              <w:ind w:left="30"/>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Energjia reaktive (Q)</w:t>
            </w:r>
          </w:p>
        </w:tc>
        <w:tc>
          <w:tcPr>
            <w:cnfStyle w:val="000010000000" w:firstRow="0" w:lastRow="0" w:firstColumn="0" w:lastColumn="0" w:oddVBand="1" w:evenVBand="0" w:oddHBand="0" w:evenHBand="0" w:firstRowFirstColumn="0" w:firstRowLastColumn="0" w:lastRowFirstColumn="0" w:lastRowLastColumn="0"/>
            <w:tcW w:w="1082" w:type="pct"/>
            <w:vAlign w:val="center"/>
          </w:tcPr>
          <w:p w14:paraId="1C74F82A" w14:textId="77777777" w:rsidR="00361CB0" w:rsidRPr="00976D33" w:rsidRDefault="00361CB0">
            <w:pPr>
              <w:widowControl w:val="0"/>
              <w:autoSpaceDE w:val="0"/>
              <w:autoSpaceDN w:val="0"/>
              <w:spacing w:before="0" w:after="0"/>
              <w:ind w:left="34" w:right="-108"/>
              <w:jc w:val="left"/>
              <w:rPr>
                <w:rFonts w:asciiTheme="majorHAnsi" w:eastAsia="Calibri" w:hAnsiTheme="majorHAnsi" w:cstheme="majorHAnsi"/>
                <w:sz w:val="18"/>
                <w:szCs w:val="18"/>
              </w:rPr>
            </w:pPr>
            <w:r>
              <w:rPr>
                <w:rFonts w:asciiTheme="majorHAnsi" w:hAnsiTheme="majorHAnsi"/>
                <w:sz w:val="18"/>
              </w:rPr>
              <w:t>€c/kVArh</w:t>
            </w:r>
          </w:p>
        </w:tc>
        <w:tc>
          <w:tcPr>
            <w:tcW w:w="699" w:type="pct"/>
            <w:vAlign w:val="center"/>
          </w:tcPr>
          <w:p w14:paraId="4E613381" w14:textId="77777777" w:rsidR="00361CB0" w:rsidRPr="00976D33" w:rsidRDefault="00361CB0">
            <w:pPr>
              <w:widowControl w:val="0"/>
              <w:autoSpaceDE w:val="0"/>
              <w:autoSpaceDN w:val="0"/>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p>
        </w:tc>
        <w:tc>
          <w:tcPr>
            <w:cnfStyle w:val="000100000000" w:firstRow="0" w:lastRow="0" w:firstColumn="0" w:lastColumn="1" w:oddVBand="0" w:evenVBand="0" w:oddHBand="0" w:evenHBand="0" w:firstRowFirstColumn="0" w:firstRowLastColumn="0" w:lastRowFirstColumn="0" w:lastRowLastColumn="0"/>
            <w:tcW w:w="628" w:type="pct"/>
            <w:vAlign w:val="center"/>
          </w:tcPr>
          <w:p w14:paraId="0201CA50" w14:textId="77777777" w:rsidR="00361CB0" w:rsidRPr="00976D33" w:rsidRDefault="00361CB0">
            <w:pPr>
              <w:widowControl w:val="0"/>
              <w:autoSpaceDE w:val="0"/>
              <w:autoSpaceDN w:val="0"/>
              <w:spacing w:before="0" w:after="0"/>
              <w:ind w:right="387"/>
              <w:jc w:val="left"/>
              <w:rPr>
                <w:rFonts w:asciiTheme="majorHAnsi" w:eastAsia="Calibri" w:hAnsiTheme="majorHAnsi" w:cstheme="majorHAnsi"/>
                <w:sz w:val="18"/>
                <w:szCs w:val="18"/>
              </w:rPr>
            </w:pPr>
            <w:r>
              <w:rPr>
                <w:rFonts w:asciiTheme="majorHAnsi" w:hAnsiTheme="majorHAnsi"/>
                <w:sz w:val="18"/>
              </w:rPr>
              <w:t>0.57</w:t>
            </w:r>
          </w:p>
        </w:tc>
      </w:tr>
      <w:tr w:rsidR="00361CB0" w:rsidRPr="00976D33" w14:paraId="1BBB5183" w14:textId="77777777">
        <w:trPr>
          <w:trHeight w:val="225"/>
        </w:trPr>
        <w:tc>
          <w:tcPr>
            <w:cnfStyle w:val="001000000000" w:firstRow="0" w:lastRow="0" w:firstColumn="1" w:lastColumn="0" w:oddVBand="0" w:evenVBand="0" w:oddHBand="0" w:evenHBand="0" w:firstRowFirstColumn="0" w:firstRowLastColumn="0" w:lastRowFirstColumn="0" w:lastRowLastColumn="0"/>
            <w:tcW w:w="476" w:type="pct"/>
            <w:vMerge w:val="restart"/>
            <w:vAlign w:val="center"/>
          </w:tcPr>
          <w:p w14:paraId="3741DB23" w14:textId="77777777" w:rsidR="00361CB0" w:rsidRPr="00976D33" w:rsidRDefault="00361CB0">
            <w:pPr>
              <w:widowControl w:val="0"/>
              <w:autoSpaceDE w:val="0"/>
              <w:autoSpaceDN w:val="0"/>
              <w:spacing w:before="0" w:after="0"/>
              <w:ind w:left="21"/>
              <w:jc w:val="left"/>
              <w:rPr>
                <w:rFonts w:asciiTheme="majorHAnsi" w:eastAsia="Calibri" w:hAnsiTheme="majorHAnsi" w:cstheme="majorHAnsi"/>
                <w:sz w:val="18"/>
                <w:szCs w:val="18"/>
              </w:rPr>
            </w:pPr>
            <w:r>
              <w:rPr>
                <w:rFonts w:asciiTheme="majorHAnsi" w:hAnsiTheme="majorHAnsi"/>
                <w:sz w:val="18"/>
              </w:rPr>
              <w:t>2</w:t>
            </w:r>
          </w:p>
        </w:tc>
        <w:tc>
          <w:tcPr>
            <w:cnfStyle w:val="000010000000" w:firstRow="0" w:lastRow="0" w:firstColumn="0" w:lastColumn="0" w:oddVBand="1" w:evenVBand="0" w:oddHBand="0" w:evenHBand="0" w:firstRowFirstColumn="0" w:firstRowLastColumn="0" w:lastRowFirstColumn="0" w:lastRowLastColumn="0"/>
            <w:tcW w:w="782" w:type="pct"/>
            <w:vMerge w:val="restart"/>
            <w:vAlign w:val="center"/>
          </w:tcPr>
          <w:p w14:paraId="7480A6E0" w14:textId="77777777" w:rsidR="00361CB0" w:rsidRPr="00976D33" w:rsidRDefault="00361CB0">
            <w:pPr>
              <w:widowControl w:val="0"/>
              <w:autoSpaceDE w:val="0"/>
              <w:autoSpaceDN w:val="0"/>
              <w:spacing w:before="0" w:after="0"/>
              <w:jc w:val="left"/>
              <w:rPr>
                <w:rFonts w:asciiTheme="majorHAnsi" w:eastAsia="Calibri" w:hAnsiTheme="majorHAnsi" w:cstheme="majorHAnsi"/>
                <w:sz w:val="18"/>
                <w:szCs w:val="18"/>
              </w:rPr>
            </w:pPr>
            <w:r>
              <w:rPr>
                <w:rFonts w:asciiTheme="majorHAnsi" w:hAnsiTheme="majorHAnsi"/>
                <w:sz w:val="18"/>
              </w:rPr>
              <w:t>10 kV</w:t>
            </w:r>
          </w:p>
        </w:tc>
        <w:tc>
          <w:tcPr>
            <w:tcW w:w="1334" w:type="pct"/>
            <w:vAlign w:val="center"/>
          </w:tcPr>
          <w:p w14:paraId="068EE56D" w14:textId="77777777" w:rsidR="00361CB0" w:rsidRPr="00976D33" w:rsidRDefault="00361CB0">
            <w:pPr>
              <w:widowControl w:val="0"/>
              <w:autoSpaceDE w:val="0"/>
              <w:autoSpaceDN w:val="0"/>
              <w:spacing w:before="0" w:after="0"/>
              <w:ind w:left="3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Tarifa fikse e konsumatorit</w:t>
            </w:r>
          </w:p>
        </w:tc>
        <w:tc>
          <w:tcPr>
            <w:cnfStyle w:val="000010000000" w:firstRow="0" w:lastRow="0" w:firstColumn="0" w:lastColumn="0" w:oddVBand="1" w:evenVBand="0" w:oddHBand="0" w:evenHBand="0" w:firstRowFirstColumn="0" w:firstRowLastColumn="0" w:lastRowFirstColumn="0" w:lastRowLastColumn="0"/>
            <w:tcW w:w="1082" w:type="pct"/>
            <w:vAlign w:val="center"/>
          </w:tcPr>
          <w:p w14:paraId="3304386D" w14:textId="77777777" w:rsidR="00361CB0" w:rsidRPr="00976D33" w:rsidRDefault="00361CB0">
            <w:pPr>
              <w:widowControl w:val="0"/>
              <w:autoSpaceDE w:val="0"/>
              <w:autoSpaceDN w:val="0"/>
              <w:spacing w:before="0" w:after="0"/>
              <w:ind w:left="34" w:right="-108"/>
              <w:jc w:val="left"/>
              <w:rPr>
                <w:rFonts w:asciiTheme="majorHAnsi" w:eastAsia="Calibri" w:hAnsiTheme="majorHAnsi" w:cstheme="majorHAnsi"/>
                <w:sz w:val="18"/>
                <w:szCs w:val="18"/>
              </w:rPr>
            </w:pPr>
            <w:r>
              <w:rPr>
                <w:rFonts w:asciiTheme="majorHAnsi" w:hAnsiTheme="majorHAnsi"/>
                <w:sz w:val="18"/>
              </w:rPr>
              <w:t>€/konsumator/muaj</w:t>
            </w:r>
          </w:p>
        </w:tc>
        <w:tc>
          <w:tcPr>
            <w:tcW w:w="699" w:type="pct"/>
            <w:vAlign w:val="center"/>
          </w:tcPr>
          <w:p w14:paraId="43F57F6B" w14:textId="77777777" w:rsidR="00361CB0" w:rsidRPr="00976D33" w:rsidRDefault="00361CB0">
            <w:pPr>
              <w:widowControl w:val="0"/>
              <w:autoSpaceDE w:val="0"/>
              <w:autoSpaceDN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p>
        </w:tc>
        <w:tc>
          <w:tcPr>
            <w:cnfStyle w:val="000100000000" w:firstRow="0" w:lastRow="0" w:firstColumn="0" w:lastColumn="1" w:oddVBand="0" w:evenVBand="0" w:oddHBand="0" w:evenHBand="0" w:firstRowFirstColumn="0" w:firstRowLastColumn="0" w:lastRowFirstColumn="0" w:lastRowLastColumn="0"/>
            <w:tcW w:w="628" w:type="pct"/>
            <w:vAlign w:val="center"/>
          </w:tcPr>
          <w:p w14:paraId="3C261333" w14:textId="77777777" w:rsidR="00361CB0" w:rsidRPr="00976D33" w:rsidRDefault="00361CB0">
            <w:pPr>
              <w:widowControl w:val="0"/>
              <w:autoSpaceDE w:val="0"/>
              <w:autoSpaceDN w:val="0"/>
              <w:spacing w:before="0" w:after="0"/>
              <w:ind w:right="387"/>
              <w:jc w:val="left"/>
              <w:rPr>
                <w:rFonts w:asciiTheme="majorHAnsi" w:eastAsia="Calibri" w:hAnsiTheme="majorHAnsi" w:cstheme="majorHAnsi"/>
                <w:sz w:val="18"/>
                <w:szCs w:val="18"/>
              </w:rPr>
            </w:pPr>
            <w:r>
              <w:rPr>
                <w:rFonts w:asciiTheme="majorHAnsi" w:hAnsiTheme="majorHAnsi"/>
                <w:sz w:val="18"/>
              </w:rPr>
              <w:t>3.96</w:t>
            </w:r>
          </w:p>
        </w:tc>
      </w:tr>
      <w:tr w:rsidR="00361CB0" w:rsidRPr="00976D33" w14:paraId="7E605F70" w14:textId="7777777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76" w:type="pct"/>
            <w:vMerge/>
            <w:vAlign w:val="center"/>
          </w:tcPr>
          <w:p w14:paraId="7C32DB17" w14:textId="77777777" w:rsidR="00361CB0" w:rsidRPr="00976D33" w:rsidRDefault="00361CB0">
            <w:pPr>
              <w:spacing w:before="0" w:after="0"/>
              <w:jc w:val="left"/>
              <w:rPr>
                <w:rFonts w:asciiTheme="majorHAns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14:paraId="460BECA7" w14:textId="77777777" w:rsidR="00361CB0" w:rsidRPr="00976D33" w:rsidRDefault="00361CB0">
            <w:pPr>
              <w:spacing w:before="0" w:after="0"/>
              <w:jc w:val="left"/>
              <w:rPr>
                <w:rFonts w:asciiTheme="majorHAnsi" w:hAnsiTheme="majorHAnsi" w:cstheme="majorHAnsi"/>
                <w:sz w:val="18"/>
                <w:szCs w:val="18"/>
              </w:rPr>
            </w:pPr>
          </w:p>
        </w:tc>
        <w:tc>
          <w:tcPr>
            <w:tcW w:w="1334" w:type="pct"/>
            <w:vAlign w:val="center"/>
          </w:tcPr>
          <w:p w14:paraId="5282A0B4" w14:textId="77777777" w:rsidR="00361CB0" w:rsidRPr="00976D33" w:rsidRDefault="00361CB0">
            <w:pPr>
              <w:widowControl w:val="0"/>
              <w:autoSpaceDE w:val="0"/>
              <w:autoSpaceDN w:val="0"/>
              <w:spacing w:before="0" w:after="0"/>
              <w:ind w:left="30"/>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Energjia e shfrytëzuar</w:t>
            </w:r>
          </w:p>
        </w:tc>
        <w:tc>
          <w:tcPr>
            <w:cnfStyle w:val="000010000000" w:firstRow="0" w:lastRow="0" w:firstColumn="0" w:lastColumn="0" w:oddVBand="1" w:evenVBand="0" w:oddHBand="0" w:evenHBand="0" w:firstRowFirstColumn="0" w:firstRowLastColumn="0" w:lastRowFirstColumn="0" w:lastRowLastColumn="0"/>
            <w:tcW w:w="1082" w:type="pct"/>
            <w:vAlign w:val="center"/>
          </w:tcPr>
          <w:p w14:paraId="785BF1A7" w14:textId="77777777" w:rsidR="00361CB0" w:rsidRPr="00976D33" w:rsidRDefault="00361CB0">
            <w:pPr>
              <w:widowControl w:val="0"/>
              <w:autoSpaceDE w:val="0"/>
              <w:autoSpaceDN w:val="0"/>
              <w:spacing w:before="0" w:after="0"/>
              <w:ind w:left="34" w:right="-108"/>
              <w:jc w:val="left"/>
              <w:rPr>
                <w:rFonts w:asciiTheme="majorHAnsi" w:eastAsia="Calibri" w:hAnsiTheme="majorHAnsi" w:cstheme="majorHAnsi"/>
                <w:sz w:val="18"/>
                <w:szCs w:val="18"/>
              </w:rPr>
            </w:pPr>
            <w:r>
              <w:rPr>
                <w:rFonts w:asciiTheme="majorHAnsi" w:hAnsiTheme="majorHAnsi"/>
                <w:sz w:val="18"/>
              </w:rPr>
              <w:t>€/kW</w:t>
            </w:r>
          </w:p>
        </w:tc>
        <w:tc>
          <w:tcPr>
            <w:tcW w:w="699" w:type="pct"/>
            <w:vAlign w:val="center"/>
          </w:tcPr>
          <w:p w14:paraId="7A5292D1" w14:textId="77777777" w:rsidR="00361CB0" w:rsidRPr="00976D33" w:rsidRDefault="00361CB0">
            <w:pPr>
              <w:widowControl w:val="0"/>
              <w:autoSpaceDE w:val="0"/>
              <w:autoSpaceDN w:val="0"/>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p>
        </w:tc>
        <w:tc>
          <w:tcPr>
            <w:cnfStyle w:val="000100000000" w:firstRow="0" w:lastRow="0" w:firstColumn="0" w:lastColumn="1" w:oddVBand="0" w:evenVBand="0" w:oddHBand="0" w:evenHBand="0" w:firstRowFirstColumn="0" w:firstRowLastColumn="0" w:lastRowFirstColumn="0" w:lastRowLastColumn="0"/>
            <w:tcW w:w="628" w:type="pct"/>
            <w:vAlign w:val="center"/>
          </w:tcPr>
          <w:p w14:paraId="4CD76592" w14:textId="77777777" w:rsidR="00361CB0" w:rsidRPr="00976D33" w:rsidRDefault="00361CB0">
            <w:pPr>
              <w:widowControl w:val="0"/>
              <w:autoSpaceDE w:val="0"/>
              <w:autoSpaceDN w:val="0"/>
              <w:spacing w:before="0" w:after="0"/>
              <w:ind w:right="387"/>
              <w:jc w:val="left"/>
              <w:rPr>
                <w:rFonts w:asciiTheme="majorHAnsi" w:eastAsia="Calibri" w:hAnsiTheme="majorHAnsi" w:cstheme="majorHAnsi"/>
                <w:sz w:val="18"/>
                <w:szCs w:val="18"/>
              </w:rPr>
            </w:pPr>
            <w:r>
              <w:rPr>
                <w:rFonts w:asciiTheme="majorHAnsi" w:hAnsiTheme="majorHAnsi"/>
                <w:sz w:val="18"/>
              </w:rPr>
              <w:t>4.32</w:t>
            </w:r>
          </w:p>
        </w:tc>
      </w:tr>
      <w:tr w:rsidR="00361CB0" w:rsidRPr="00976D33" w14:paraId="34BFBE85" w14:textId="77777777">
        <w:trPr>
          <w:trHeight w:val="224"/>
        </w:trPr>
        <w:tc>
          <w:tcPr>
            <w:cnfStyle w:val="001000000000" w:firstRow="0" w:lastRow="0" w:firstColumn="1" w:lastColumn="0" w:oddVBand="0" w:evenVBand="0" w:oddHBand="0" w:evenHBand="0" w:firstRowFirstColumn="0" w:firstRowLastColumn="0" w:lastRowFirstColumn="0" w:lastRowLastColumn="0"/>
            <w:tcW w:w="476" w:type="pct"/>
            <w:vMerge/>
            <w:vAlign w:val="center"/>
          </w:tcPr>
          <w:p w14:paraId="523A3DE1" w14:textId="77777777" w:rsidR="00361CB0" w:rsidRPr="00976D33" w:rsidRDefault="00361CB0">
            <w:pPr>
              <w:spacing w:before="0" w:after="0"/>
              <w:jc w:val="left"/>
              <w:rPr>
                <w:rFonts w:asciiTheme="majorHAns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14:paraId="1F64B3B0" w14:textId="77777777" w:rsidR="00361CB0" w:rsidRPr="00976D33" w:rsidRDefault="00361CB0">
            <w:pPr>
              <w:spacing w:before="0" w:after="0"/>
              <w:jc w:val="left"/>
              <w:rPr>
                <w:rFonts w:asciiTheme="majorHAnsi" w:hAnsiTheme="majorHAnsi" w:cstheme="majorHAnsi"/>
                <w:sz w:val="18"/>
                <w:szCs w:val="18"/>
              </w:rPr>
            </w:pPr>
          </w:p>
        </w:tc>
        <w:tc>
          <w:tcPr>
            <w:tcW w:w="1334" w:type="pct"/>
            <w:vMerge w:val="restart"/>
            <w:vAlign w:val="center"/>
          </w:tcPr>
          <w:p w14:paraId="754E1D55" w14:textId="77777777" w:rsidR="00361CB0" w:rsidRPr="00976D33" w:rsidRDefault="00361CB0">
            <w:pPr>
              <w:widowControl w:val="0"/>
              <w:autoSpaceDE w:val="0"/>
              <w:autoSpaceDN w:val="0"/>
              <w:spacing w:before="0" w:after="0"/>
              <w:ind w:left="30" w:right="-29"/>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Energjia aktive (P), nga e cila</w:t>
            </w:r>
          </w:p>
        </w:tc>
        <w:tc>
          <w:tcPr>
            <w:cnfStyle w:val="000010000000" w:firstRow="0" w:lastRow="0" w:firstColumn="0" w:lastColumn="0" w:oddVBand="1" w:evenVBand="0" w:oddHBand="0" w:evenHBand="0" w:firstRowFirstColumn="0" w:firstRowLastColumn="0" w:lastRowFirstColumn="0" w:lastRowLastColumn="0"/>
            <w:tcW w:w="1082" w:type="pct"/>
            <w:vAlign w:val="center"/>
          </w:tcPr>
          <w:p w14:paraId="50C84123" w14:textId="77777777" w:rsidR="00361CB0" w:rsidRPr="00976D33" w:rsidRDefault="00361CB0">
            <w:pPr>
              <w:widowControl w:val="0"/>
              <w:autoSpaceDE w:val="0"/>
              <w:autoSpaceDN w:val="0"/>
              <w:spacing w:before="0" w:after="0"/>
              <w:ind w:left="34" w:right="-108"/>
              <w:jc w:val="left"/>
              <w:rPr>
                <w:rFonts w:asciiTheme="majorHAnsi" w:eastAsia="Calibri" w:hAnsiTheme="majorHAnsi" w:cstheme="majorHAnsi"/>
                <w:sz w:val="18"/>
                <w:szCs w:val="18"/>
              </w:rPr>
            </w:pPr>
            <w:r>
              <w:rPr>
                <w:rFonts w:asciiTheme="majorHAnsi" w:hAnsiTheme="majorHAnsi"/>
                <w:sz w:val="18"/>
              </w:rPr>
              <w:t>€c/kWh</w:t>
            </w:r>
          </w:p>
        </w:tc>
        <w:tc>
          <w:tcPr>
            <w:tcW w:w="699" w:type="pct"/>
            <w:vAlign w:val="center"/>
          </w:tcPr>
          <w:p w14:paraId="2D77ADEA" w14:textId="77777777" w:rsidR="00361CB0" w:rsidRPr="00976D33" w:rsidRDefault="00361CB0">
            <w:pPr>
              <w:widowControl w:val="0"/>
              <w:autoSpaceDE w:val="0"/>
              <w:autoSpaceDN w:val="0"/>
              <w:spacing w:before="0" w:after="0"/>
              <w:ind w:left="31"/>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Tarifa e lartë</w:t>
            </w:r>
          </w:p>
        </w:tc>
        <w:tc>
          <w:tcPr>
            <w:cnfStyle w:val="000100000000" w:firstRow="0" w:lastRow="0" w:firstColumn="0" w:lastColumn="1" w:oddVBand="0" w:evenVBand="0" w:oddHBand="0" w:evenHBand="0" w:firstRowFirstColumn="0" w:firstRowLastColumn="0" w:lastRowFirstColumn="0" w:lastRowLastColumn="0"/>
            <w:tcW w:w="628" w:type="pct"/>
            <w:vAlign w:val="center"/>
          </w:tcPr>
          <w:p w14:paraId="6357A772" w14:textId="77777777" w:rsidR="00361CB0" w:rsidRPr="00976D33" w:rsidRDefault="00361CB0">
            <w:pPr>
              <w:widowControl w:val="0"/>
              <w:autoSpaceDE w:val="0"/>
              <w:autoSpaceDN w:val="0"/>
              <w:spacing w:before="0" w:after="0"/>
              <w:ind w:right="387"/>
              <w:jc w:val="left"/>
              <w:rPr>
                <w:rFonts w:asciiTheme="majorHAnsi" w:eastAsia="Calibri" w:hAnsiTheme="majorHAnsi" w:cstheme="majorHAnsi"/>
                <w:sz w:val="18"/>
                <w:szCs w:val="18"/>
              </w:rPr>
            </w:pPr>
            <w:r>
              <w:rPr>
                <w:rFonts w:asciiTheme="majorHAnsi" w:hAnsiTheme="majorHAnsi"/>
                <w:sz w:val="18"/>
              </w:rPr>
              <w:t>4.92</w:t>
            </w:r>
          </w:p>
        </w:tc>
      </w:tr>
      <w:tr w:rsidR="00361CB0" w:rsidRPr="00976D33" w14:paraId="2FAB3C69" w14:textId="7777777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76" w:type="pct"/>
            <w:vMerge/>
            <w:vAlign w:val="center"/>
          </w:tcPr>
          <w:p w14:paraId="3AFCC2B1" w14:textId="77777777" w:rsidR="00361CB0" w:rsidRPr="00976D33" w:rsidRDefault="00361CB0">
            <w:pPr>
              <w:spacing w:before="0" w:after="0"/>
              <w:jc w:val="left"/>
              <w:rPr>
                <w:rFonts w:asciiTheme="majorHAns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14:paraId="0DC5D9FE" w14:textId="77777777" w:rsidR="00361CB0" w:rsidRPr="00976D33" w:rsidRDefault="00361CB0">
            <w:pPr>
              <w:spacing w:before="0" w:after="0"/>
              <w:jc w:val="left"/>
              <w:rPr>
                <w:rFonts w:asciiTheme="majorHAnsi" w:hAnsiTheme="majorHAnsi" w:cstheme="majorHAnsi"/>
                <w:sz w:val="18"/>
                <w:szCs w:val="18"/>
              </w:rPr>
            </w:pPr>
          </w:p>
        </w:tc>
        <w:tc>
          <w:tcPr>
            <w:tcW w:w="1334" w:type="pct"/>
            <w:vMerge/>
            <w:vAlign w:val="center"/>
          </w:tcPr>
          <w:p w14:paraId="7A48A901" w14:textId="77777777" w:rsidR="00361CB0" w:rsidRPr="00976D33" w:rsidRDefault="00361CB0">
            <w:pPr>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1082" w:type="pct"/>
            <w:vAlign w:val="center"/>
          </w:tcPr>
          <w:p w14:paraId="5088935C" w14:textId="77777777" w:rsidR="00361CB0" w:rsidRPr="00976D33" w:rsidRDefault="00361CB0">
            <w:pPr>
              <w:widowControl w:val="0"/>
              <w:autoSpaceDE w:val="0"/>
              <w:autoSpaceDN w:val="0"/>
              <w:spacing w:before="0" w:after="0"/>
              <w:ind w:left="34" w:right="-108"/>
              <w:jc w:val="left"/>
              <w:rPr>
                <w:rFonts w:asciiTheme="majorHAnsi" w:eastAsia="Calibri" w:hAnsiTheme="majorHAnsi" w:cstheme="majorHAnsi"/>
                <w:sz w:val="18"/>
                <w:szCs w:val="18"/>
              </w:rPr>
            </w:pPr>
            <w:r>
              <w:rPr>
                <w:rFonts w:asciiTheme="majorHAnsi" w:hAnsiTheme="majorHAnsi"/>
                <w:sz w:val="18"/>
              </w:rPr>
              <w:t>€c/kWh</w:t>
            </w:r>
          </w:p>
        </w:tc>
        <w:tc>
          <w:tcPr>
            <w:tcW w:w="699" w:type="pct"/>
            <w:vAlign w:val="center"/>
          </w:tcPr>
          <w:p w14:paraId="2289FDFA" w14:textId="77777777" w:rsidR="00361CB0" w:rsidRPr="00976D33" w:rsidRDefault="00361CB0">
            <w:pPr>
              <w:widowControl w:val="0"/>
              <w:autoSpaceDE w:val="0"/>
              <w:autoSpaceDN w:val="0"/>
              <w:spacing w:before="0" w:after="0"/>
              <w:ind w:left="31"/>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Tarifa e ulët</w:t>
            </w:r>
          </w:p>
        </w:tc>
        <w:tc>
          <w:tcPr>
            <w:cnfStyle w:val="000100000000" w:firstRow="0" w:lastRow="0" w:firstColumn="0" w:lastColumn="1" w:oddVBand="0" w:evenVBand="0" w:oddHBand="0" w:evenHBand="0" w:firstRowFirstColumn="0" w:firstRowLastColumn="0" w:lastRowFirstColumn="0" w:lastRowLastColumn="0"/>
            <w:tcW w:w="628" w:type="pct"/>
            <w:vAlign w:val="center"/>
          </w:tcPr>
          <w:p w14:paraId="22E11339" w14:textId="77777777" w:rsidR="00361CB0" w:rsidRPr="00976D33" w:rsidRDefault="00361CB0">
            <w:pPr>
              <w:widowControl w:val="0"/>
              <w:autoSpaceDE w:val="0"/>
              <w:autoSpaceDN w:val="0"/>
              <w:spacing w:before="0" w:after="0"/>
              <w:ind w:right="387"/>
              <w:jc w:val="left"/>
              <w:rPr>
                <w:rFonts w:asciiTheme="majorHAnsi" w:eastAsia="Calibri" w:hAnsiTheme="majorHAnsi" w:cstheme="majorHAnsi"/>
                <w:sz w:val="18"/>
                <w:szCs w:val="18"/>
              </w:rPr>
            </w:pPr>
            <w:r>
              <w:rPr>
                <w:rFonts w:asciiTheme="majorHAnsi" w:hAnsiTheme="majorHAnsi"/>
                <w:sz w:val="18"/>
              </w:rPr>
              <w:t>3.17</w:t>
            </w:r>
          </w:p>
        </w:tc>
      </w:tr>
      <w:tr w:rsidR="00361CB0" w:rsidRPr="00976D33" w14:paraId="16EF216D" w14:textId="77777777">
        <w:trPr>
          <w:trHeight w:val="224"/>
        </w:trPr>
        <w:tc>
          <w:tcPr>
            <w:cnfStyle w:val="001000000000" w:firstRow="0" w:lastRow="0" w:firstColumn="1" w:lastColumn="0" w:oddVBand="0" w:evenVBand="0" w:oddHBand="0" w:evenHBand="0" w:firstRowFirstColumn="0" w:firstRowLastColumn="0" w:lastRowFirstColumn="0" w:lastRowLastColumn="0"/>
            <w:tcW w:w="476" w:type="pct"/>
            <w:vMerge/>
            <w:vAlign w:val="center"/>
          </w:tcPr>
          <w:p w14:paraId="573965A7" w14:textId="77777777" w:rsidR="00361CB0" w:rsidRPr="00976D33" w:rsidRDefault="00361CB0">
            <w:pPr>
              <w:spacing w:before="0" w:after="0"/>
              <w:jc w:val="left"/>
              <w:rPr>
                <w:rFonts w:asciiTheme="majorHAns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14:paraId="4FFDABE2" w14:textId="77777777" w:rsidR="00361CB0" w:rsidRPr="00976D33" w:rsidRDefault="00361CB0">
            <w:pPr>
              <w:spacing w:before="0" w:after="0"/>
              <w:jc w:val="left"/>
              <w:rPr>
                <w:rFonts w:asciiTheme="majorHAnsi" w:hAnsiTheme="majorHAnsi" w:cstheme="majorHAnsi"/>
                <w:sz w:val="18"/>
                <w:szCs w:val="18"/>
              </w:rPr>
            </w:pPr>
          </w:p>
        </w:tc>
        <w:tc>
          <w:tcPr>
            <w:tcW w:w="1334" w:type="pct"/>
            <w:vAlign w:val="center"/>
          </w:tcPr>
          <w:p w14:paraId="51B7CC60" w14:textId="77777777" w:rsidR="00361CB0" w:rsidRPr="00976D33" w:rsidRDefault="00361CB0">
            <w:pPr>
              <w:widowControl w:val="0"/>
              <w:autoSpaceDE w:val="0"/>
              <w:autoSpaceDN w:val="0"/>
              <w:spacing w:before="0" w:after="0"/>
              <w:ind w:left="3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Energjia reaktive (Q)</w:t>
            </w:r>
          </w:p>
        </w:tc>
        <w:tc>
          <w:tcPr>
            <w:cnfStyle w:val="000010000000" w:firstRow="0" w:lastRow="0" w:firstColumn="0" w:lastColumn="0" w:oddVBand="1" w:evenVBand="0" w:oddHBand="0" w:evenHBand="0" w:firstRowFirstColumn="0" w:firstRowLastColumn="0" w:lastRowFirstColumn="0" w:lastRowLastColumn="0"/>
            <w:tcW w:w="1082" w:type="pct"/>
            <w:vAlign w:val="center"/>
          </w:tcPr>
          <w:p w14:paraId="13285F76" w14:textId="77777777" w:rsidR="00361CB0" w:rsidRPr="00976D33" w:rsidRDefault="00361CB0">
            <w:pPr>
              <w:widowControl w:val="0"/>
              <w:autoSpaceDE w:val="0"/>
              <w:autoSpaceDN w:val="0"/>
              <w:spacing w:before="0" w:after="0"/>
              <w:ind w:left="34" w:right="-108"/>
              <w:jc w:val="left"/>
              <w:rPr>
                <w:rFonts w:asciiTheme="majorHAnsi" w:eastAsia="Calibri" w:hAnsiTheme="majorHAnsi" w:cstheme="majorHAnsi"/>
                <w:sz w:val="18"/>
                <w:szCs w:val="18"/>
              </w:rPr>
            </w:pPr>
            <w:r>
              <w:rPr>
                <w:rFonts w:asciiTheme="majorHAnsi" w:hAnsiTheme="majorHAnsi"/>
                <w:sz w:val="18"/>
              </w:rPr>
              <w:t>€c/kVArh</w:t>
            </w:r>
          </w:p>
        </w:tc>
        <w:tc>
          <w:tcPr>
            <w:tcW w:w="699" w:type="pct"/>
            <w:vAlign w:val="center"/>
          </w:tcPr>
          <w:p w14:paraId="0EE2EA84" w14:textId="77777777" w:rsidR="00361CB0" w:rsidRPr="00976D33" w:rsidRDefault="00361CB0">
            <w:pPr>
              <w:widowControl w:val="0"/>
              <w:autoSpaceDE w:val="0"/>
              <w:autoSpaceDN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p>
        </w:tc>
        <w:tc>
          <w:tcPr>
            <w:cnfStyle w:val="000100000000" w:firstRow="0" w:lastRow="0" w:firstColumn="0" w:lastColumn="1" w:oddVBand="0" w:evenVBand="0" w:oddHBand="0" w:evenHBand="0" w:firstRowFirstColumn="0" w:firstRowLastColumn="0" w:lastRowFirstColumn="0" w:lastRowLastColumn="0"/>
            <w:tcW w:w="628" w:type="pct"/>
            <w:vAlign w:val="center"/>
          </w:tcPr>
          <w:p w14:paraId="324B89B8" w14:textId="77777777" w:rsidR="00361CB0" w:rsidRPr="00976D33" w:rsidRDefault="00361CB0">
            <w:pPr>
              <w:widowControl w:val="0"/>
              <w:autoSpaceDE w:val="0"/>
              <w:autoSpaceDN w:val="0"/>
              <w:spacing w:before="0" w:after="0"/>
              <w:ind w:right="387"/>
              <w:jc w:val="left"/>
              <w:rPr>
                <w:rFonts w:asciiTheme="majorHAnsi" w:eastAsia="Calibri" w:hAnsiTheme="majorHAnsi" w:cstheme="majorHAnsi"/>
                <w:sz w:val="18"/>
                <w:szCs w:val="18"/>
              </w:rPr>
            </w:pPr>
            <w:r>
              <w:rPr>
                <w:rFonts w:asciiTheme="majorHAnsi" w:hAnsiTheme="majorHAnsi"/>
                <w:sz w:val="18"/>
              </w:rPr>
              <w:t>0.57</w:t>
            </w:r>
          </w:p>
        </w:tc>
      </w:tr>
      <w:tr w:rsidR="00361CB0" w:rsidRPr="00976D33" w14:paraId="2FD51F0C" w14:textId="7777777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76" w:type="pct"/>
            <w:vMerge w:val="restart"/>
            <w:vAlign w:val="center"/>
          </w:tcPr>
          <w:p w14:paraId="6EE2144F" w14:textId="77777777" w:rsidR="00361CB0" w:rsidRPr="00976D33" w:rsidRDefault="00361CB0">
            <w:pPr>
              <w:widowControl w:val="0"/>
              <w:autoSpaceDE w:val="0"/>
              <w:autoSpaceDN w:val="0"/>
              <w:spacing w:before="0" w:after="0"/>
              <w:ind w:left="21"/>
              <w:jc w:val="left"/>
              <w:rPr>
                <w:rFonts w:asciiTheme="majorHAnsi" w:eastAsia="Calibri" w:hAnsiTheme="majorHAnsi" w:cstheme="majorHAnsi"/>
                <w:sz w:val="18"/>
                <w:szCs w:val="18"/>
              </w:rPr>
            </w:pPr>
            <w:r>
              <w:rPr>
                <w:rFonts w:asciiTheme="majorHAnsi" w:hAnsiTheme="majorHAnsi"/>
                <w:sz w:val="18"/>
              </w:rPr>
              <w:t>3</w:t>
            </w:r>
          </w:p>
        </w:tc>
        <w:tc>
          <w:tcPr>
            <w:cnfStyle w:val="000010000000" w:firstRow="0" w:lastRow="0" w:firstColumn="0" w:lastColumn="0" w:oddVBand="1" w:evenVBand="0" w:oddHBand="0" w:evenHBand="0" w:firstRowFirstColumn="0" w:firstRowLastColumn="0" w:lastRowFirstColumn="0" w:lastRowLastColumn="0"/>
            <w:tcW w:w="782" w:type="pct"/>
            <w:vMerge w:val="restart"/>
            <w:vAlign w:val="center"/>
          </w:tcPr>
          <w:p w14:paraId="72320000" w14:textId="77777777" w:rsidR="00361CB0" w:rsidRPr="00976D33" w:rsidRDefault="00361CB0">
            <w:pPr>
              <w:widowControl w:val="0"/>
              <w:autoSpaceDE w:val="0"/>
              <w:autoSpaceDN w:val="0"/>
              <w:spacing w:before="0" w:after="0"/>
              <w:ind w:right="149"/>
              <w:jc w:val="left"/>
              <w:rPr>
                <w:rFonts w:asciiTheme="majorHAnsi" w:eastAsia="Calibri" w:hAnsiTheme="majorHAnsi" w:cstheme="majorHAnsi"/>
                <w:sz w:val="18"/>
                <w:szCs w:val="18"/>
              </w:rPr>
            </w:pPr>
            <w:r>
              <w:rPr>
                <w:rFonts w:asciiTheme="majorHAnsi" w:hAnsiTheme="majorHAnsi"/>
                <w:sz w:val="18"/>
              </w:rPr>
              <w:t>0.4 kV Kategoria I</w:t>
            </w:r>
          </w:p>
          <w:p w14:paraId="0336F006" w14:textId="77777777" w:rsidR="00361CB0" w:rsidRPr="00976D33" w:rsidRDefault="00361CB0">
            <w:pPr>
              <w:widowControl w:val="0"/>
              <w:autoSpaceDE w:val="0"/>
              <w:autoSpaceDN w:val="0"/>
              <w:spacing w:before="0" w:after="0"/>
              <w:ind w:right="-2"/>
              <w:jc w:val="left"/>
              <w:rPr>
                <w:rFonts w:asciiTheme="majorHAnsi" w:eastAsia="Calibri" w:hAnsiTheme="majorHAnsi" w:cstheme="majorHAnsi"/>
                <w:sz w:val="18"/>
                <w:szCs w:val="18"/>
              </w:rPr>
            </w:pPr>
            <w:r>
              <w:rPr>
                <w:rFonts w:asciiTheme="majorHAnsi" w:hAnsiTheme="majorHAnsi"/>
                <w:sz w:val="18"/>
              </w:rPr>
              <w:t>(konsumatorët me energji reaktive)</w:t>
            </w:r>
          </w:p>
        </w:tc>
        <w:tc>
          <w:tcPr>
            <w:tcW w:w="1334" w:type="pct"/>
            <w:vAlign w:val="center"/>
          </w:tcPr>
          <w:p w14:paraId="6DA2B892" w14:textId="77777777" w:rsidR="00361CB0" w:rsidRPr="00976D33" w:rsidRDefault="00361CB0">
            <w:pPr>
              <w:widowControl w:val="0"/>
              <w:autoSpaceDE w:val="0"/>
              <w:autoSpaceDN w:val="0"/>
              <w:spacing w:before="0" w:after="0"/>
              <w:ind w:left="30"/>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Tarifa fikse e konsumatorit</w:t>
            </w:r>
          </w:p>
        </w:tc>
        <w:tc>
          <w:tcPr>
            <w:cnfStyle w:val="000010000000" w:firstRow="0" w:lastRow="0" w:firstColumn="0" w:lastColumn="0" w:oddVBand="1" w:evenVBand="0" w:oddHBand="0" w:evenHBand="0" w:firstRowFirstColumn="0" w:firstRowLastColumn="0" w:lastRowFirstColumn="0" w:lastRowLastColumn="0"/>
            <w:tcW w:w="1082" w:type="pct"/>
            <w:vAlign w:val="center"/>
          </w:tcPr>
          <w:p w14:paraId="168FA132" w14:textId="77777777" w:rsidR="00361CB0" w:rsidRPr="00976D33" w:rsidRDefault="00361CB0">
            <w:pPr>
              <w:widowControl w:val="0"/>
              <w:autoSpaceDE w:val="0"/>
              <w:autoSpaceDN w:val="0"/>
              <w:spacing w:before="0" w:after="0"/>
              <w:ind w:left="34" w:right="-108"/>
              <w:jc w:val="left"/>
              <w:rPr>
                <w:rFonts w:asciiTheme="majorHAnsi" w:eastAsia="Calibri" w:hAnsiTheme="majorHAnsi" w:cstheme="majorHAnsi"/>
                <w:sz w:val="18"/>
                <w:szCs w:val="18"/>
              </w:rPr>
            </w:pPr>
            <w:r>
              <w:rPr>
                <w:rFonts w:asciiTheme="majorHAnsi" w:hAnsiTheme="majorHAnsi"/>
                <w:sz w:val="18"/>
              </w:rPr>
              <w:t>€/konsumator/muaj</w:t>
            </w:r>
          </w:p>
        </w:tc>
        <w:tc>
          <w:tcPr>
            <w:tcW w:w="699" w:type="pct"/>
            <w:vAlign w:val="center"/>
          </w:tcPr>
          <w:p w14:paraId="1F27B1CA" w14:textId="77777777" w:rsidR="00361CB0" w:rsidRPr="00976D33" w:rsidRDefault="00361CB0">
            <w:pPr>
              <w:widowControl w:val="0"/>
              <w:autoSpaceDE w:val="0"/>
              <w:autoSpaceDN w:val="0"/>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p>
        </w:tc>
        <w:tc>
          <w:tcPr>
            <w:cnfStyle w:val="000100000000" w:firstRow="0" w:lastRow="0" w:firstColumn="0" w:lastColumn="1" w:oddVBand="0" w:evenVBand="0" w:oddHBand="0" w:evenHBand="0" w:firstRowFirstColumn="0" w:firstRowLastColumn="0" w:lastRowFirstColumn="0" w:lastRowLastColumn="0"/>
            <w:tcW w:w="628" w:type="pct"/>
            <w:vAlign w:val="center"/>
          </w:tcPr>
          <w:p w14:paraId="50DC55D1" w14:textId="77777777" w:rsidR="00361CB0" w:rsidRPr="00976D33" w:rsidRDefault="00361CB0">
            <w:pPr>
              <w:widowControl w:val="0"/>
              <w:autoSpaceDE w:val="0"/>
              <w:autoSpaceDN w:val="0"/>
              <w:spacing w:before="0" w:after="0"/>
              <w:ind w:right="387"/>
              <w:jc w:val="left"/>
              <w:rPr>
                <w:rFonts w:asciiTheme="majorHAnsi" w:eastAsia="Calibri" w:hAnsiTheme="majorHAnsi" w:cstheme="majorHAnsi"/>
                <w:sz w:val="18"/>
                <w:szCs w:val="18"/>
              </w:rPr>
            </w:pPr>
            <w:r>
              <w:rPr>
                <w:rFonts w:asciiTheme="majorHAnsi" w:hAnsiTheme="majorHAnsi"/>
                <w:sz w:val="18"/>
              </w:rPr>
              <w:t>2.21</w:t>
            </w:r>
          </w:p>
        </w:tc>
      </w:tr>
      <w:tr w:rsidR="00361CB0" w:rsidRPr="00976D33" w14:paraId="564B86B8" w14:textId="77777777">
        <w:trPr>
          <w:trHeight w:val="224"/>
        </w:trPr>
        <w:tc>
          <w:tcPr>
            <w:cnfStyle w:val="001000000000" w:firstRow="0" w:lastRow="0" w:firstColumn="1" w:lastColumn="0" w:oddVBand="0" w:evenVBand="0" w:oddHBand="0" w:evenHBand="0" w:firstRowFirstColumn="0" w:firstRowLastColumn="0" w:lastRowFirstColumn="0" w:lastRowLastColumn="0"/>
            <w:tcW w:w="476" w:type="pct"/>
            <w:vMerge/>
            <w:vAlign w:val="center"/>
          </w:tcPr>
          <w:p w14:paraId="1E14ED52" w14:textId="77777777" w:rsidR="00361CB0" w:rsidRPr="00976D33" w:rsidRDefault="00361CB0">
            <w:pPr>
              <w:spacing w:before="0" w:after="0"/>
              <w:jc w:val="left"/>
              <w:rPr>
                <w:rFonts w:asciiTheme="majorHAns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14:paraId="23E13417" w14:textId="77777777" w:rsidR="00361CB0" w:rsidRPr="00976D33" w:rsidRDefault="00361CB0">
            <w:pPr>
              <w:spacing w:before="0" w:after="0"/>
              <w:jc w:val="left"/>
              <w:rPr>
                <w:rFonts w:asciiTheme="majorHAnsi" w:hAnsiTheme="majorHAnsi" w:cstheme="majorHAnsi"/>
                <w:sz w:val="18"/>
                <w:szCs w:val="18"/>
              </w:rPr>
            </w:pPr>
          </w:p>
        </w:tc>
        <w:tc>
          <w:tcPr>
            <w:tcW w:w="1334" w:type="pct"/>
            <w:vAlign w:val="center"/>
          </w:tcPr>
          <w:p w14:paraId="11980CE8" w14:textId="77777777" w:rsidR="00361CB0" w:rsidRPr="00976D33" w:rsidRDefault="00361CB0">
            <w:pPr>
              <w:widowControl w:val="0"/>
              <w:autoSpaceDE w:val="0"/>
              <w:autoSpaceDN w:val="0"/>
              <w:spacing w:before="0" w:after="0"/>
              <w:ind w:left="3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Energjia e shfrytëzuar</w:t>
            </w:r>
          </w:p>
        </w:tc>
        <w:tc>
          <w:tcPr>
            <w:cnfStyle w:val="000010000000" w:firstRow="0" w:lastRow="0" w:firstColumn="0" w:lastColumn="0" w:oddVBand="1" w:evenVBand="0" w:oddHBand="0" w:evenHBand="0" w:firstRowFirstColumn="0" w:firstRowLastColumn="0" w:lastRowFirstColumn="0" w:lastRowLastColumn="0"/>
            <w:tcW w:w="1082" w:type="pct"/>
            <w:vAlign w:val="center"/>
          </w:tcPr>
          <w:p w14:paraId="1133DCC0" w14:textId="77777777" w:rsidR="00361CB0" w:rsidRPr="00976D33" w:rsidRDefault="00361CB0">
            <w:pPr>
              <w:widowControl w:val="0"/>
              <w:autoSpaceDE w:val="0"/>
              <w:autoSpaceDN w:val="0"/>
              <w:spacing w:before="0" w:after="0"/>
              <w:ind w:left="34" w:right="-108"/>
              <w:jc w:val="left"/>
              <w:rPr>
                <w:rFonts w:asciiTheme="majorHAnsi" w:eastAsia="Calibri" w:hAnsiTheme="majorHAnsi" w:cstheme="majorHAnsi"/>
                <w:sz w:val="18"/>
                <w:szCs w:val="18"/>
              </w:rPr>
            </w:pPr>
            <w:r>
              <w:rPr>
                <w:rFonts w:asciiTheme="majorHAnsi" w:hAnsiTheme="majorHAnsi"/>
                <w:sz w:val="18"/>
              </w:rPr>
              <w:t>€/kW</w:t>
            </w:r>
          </w:p>
        </w:tc>
        <w:tc>
          <w:tcPr>
            <w:tcW w:w="699" w:type="pct"/>
            <w:vAlign w:val="center"/>
          </w:tcPr>
          <w:p w14:paraId="0DA87BA2" w14:textId="77777777" w:rsidR="00361CB0" w:rsidRPr="00976D33" w:rsidRDefault="00361CB0">
            <w:pPr>
              <w:widowControl w:val="0"/>
              <w:autoSpaceDE w:val="0"/>
              <w:autoSpaceDN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p>
        </w:tc>
        <w:tc>
          <w:tcPr>
            <w:cnfStyle w:val="000100000000" w:firstRow="0" w:lastRow="0" w:firstColumn="0" w:lastColumn="1" w:oddVBand="0" w:evenVBand="0" w:oddHBand="0" w:evenHBand="0" w:firstRowFirstColumn="0" w:firstRowLastColumn="0" w:lastRowFirstColumn="0" w:lastRowLastColumn="0"/>
            <w:tcW w:w="628" w:type="pct"/>
            <w:vAlign w:val="center"/>
          </w:tcPr>
          <w:p w14:paraId="139BAD14" w14:textId="77777777" w:rsidR="00361CB0" w:rsidRPr="00976D33" w:rsidRDefault="00361CB0">
            <w:pPr>
              <w:widowControl w:val="0"/>
              <w:autoSpaceDE w:val="0"/>
              <w:autoSpaceDN w:val="0"/>
              <w:spacing w:before="0" w:after="0"/>
              <w:ind w:right="387"/>
              <w:jc w:val="left"/>
              <w:rPr>
                <w:rFonts w:asciiTheme="majorHAnsi" w:eastAsia="Calibri" w:hAnsiTheme="majorHAnsi" w:cstheme="majorHAnsi"/>
                <w:sz w:val="18"/>
                <w:szCs w:val="18"/>
              </w:rPr>
            </w:pPr>
            <w:r>
              <w:rPr>
                <w:rFonts w:asciiTheme="majorHAnsi" w:hAnsiTheme="majorHAnsi"/>
                <w:sz w:val="18"/>
              </w:rPr>
              <w:t>2.55</w:t>
            </w:r>
          </w:p>
        </w:tc>
      </w:tr>
      <w:tr w:rsidR="00361CB0" w:rsidRPr="00976D33" w14:paraId="69745459" w14:textId="7777777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76" w:type="pct"/>
            <w:vMerge/>
            <w:vAlign w:val="center"/>
          </w:tcPr>
          <w:p w14:paraId="2A7C325D" w14:textId="77777777" w:rsidR="00361CB0" w:rsidRPr="00976D33" w:rsidRDefault="00361CB0">
            <w:pPr>
              <w:spacing w:before="0" w:after="0"/>
              <w:jc w:val="left"/>
              <w:rPr>
                <w:rFonts w:asciiTheme="majorHAns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14:paraId="79A4D460" w14:textId="77777777" w:rsidR="00361CB0" w:rsidRPr="00976D33" w:rsidRDefault="00361CB0">
            <w:pPr>
              <w:spacing w:before="0" w:after="0"/>
              <w:jc w:val="left"/>
              <w:rPr>
                <w:rFonts w:asciiTheme="majorHAnsi" w:hAnsiTheme="majorHAnsi" w:cstheme="majorHAnsi"/>
                <w:sz w:val="18"/>
                <w:szCs w:val="18"/>
              </w:rPr>
            </w:pPr>
          </w:p>
        </w:tc>
        <w:tc>
          <w:tcPr>
            <w:tcW w:w="1334" w:type="pct"/>
            <w:vMerge w:val="restart"/>
            <w:vAlign w:val="center"/>
          </w:tcPr>
          <w:p w14:paraId="437468BA" w14:textId="77777777" w:rsidR="00361CB0" w:rsidRPr="00976D33" w:rsidRDefault="00361CB0">
            <w:pPr>
              <w:widowControl w:val="0"/>
              <w:autoSpaceDE w:val="0"/>
              <w:autoSpaceDN w:val="0"/>
              <w:spacing w:before="0" w:after="0"/>
              <w:ind w:left="30" w:right="-29"/>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Energjia aktive (P), nga e cila</w:t>
            </w:r>
          </w:p>
        </w:tc>
        <w:tc>
          <w:tcPr>
            <w:cnfStyle w:val="000010000000" w:firstRow="0" w:lastRow="0" w:firstColumn="0" w:lastColumn="0" w:oddVBand="1" w:evenVBand="0" w:oddHBand="0" w:evenHBand="0" w:firstRowFirstColumn="0" w:firstRowLastColumn="0" w:lastRowFirstColumn="0" w:lastRowLastColumn="0"/>
            <w:tcW w:w="1082" w:type="pct"/>
            <w:vAlign w:val="center"/>
          </w:tcPr>
          <w:p w14:paraId="63E2792A" w14:textId="77777777" w:rsidR="00361CB0" w:rsidRPr="00976D33" w:rsidRDefault="00361CB0">
            <w:pPr>
              <w:widowControl w:val="0"/>
              <w:autoSpaceDE w:val="0"/>
              <w:autoSpaceDN w:val="0"/>
              <w:spacing w:before="0" w:after="0"/>
              <w:ind w:left="34" w:right="-108"/>
              <w:jc w:val="left"/>
              <w:rPr>
                <w:rFonts w:asciiTheme="majorHAnsi" w:eastAsia="Calibri" w:hAnsiTheme="majorHAnsi" w:cstheme="majorHAnsi"/>
                <w:sz w:val="18"/>
                <w:szCs w:val="18"/>
              </w:rPr>
            </w:pPr>
            <w:r>
              <w:rPr>
                <w:rFonts w:asciiTheme="majorHAnsi" w:hAnsiTheme="majorHAnsi"/>
                <w:sz w:val="18"/>
              </w:rPr>
              <w:t>€c/kWh</w:t>
            </w:r>
          </w:p>
        </w:tc>
        <w:tc>
          <w:tcPr>
            <w:tcW w:w="699" w:type="pct"/>
            <w:vAlign w:val="center"/>
          </w:tcPr>
          <w:p w14:paraId="024F390C" w14:textId="77777777" w:rsidR="00361CB0" w:rsidRPr="00976D33" w:rsidRDefault="00361CB0">
            <w:pPr>
              <w:widowControl w:val="0"/>
              <w:autoSpaceDE w:val="0"/>
              <w:autoSpaceDN w:val="0"/>
              <w:spacing w:before="0" w:after="0"/>
              <w:ind w:left="31"/>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Tarifa e lartë</w:t>
            </w:r>
          </w:p>
        </w:tc>
        <w:tc>
          <w:tcPr>
            <w:cnfStyle w:val="000100000000" w:firstRow="0" w:lastRow="0" w:firstColumn="0" w:lastColumn="1" w:oddVBand="0" w:evenVBand="0" w:oddHBand="0" w:evenHBand="0" w:firstRowFirstColumn="0" w:firstRowLastColumn="0" w:lastRowFirstColumn="0" w:lastRowLastColumn="0"/>
            <w:tcW w:w="628" w:type="pct"/>
            <w:vAlign w:val="center"/>
          </w:tcPr>
          <w:p w14:paraId="344C2D58" w14:textId="77777777" w:rsidR="00361CB0" w:rsidRPr="00976D33" w:rsidRDefault="00361CB0">
            <w:pPr>
              <w:widowControl w:val="0"/>
              <w:autoSpaceDE w:val="0"/>
              <w:autoSpaceDN w:val="0"/>
              <w:spacing w:before="0" w:after="0"/>
              <w:ind w:right="387"/>
              <w:jc w:val="left"/>
              <w:rPr>
                <w:rFonts w:asciiTheme="majorHAnsi" w:eastAsia="Calibri" w:hAnsiTheme="majorHAnsi" w:cstheme="majorHAnsi"/>
                <w:sz w:val="18"/>
                <w:szCs w:val="18"/>
              </w:rPr>
            </w:pPr>
            <w:r>
              <w:rPr>
                <w:rFonts w:asciiTheme="majorHAnsi" w:hAnsiTheme="majorHAnsi"/>
                <w:sz w:val="18"/>
              </w:rPr>
              <w:t>5.74</w:t>
            </w:r>
          </w:p>
        </w:tc>
      </w:tr>
      <w:tr w:rsidR="00361CB0" w:rsidRPr="00976D33" w14:paraId="7C8B3AA4" w14:textId="77777777">
        <w:trPr>
          <w:trHeight w:val="225"/>
        </w:trPr>
        <w:tc>
          <w:tcPr>
            <w:cnfStyle w:val="001000000000" w:firstRow="0" w:lastRow="0" w:firstColumn="1" w:lastColumn="0" w:oddVBand="0" w:evenVBand="0" w:oddHBand="0" w:evenHBand="0" w:firstRowFirstColumn="0" w:firstRowLastColumn="0" w:lastRowFirstColumn="0" w:lastRowLastColumn="0"/>
            <w:tcW w:w="476" w:type="pct"/>
            <w:vMerge/>
            <w:vAlign w:val="center"/>
          </w:tcPr>
          <w:p w14:paraId="2ED4C0D6" w14:textId="77777777" w:rsidR="00361CB0" w:rsidRPr="00976D33" w:rsidRDefault="00361CB0">
            <w:pPr>
              <w:spacing w:before="0" w:after="0"/>
              <w:jc w:val="left"/>
              <w:rPr>
                <w:rFonts w:asciiTheme="majorHAns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14:paraId="32F697CD" w14:textId="77777777" w:rsidR="00361CB0" w:rsidRPr="00976D33" w:rsidRDefault="00361CB0">
            <w:pPr>
              <w:spacing w:before="0" w:after="0"/>
              <w:jc w:val="left"/>
              <w:rPr>
                <w:rFonts w:asciiTheme="majorHAnsi" w:hAnsiTheme="majorHAnsi" w:cstheme="majorHAnsi"/>
                <w:sz w:val="18"/>
                <w:szCs w:val="18"/>
              </w:rPr>
            </w:pPr>
          </w:p>
        </w:tc>
        <w:tc>
          <w:tcPr>
            <w:tcW w:w="1334" w:type="pct"/>
            <w:vMerge/>
            <w:vAlign w:val="center"/>
          </w:tcPr>
          <w:p w14:paraId="392A66F2" w14:textId="77777777" w:rsidR="00361CB0" w:rsidRPr="00976D33" w:rsidRDefault="00361CB0">
            <w:pPr>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1082" w:type="pct"/>
            <w:vAlign w:val="center"/>
          </w:tcPr>
          <w:p w14:paraId="2ABC12BB" w14:textId="77777777" w:rsidR="00361CB0" w:rsidRPr="00976D33" w:rsidRDefault="00361CB0">
            <w:pPr>
              <w:widowControl w:val="0"/>
              <w:autoSpaceDE w:val="0"/>
              <w:autoSpaceDN w:val="0"/>
              <w:spacing w:before="0" w:after="0"/>
              <w:ind w:left="34" w:right="-108"/>
              <w:jc w:val="left"/>
              <w:rPr>
                <w:rFonts w:asciiTheme="majorHAnsi" w:eastAsia="Calibri" w:hAnsiTheme="majorHAnsi" w:cstheme="majorHAnsi"/>
                <w:sz w:val="18"/>
                <w:szCs w:val="18"/>
              </w:rPr>
            </w:pPr>
            <w:r>
              <w:rPr>
                <w:rFonts w:asciiTheme="majorHAnsi" w:hAnsiTheme="majorHAnsi"/>
                <w:sz w:val="18"/>
              </w:rPr>
              <w:t>€c/kWh</w:t>
            </w:r>
          </w:p>
        </w:tc>
        <w:tc>
          <w:tcPr>
            <w:tcW w:w="699" w:type="pct"/>
            <w:vAlign w:val="center"/>
          </w:tcPr>
          <w:p w14:paraId="0C2747FC" w14:textId="77777777" w:rsidR="00361CB0" w:rsidRPr="00976D33" w:rsidRDefault="00361CB0">
            <w:pPr>
              <w:widowControl w:val="0"/>
              <w:autoSpaceDE w:val="0"/>
              <w:autoSpaceDN w:val="0"/>
              <w:spacing w:before="0" w:after="0"/>
              <w:ind w:left="31"/>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Tarifa e ulët</w:t>
            </w:r>
          </w:p>
        </w:tc>
        <w:tc>
          <w:tcPr>
            <w:cnfStyle w:val="000100000000" w:firstRow="0" w:lastRow="0" w:firstColumn="0" w:lastColumn="1" w:oddVBand="0" w:evenVBand="0" w:oddHBand="0" w:evenHBand="0" w:firstRowFirstColumn="0" w:firstRowLastColumn="0" w:lastRowFirstColumn="0" w:lastRowLastColumn="0"/>
            <w:tcW w:w="628" w:type="pct"/>
            <w:vAlign w:val="center"/>
          </w:tcPr>
          <w:p w14:paraId="5A013CED" w14:textId="77777777" w:rsidR="00361CB0" w:rsidRPr="00976D33" w:rsidRDefault="00361CB0">
            <w:pPr>
              <w:widowControl w:val="0"/>
              <w:autoSpaceDE w:val="0"/>
              <w:autoSpaceDN w:val="0"/>
              <w:spacing w:before="0" w:after="0"/>
              <w:ind w:right="387"/>
              <w:jc w:val="left"/>
              <w:rPr>
                <w:rFonts w:asciiTheme="majorHAnsi" w:eastAsia="Calibri" w:hAnsiTheme="majorHAnsi" w:cstheme="majorHAnsi"/>
                <w:sz w:val="18"/>
                <w:szCs w:val="18"/>
              </w:rPr>
            </w:pPr>
            <w:r>
              <w:rPr>
                <w:rFonts w:asciiTheme="majorHAnsi" w:hAnsiTheme="majorHAnsi"/>
                <w:sz w:val="18"/>
              </w:rPr>
              <w:t>4.26</w:t>
            </w:r>
          </w:p>
        </w:tc>
      </w:tr>
      <w:tr w:rsidR="00361CB0" w:rsidRPr="00976D33" w14:paraId="165992DB" w14:textId="7777777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76" w:type="pct"/>
            <w:vMerge/>
            <w:vAlign w:val="center"/>
          </w:tcPr>
          <w:p w14:paraId="0455B106" w14:textId="77777777" w:rsidR="00361CB0" w:rsidRPr="00976D33" w:rsidRDefault="00361CB0">
            <w:pPr>
              <w:spacing w:before="0" w:after="0"/>
              <w:jc w:val="left"/>
              <w:rPr>
                <w:rFonts w:asciiTheme="majorHAns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14:paraId="6674E801" w14:textId="77777777" w:rsidR="00361CB0" w:rsidRPr="00976D33" w:rsidRDefault="00361CB0">
            <w:pPr>
              <w:spacing w:before="0" w:after="0"/>
              <w:jc w:val="left"/>
              <w:rPr>
                <w:rFonts w:asciiTheme="majorHAnsi" w:hAnsiTheme="majorHAnsi" w:cstheme="majorHAnsi"/>
                <w:sz w:val="18"/>
                <w:szCs w:val="18"/>
              </w:rPr>
            </w:pPr>
          </w:p>
        </w:tc>
        <w:tc>
          <w:tcPr>
            <w:tcW w:w="1334" w:type="pct"/>
            <w:vAlign w:val="center"/>
          </w:tcPr>
          <w:p w14:paraId="2DF54A60" w14:textId="77777777" w:rsidR="00361CB0" w:rsidRPr="00976D33" w:rsidRDefault="00361CB0">
            <w:pPr>
              <w:widowControl w:val="0"/>
              <w:autoSpaceDE w:val="0"/>
              <w:autoSpaceDN w:val="0"/>
              <w:spacing w:before="0" w:after="0"/>
              <w:ind w:left="30"/>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Energjia reaktive (Q)</w:t>
            </w:r>
          </w:p>
        </w:tc>
        <w:tc>
          <w:tcPr>
            <w:cnfStyle w:val="000010000000" w:firstRow="0" w:lastRow="0" w:firstColumn="0" w:lastColumn="0" w:oddVBand="1" w:evenVBand="0" w:oddHBand="0" w:evenHBand="0" w:firstRowFirstColumn="0" w:firstRowLastColumn="0" w:lastRowFirstColumn="0" w:lastRowLastColumn="0"/>
            <w:tcW w:w="1082" w:type="pct"/>
            <w:vAlign w:val="center"/>
          </w:tcPr>
          <w:p w14:paraId="363320D0" w14:textId="77777777" w:rsidR="00361CB0" w:rsidRPr="00976D33" w:rsidRDefault="00361CB0">
            <w:pPr>
              <w:widowControl w:val="0"/>
              <w:autoSpaceDE w:val="0"/>
              <w:autoSpaceDN w:val="0"/>
              <w:spacing w:before="0" w:after="0"/>
              <w:ind w:left="34" w:right="-108"/>
              <w:jc w:val="left"/>
              <w:rPr>
                <w:rFonts w:asciiTheme="majorHAnsi" w:eastAsia="Calibri" w:hAnsiTheme="majorHAnsi" w:cstheme="majorHAnsi"/>
                <w:sz w:val="18"/>
                <w:szCs w:val="18"/>
              </w:rPr>
            </w:pPr>
            <w:r>
              <w:rPr>
                <w:rFonts w:asciiTheme="majorHAnsi" w:hAnsiTheme="majorHAnsi"/>
                <w:sz w:val="18"/>
              </w:rPr>
              <w:t>€c/kVArh</w:t>
            </w:r>
          </w:p>
        </w:tc>
        <w:tc>
          <w:tcPr>
            <w:tcW w:w="699" w:type="pct"/>
            <w:vAlign w:val="center"/>
          </w:tcPr>
          <w:p w14:paraId="627EA088" w14:textId="77777777" w:rsidR="00361CB0" w:rsidRPr="00976D33" w:rsidRDefault="00361CB0">
            <w:pPr>
              <w:widowControl w:val="0"/>
              <w:autoSpaceDE w:val="0"/>
              <w:autoSpaceDN w:val="0"/>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p>
        </w:tc>
        <w:tc>
          <w:tcPr>
            <w:cnfStyle w:val="000100000000" w:firstRow="0" w:lastRow="0" w:firstColumn="0" w:lastColumn="1" w:oddVBand="0" w:evenVBand="0" w:oddHBand="0" w:evenHBand="0" w:firstRowFirstColumn="0" w:firstRowLastColumn="0" w:lastRowFirstColumn="0" w:lastRowLastColumn="0"/>
            <w:tcW w:w="628" w:type="pct"/>
            <w:vAlign w:val="center"/>
          </w:tcPr>
          <w:p w14:paraId="2EE15A7F" w14:textId="77777777" w:rsidR="00361CB0" w:rsidRPr="00976D33" w:rsidRDefault="00361CB0">
            <w:pPr>
              <w:widowControl w:val="0"/>
              <w:autoSpaceDE w:val="0"/>
              <w:autoSpaceDN w:val="0"/>
              <w:spacing w:before="0" w:after="0"/>
              <w:ind w:right="387"/>
              <w:jc w:val="left"/>
              <w:rPr>
                <w:rFonts w:asciiTheme="majorHAnsi" w:eastAsia="Calibri" w:hAnsiTheme="majorHAnsi" w:cstheme="majorHAnsi"/>
                <w:sz w:val="18"/>
                <w:szCs w:val="18"/>
              </w:rPr>
            </w:pPr>
            <w:r>
              <w:rPr>
                <w:rFonts w:asciiTheme="majorHAnsi" w:hAnsiTheme="majorHAnsi"/>
                <w:sz w:val="18"/>
              </w:rPr>
              <w:t>0.58</w:t>
            </w:r>
          </w:p>
        </w:tc>
      </w:tr>
      <w:tr w:rsidR="00361CB0" w:rsidRPr="00976D33" w14:paraId="49FAB793" w14:textId="77777777">
        <w:trPr>
          <w:trHeight w:val="225"/>
        </w:trPr>
        <w:tc>
          <w:tcPr>
            <w:cnfStyle w:val="001000000000" w:firstRow="0" w:lastRow="0" w:firstColumn="1" w:lastColumn="0" w:oddVBand="0" w:evenVBand="0" w:oddHBand="0" w:evenHBand="0" w:firstRowFirstColumn="0" w:firstRowLastColumn="0" w:lastRowFirstColumn="0" w:lastRowLastColumn="0"/>
            <w:tcW w:w="476" w:type="pct"/>
            <w:vMerge w:val="restart"/>
            <w:vAlign w:val="center"/>
          </w:tcPr>
          <w:p w14:paraId="05639170" w14:textId="77777777" w:rsidR="00361CB0" w:rsidRPr="00976D33" w:rsidRDefault="00361CB0">
            <w:pPr>
              <w:widowControl w:val="0"/>
              <w:autoSpaceDE w:val="0"/>
              <w:autoSpaceDN w:val="0"/>
              <w:spacing w:before="0" w:after="0"/>
              <w:ind w:left="21"/>
              <w:jc w:val="left"/>
              <w:rPr>
                <w:rFonts w:asciiTheme="majorHAnsi" w:eastAsia="Calibri" w:hAnsiTheme="majorHAnsi" w:cstheme="majorHAnsi"/>
                <w:sz w:val="18"/>
                <w:szCs w:val="18"/>
              </w:rPr>
            </w:pPr>
            <w:r>
              <w:rPr>
                <w:rFonts w:asciiTheme="majorHAnsi" w:hAnsiTheme="majorHAnsi"/>
                <w:sz w:val="18"/>
              </w:rPr>
              <w:t>4</w:t>
            </w:r>
          </w:p>
        </w:tc>
        <w:tc>
          <w:tcPr>
            <w:cnfStyle w:val="000010000000" w:firstRow="0" w:lastRow="0" w:firstColumn="0" w:lastColumn="0" w:oddVBand="1" w:evenVBand="0" w:oddHBand="0" w:evenHBand="0" w:firstRowFirstColumn="0" w:firstRowLastColumn="0" w:lastRowFirstColumn="0" w:lastRowLastColumn="0"/>
            <w:tcW w:w="782" w:type="pct"/>
            <w:vMerge w:val="restart"/>
            <w:vAlign w:val="center"/>
          </w:tcPr>
          <w:p w14:paraId="57CF19CD" w14:textId="77777777" w:rsidR="00361CB0" w:rsidRPr="00976D33" w:rsidRDefault="00361CB0">
            <w:pPr>
              <w:widowControl w:val="0"/>
              <w:autoSpaceDE w:val="0"/>
              <w:autoSpaceDN w:val="0"/>
              <w:spacing w:before="0" w:after="0"/>
              <w:ind w:right="12"/>
              <w:jc w:val="left"/>
              <w:rPr>
                <w:rFonts w:asciiTheme="majorHAnsi" w:eastAsia="Calibri" w:hAnsiTheme="majorHAnsi" w:cstheme="majorHAnsi"/>
                <w:sz w:val="18"/>
                <w:szCs w:val="18"/>
              </w:rPr>
            </w:pPr>
            <w:r>
              <w:rPr>
                <w:rFonts w:asciiTheme="majorHAnsi" w:hAnsiTheme="majorHAnsi"/>
                <w:sz w:val="18"/>
              </w:rPr>
              <w:t>0.4kV</w:t>
            </w:r>
          </w:p>
          <w:p w14:paraId="3F1DBC71" w14:textId="77777777" w:rsidR="00361CB0" w:rsidRPr="00976D33" w:rsidRDefault="00361CB0">
            <w:pPr>
              <w:widowControl w:val="0"/>
              <w:autoSpaceDE w:val="0"/>
              <w:autoSpaceDN w:val="0"/>
              <w:spacing w:before="0" w:after="0"/>
              <w:ind w:right="21"/>
              <w:jc w:val="left"/>
              <w:rPr>
                <w:rFonts w:asciiTheme="majorHAnsi" w:eastAsia="Calibri" w:hAnsiTheme="majorHAnsi" w:cstheme="majorHAnsi"/>
                <w:sz w:val="18"/>
                <w:szCs w:val="18"/>
              </w:rPr>
            </w:pPr>
            <w:r>
              <w:rPr>
                <w:rFonts w:asciiTheme="majorHAnsi" w:hAnsiTheme="majorHAnsi"/>
                <w:sz w:val="18"/>
              </w:rPr>
              <w:t>Kategoria II</w:t>
            </w:r>
          </w:p>
        </w:tc>
        <w:tc>
          <w:tcPr>
            <w:tcW w:w="1334" w:type="pct"/>
            <w:vAlign w:val="center"/>
          </w:tcPr>
          <w:p w14:paraId="72D31543" w14:textId="77777777" w:rsidR="00361CB0" w:rsidRPr="00976D33" w:rsidRDefault="00361CB0">
            <w:pPr>
              <w:widowControl w:val="0"/>
              <w:autoSpaceDE w:val="0"/>
              <w:autoSpaceDN w:val="0"/>
              <w:spacing w:before="0" w:after="0"/>
              <w:ind w:left="3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Tarifa fikse e konsumatorit</w:t>
            </w:r>
          </w:p>
        </w:tc>
        <w:tc>
          <w:tcPr>
            <w:cnfStyle w:val="000010000000" w:firstRow="0" w:lastRow="0" w:firstColumn="0" w:lastColumn="0" w:oddVBand="1" w:evenVBand="0" w:oddHBand="0" w:evenHBand="0" w:firstRowFirstColumn="0" w:firstRowLastColumn="0" w:lastRowFirstColumn="0" w:lastRowLastColumn="0"/>
            <w:tcW w:w="1082" w:type="pct"/>
            <w:vAlign w:val="center"/>
          </w:tcPr>
          <w:p w14:paraId="26E39FDB" w14:textId="77777777" w:rsidR="00361CB0" w:rsidRPr="00976D33" w:rsidRDefault="00361CB0">
            <w:pPr>
              <w:widowControl w:val="0"/>
              <w:autoSpaceDE w:val="0"/>
              <w:autoSpaceDN w:val="0"/>
              <w:spacing w:before="0" w:after="0"/>
              <w:ind w:left="34" w:right="-108"/>
              <w:jc w:val="left"/>
              <w:rPr>
                <w:rFonts w:asciiTheme="majorHAnsi" w:eastAsia="Calibri" w:hAnsiTheme="majorHAnsi" w:cstheme="majorHAnsi"/>
                <w:sz w:val="18"/>
                <w:szCs w:val="18"/>
              </w:rPr>
            </w:pPr>
            <w:r>
              <w:rPr>
                <w:rFonts w:asciiTheme="majorHAnsi" w:hAnsiTheme="majorHAnsi"/>
                <w:sz w:val="18"/>
              </w:rPr>
              <w:t>€/konsumator/muaj</w:t>
            </w:r>
          </w:p>
        </w:tc>
        <w:tc>
          <w:tcPr>
            <w:tcW w:w="699" w:type="pct"/>
            <w:vAlign w:val="center"/>
          </w:tcPr>
          <w:p w14:paraId="0578596C" w14:textId="77777777" w:rsidR="00361CB0" w:rsidRPr="00976D33" w:rsidRDefault="00361CB0">
            <w:pPr>
              <w:widowControl w:val="0"/>
              <w:autoSpaceDE w:val="0"/>
              <w:autoSpaceDN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p>
        </w:tc>
        <w:tc>
          <w:tcPr>
            <w:cnfStyle w:val="000100000000" w:firstRow="0" w:lastRow="0" w:firstColumn="0" w:lastColumn="1" w:oddVBand="0" w:evenVBand="0" w:oddHBand="0" w:evenHBand="0" w:firstRowFirstColumn="0" w:firstRowLastColumn="0" w:lastRowFirstColumn="0" w:lastRowLastColumn="0"/>
            <w:tcW w:w="628" w:type="pct"/>
            <w:vAlign w:val="center"/>
          </w:tcPr>
          <w:p w14:paraId="750B34EF" w14:textId="77777777" w:rsidR="00361CB0" w:rsidRPr="00976D33" w:rsidRDefault="00361CB0">
            <w:pPr>
              <w:widowControl w:val="0"/>
              <w:autoSpaceDE w:val="0"/>
              <w:autoSpaceDN w:val="0"/>
              <w:spacing w:before="0" w:after="0"/>
              <w:ind w:right="387"/>
              <w:jc w:val="left"/>
              <w:rPr>
                <w:rFonts w:asciiTheme="majorHAnsi" w:eastAsia="Calibri" w:hAnsiTheme="majorHAnsi" w:cstheme="majorHAnsi"/>
                <w:sz w:val="18"/>
                <w:szCs w:val="18"/>
              </w:rPr>
            </w:pPr>
            <w:r>
              <w:rPr>
                <w:rFonts w:asciiTheme="majorHAnsi" w:hAnsiTheme="majorHAnsi"/>
                <w:sz w:val="18"/>
              </w:rPr>
              <w:t>2.55</w:t>
            </w:r>
          </w:p>
        </w:tc>
      </w:tr>
      <w:tr w:rsidR="00361CB0" w:rsidRPr="00976D33" w14:paraId="5F07E785" w14:textId="7777777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76" w:type="pct"/>
            <w:vMerge/>
            <w:vAlign w:val="center"/>
          </w:tcPr>
          <w:p w14:paraId="32615AE5" w14:textId="77777777" w:rsidR="00361CB0" w:rsidRPr="00976D33" w:rsidRDefault="00361CB0">
            <w:pPr>
              <w:spacing w:before="0" w:after="0"/>
              <w:jc w:val="left"/>
              <w:rPr>
                <w:rFonts w:asciiTheme="majorHAns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14:paraId="5BE8CA86" w14:textId="77777777" w:rsidR="00361CB0" w:rsidRPr="00976D33" w:rsidRDefault="00361CB0">
            <w:pPr>
              <w:spacing w:before="0" w:after="0"/>
              <w:jc w:val="left"/>
              <w:rPr>
                <w:rFonts w:asciiTheme="majorHAnsi" w:hAnsiTheme="majorHAnsi" w:cstheme="majorHAnsi"/>
                <w:sz w:val="18"/>
                <w:szCs w:val="18"/>
              </w:rPr>
            </w:pPr>
          </w:p>
        </w:tc>
        <w:tc>
          <w:tcPr>
            <w:tcW w:w="1334" w:type="pct"/>
            <w:vAlign w:val="center"/>
          </w:tcPr>
          <w:p w14:paraId="0CAE4D86" w14:textId="77777777" w:rsidR="00361CB0" w:rsidRPr="00976D33" w:rsidRDefault="00361CB0">
            <w:pPr>
              <w:widowControl w:val="0"/>
              <w:autoSpaceDE w:val="0"/>
              <w:autoSpaceDN w:val="0"/>
              <w:spacing w:before="0" w:after="0"/>
              <w:ind w:left="30" w:right="-29"/>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Energjia aktive (P), nga e cila</w:t>
            </w:r>
          </w:p>
        </w:tc>
        <w:tc>
          <w:tcPr>
            <w:cnfStyle w:val="000010000000" w:firstRow="0" w:lastRow="0" w:firstColumn="0" w:lastColumn="0" w:oddVBand="1" w:evenVBand="0" w:oddHBand="0" w:evenHBand="0" w:firstRowFirstColumn="0" w:firstRowLastColumn="0" w:lastRowFirstColumn="0" w:lastRowLastColumn="0"/>
            <w:tcW w:w="1082" w:type="pct"/>
            <w:vAlign w:val="center"/>
          </w:tcPr>
          <w:p w14:paraId="15E0D52A" w14:textId="77777777" w:rsidR="00361CB0" w:rsidRPr="00976D33" w:rsidRDefault="00361CB0">
            <w:pPr>
              <w:widowControl w:val="0"/>
              <w:autoSpaceDE w:val="0"/>
              <w:autoSpaceDN w:val="0"/>
              <w:spacing w:before="0" w:after="0"/>
              <w:ind w:left="34" w:right="-108"/>
              <w:jc w:val="left"/>
              <w:rPr>
                <w:rFonts w:asciiTheme="majorHAnsi" w:eastAsia="Calibri" w:hAnsiTheme="majorHAnsi" w:cstheme="majorHAnsi"/>
                <w:sz w:val="18"/>
                <w:szCs w:val="18"/>
              </w:rPr>
            </w:pPr>
            <w:r>
              <w:rPr>
                <w:rFonts w:asciiTheme="majorHAnsi" w:hAnsiTheme="majorHAnsi"/>
                <w:sz w:val="18"/>
              </w:rPr>
              <w:t>€c/kWh</w:t>
            </w:r>
          </w:p>
        </w:tc>
        <w:tc>
          <w:tcPr>
            <w:tcW w:w="699" w:type="pct"/>
            <w:vAlign w:val="center"/>
          </w:tcPr>
          <w:p w14:paraId="6D5E6AAC" w14:textId="77777777" w:rsidR="00361CB0" w:rsidRPr="00976D33" w:rsidRDefault="00361CB0">
            <w:pPr>
              <w:widowControl w:val="0"/>
              <w:autoSpaceDE w:val="0"/>
              <w:autoSpaceDN w:val="0"/>
              <w:spacing w:before="0" w:after="0"/>
              <w:ind w:left="31"/>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Tarifa e vetme</w:t>
            </w:r>
          </w:p>
        </w:tc>
        <w:tc>
          <w:tcPr>
            <w:cnfStyle w:val="000100000000" w:firstRow="0" w:lastRow="0" w:firstColumn="0" w:lastColumn="1" w:oddVBand="0" w:evenVBand="0" w:oddHBand="0" w:evenHBand="0" w:firstRowFirstColumn="0" w:firstRowLastColumn="0" w:lastRowFirstColumn="0" w:lastRowLastColumn="0"/>
            <w:tcW w:w="628" w:type="pct"/>
            <w:vAlign w:val="center"/>
          </w:tcPr>
          <w:p w14:paraId="5A2F2E16" w14:textId="77777777" w:rsidR="00361CB0" w:rsidRPr="00976D33" w:rsidRDefault="00361CB0">
            <w:pPr>
              <w:widowControl w:val="0"/>
              <w:autoSpaceDE w:val="0"/>
              <w:autoSpaceDN w:val="0"/>
              <w:spacing w:before="0" w:after="0"/>
              <w:ind w:right="387"/>
              <w:jc w:val="left"/>
              <w:rPr>
                <w:rFonts w:asciiTheme="majorHAnsi" w:eastAsia="Calibri" w:hAnsiTheme="majorHAnsi" w:cstheme="majorHAnsi"/>
                <w:sz w:val="18"/>
                <w:szCs w:val="18"/>
              </w:rPr>
            </w:pPr>
            <w:r>
              <w:rPr>
                <w:rFonts w:asciiTheme="majorHAnsi" w:hAnsiTheme="majorHAnsi"/>
                <w:sz w:val="18"/>
              </w:rPr>
              <w:t>7.58</w:t>
            </w:r>
          </w:p>
        </w:tc>
      </w:tr>
      <w:tr w:rsidR="00361CB0" w:rsidRPr="00976D33" w14:paraId="577950E2" w14:textId="77777777">
        <w:trPr>
          <w:trHeight w:val="224"/>
        </w:trPr>
        <w:tc>
          <w:tcPr>
            <w:cnfStyle w:val="001000000000" w:firstRow="0" w:lastRow="0" w:firstColumn="1" w:lastColumn="0" w:oddVBand="0" w:evenVBand="0" w:oddHBand="0" w:evenHBand="0" w:firstRowFirstColumn="0" w:firstRowLastColumn="0" w:lastRowFirstColumn="0" w:lastRowLastColumn="0"/>
            <w:tcW w:w="476" w:type="pct"/>
            <w:vMerge/>
            <w:vAlign w:val="center"/>
          </w:tcPr>
          <w:p w14:paraId="4D49B7E0" w14:textId="77777777" w:rsidR="00361CB0" w:rsidRPr="00976D33" w:rsidRDefault="00361CB0">
            <w:pPr>
              <w:spacing w:before="0" w:after="0"/>
              <w:jc w:val="left"/>
              <w:rPr>
                <w:rFonts w:asciiTheme="majorHAns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14:paraId="201FEF0F" w14:textId="77777777" w:rsidR="00361CB0" w:rsidRPr="00976D33" w:rsidRDefault="00361CB0">
            <w:pPr>
              <w:spacing w:before="0" w:after="0"/>
              <w:jc w:val="left"/>
              <w:rPr>
                <w:rFonts w:asciiTheme="majorHAnsi" w:hAnsiTheme="majorHAnsi" w:cstheme="majorHAnsi"/>
                <w:sz w:val="18"/>
                <w:szCs w:val="18"/>
              </w:rPr>
            </w:pPr>
          </w:p>
        </w:tc>
        <w:tc>
          <w:tcPr>
            <w:tcW w:w="1334" w:type="pct"/>
            <w:vMerge w:val="restart"/>
            <w:vAlign w:val="center"/>
          </w:tcPr>
          <w:p w14:paraId="0422CE65" w14:textId="77777777" w:rsidR="00361CB0" w:rsidRPr="00976D33" w:rsidRDefault="00361CB0">
            <w:pPr>
              <w:widowControl w:val="0"/>
              <w:autoSpaceDE w:val="0"/>
              <w:autoSpaceDN w:val="0"/>
              <w:spacing w:before="0" w:after="0"/>
              <w:ind w:left="30" w:right="-29"/>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Energjia aktive (P), nga e cila</w:t>
            </w:r>
          </w:p>
        </w:tc>
        <w:tc>
          <w:tcPr>
            <w:cnfStyle w:val="000010000000" w:firstRow="0" w:lastRow="0" w:firstColumn="0" w:lastColumn="0" w:oddVBand="1" w:evenVBand="0" w:oddHBand="0" w:evenHBand="0" w:firstRowFirstColumn="0" w:firstRowLastColumn="0" w:lastRowFirstColumn="0" w:lastRowLastColumn="0"/>
            <w:tcW w:w="1082" w:type="pct"/>
            <w:vAlign w:val="center"/>
          </w:tcPr>
          <w:p w14:paraId="4654B828" w14:textId="77777777" w:rsidR="00361CB0" w:rsidRPr="00976D33" w:rsidRDefault="00361CB0">
            <w:pPr>
              <w:widowControl w:val="0"/>
              <w:autoSpaceDE w:val="0"/>
              <w:autoSpaceDN w:val="0"/>
              <w:spacing w:before="0" w:after="0"/>
              <w:ind w:left="34" w:right="-108"/>
              <w:jc w:val="left"/>
              <w:rPr>
                <w:rFonts w:asciiTheme="majorHAnsi" w:eastAsia="Calibri" w:hAnsiTheme="majorHAnsi" w:cstheme="majorHAnsi"/>
                <w:sz w:val="18"/>
                <w:szCs w:val="18"/>
              </w:rPr>
            </w:pPr>
            <w:r>
              <w:rPr>
                <w:rFonts w:asciiTheme="majorHAnsi" w:hAnsiTheme="majorHAnsi"/>
                <w:sz w:val="18"/>
              </w:rPr>
              <w:t>€c/kWh</w:t>
            </w:r>
          </w:p>
        </w:tc>
        <w:tc>
          <w:tcPr>
            <w:tcW w:w="699" w:type="pct"/>
            <w:vAlign w:val="center"/>
          </w:tcPr>
          <w:p w14:paraId="3B29AA9A" w14:textId="77777777" w:rsidR="00361CB0" w:rsidRPr="00976D33" w:rsidRDefault="00361CB0">
            <w:pPr>
              <w:widowControl w:val="0"/>
              <w:autoSpaceDE w:val="0"/>
              <w:autoSpaceDN w:val="0"/>
              <w:spacing w:before="0" w:after="0"/>
              <w:ind w:left="31"/>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Tarifa e lartë</w:t>
            </w:r>
          </w:p>
        </w:tc>
        <w:tc>
          <w:tcPr>
            <w:cnfStyle w:val="000100000000" w:firstRow="0" w:lastRow="0" w:firstColumn="0" w:lastColumn="1" w:oddVBand="0" w:evenVBand="0" w:oddHBand="0" w:evenHBand="0" w:firstRowFirstColumn="0" w:firstRowLastColumn="0" w:lastRowFirstColumn="0" w:lastRowLastColumn="0"/>
            <w:tcW w:w="628" w:type="pct"/>
            <w:vAlign w:val="center"/>
          </w:tcPr>
          <w:p w14:paraId="4882A824" w14:textId="77777777" w:rsidR="00361CB0" w:rsidRPr="00976D33" w:rsidRDefault="00361CB0">
            <w:pPr>
              <w:widowControl w:val="0"/>
              <w:autoSpaceDE w:val="0"/>
              <w:autoSpaceDN w:val="0"/>
              <w:spacing w:before="0" w:after="0"/>
              <w:ind w:right="349"/>
              <w:jc w:val="left"/>
              <w:rPr>
                <w:rFonts w:asciiTheme="majorHAnsi" w:eastAsia="Calibri" w:hAnsiTheme="majorHAnsi" w:cstheme="majorHAnsi"/>
                <w:sz w:val="18"/>
                <w:szCs w:val="18"/>
              </w:rPr>
            </w:pPr>
            <w:r>
              <w:rPr>
                <w:rFonts w:asciiTheme="majorHAnsi" w:hAnsiTheme="majorHAnsi"/>
                <w:sz w:val="18"/>
              </w:rPr>
              <w:t>9.19</w:t>
            </w:r>
          </w:p>
        </w:tc>
      </w:tr>
      <w:tr w:rsidR="00361CB0" w:rsidRPr="00976D33" w14:paraId="0B6A5A76" w14:textId="7777777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76" w:type="pct"/>
            <w:vMerge/>
            <w:vAlign w:val="center"/>
          </w:tcPr>
          <w:p w14:paraId="6420C5D7" w14:textId="77777777" w:rsidR="00361CB0" w:rsidRPr="00976D33" w:rsidRDefault="00361CB0">
            <w:pPr>
              <w:spacing w:before="0" w:after="0"/>
              <w:jc w:val="left"/>
              <w:rPr>
                <w:rFonts w:asciiTheme="majorHAns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14:paraId="5852BDD8" w14:textId="77777777" w:rsidR="00361CB0" w:rsidRPr="00976D33" w:rsidRDefault="00361CB0">
            <w:pPr>
              <w:spacing w:before="0" w:after="0"/>
              <w:jc w:val="left"/>
              <w:rPr>
                <w:rFonts w:asciiTheme="majorHAnsi" w:hAnsiTheme="majorHAnsi" w:cstheme="majorHAnsi"/>
                <w:sz w:val="18"/>
                <w:szCs w:val="18"/>
              </w:rPr>
            </w:pPr>
          </w:p>
        </w:tc>
        <w:tc>
          <w:tcPr>
            <w:tcW w:w="1334" w:type="pct"/>
            <w:vMerge/>
            <w:vAlign w:val="center"/>
          </w:tcPr>
          <w:p w14:paraId="7949E128" w14:textId="77777777" w:rsidR="00361CB0" w:rsidRPr="00976D33" w:rsidRDefault="00361CB0">
            <w:pPr>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1082" w:type="pct"/>
            <w:vAlign w:val="center"/>
          </w:tcPr>
          <w:p w14:paraId="224FA5A2" w14:textId="77777777" w:rsidR="00361CB0" w:rsidRPr="00976D33" w:rsidRDefault="00361CB0">
            <w:pPr>
              <w:widowControl w:val="0"/>
              <w:autoSpaceDE w:val="0"/>
              <w:autoSpaceDN w:val="0"/>
              <w:spacing w:before="0" w:after="0"/>
              <w:ind w:left="34" w:right="-108"/>
              <w:jc w:val="left"/>
              <w:rPr>
                <w:rFonts w:asciiTheme="majorHAnsi" w:eastAsia="Calibri" w:hAnsiTheme="majorHAnsi" w:cstheme="majorHAnsi"/>
                <w:sz w:val="18"/>
                <w:szCs w:val="18"/>
              </w:rPr>
            </w:pPr>
            <w:r>
              <w:rPr>
                <w:rFonts w:asciiTheme="majorHAnsi" w:hAnsiTheme="majorHAnsi"/>
                <w:sz w:val="18"/>
              </w:rPr>
              <w:t>€c/kWh</w:t>
            </w:r>
          </w:p>
        </w:tc>
        <w:tc>
          <w:tcPr>
            <w:tcW w:w="699" w:type="pct"/>
            <w:vAlign w:val="center"/>
          </w:tcPr>
          <w:p w14:paraId="6491F31E" w14:textId="77777777" w:rsidR="00361CB0" w:rsidRPr="00976D33" w:rsidRDefault="00361CB0">
            <w:pPr>
              <w:widowControl w:val="0"/>
              <w:autoSpaceDE w:val="0"/>
              <w:autoSpaceDN w:val="0"/>
              <w:spacing w:before="0" w:after="0"/>
              <w:ind w:left="31"/>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Tarifa e ulët</w:t>
            </w:r>
          </w:p>
        </w:tc>
        <w:tc>
          <w:tcPr>
            <w:cnfStyle w:val="000100000000" w:firstRow="0" w:lastRow="0" w:firstColumn="0" w:lastColumn="1" w:oddVBand="0" w:evenVBand="0" w:oddHBand="0" w:evenHBand="0" w:firstRowFirstColumn="0" w:firstRowLastColumn="0" w:lastRowFirstColumn="0" w:lastRowLastColumn="0"/>
            <w:tcW w:w="628" w:type="pct"/>
            <w:vAlign w:val="center"/>
          </w:tcPr>
          <w:p w14:paraId="4E28B9BD" w14:textId="77777777" w:rsidR="00361CB0" w:rsidRPr="00976D33" w:rsidRDefault="00361CB0">
            <w:pPr>
              <w:widowControl w:val="0"/>
              <w:autoSpaceDE w:val="0"/>
              <w:autoSpaceDN w:val="0"/>
              <w:spacing w:before="0" w:after="0"/>
              <w:ind w:right="387"/>
              <w:jc w:val="left"/>
              <w:rPr>
                <w:rFonts w:asciiTheme="majorHAnsi" w:eastAsia="Calibri" w:hAnsiTheme="majorHAnsi" w:cstheme="majorHAnsi"/>
                <w:sz w:val="18"/>
                <w:szCs w:val="18"/>
              </w:rPr>
            </w:pPr>
            <w:r>
              <w:rPr>
                <w:rFonts w:asciiTheme="majorHAnsi" w:hAnsiTheme="majorHAnsi"/>
                <w:sz w:val="18"/>
              </w:rPr>
              <w:t>4.55</w:t>
            </w:r>
          </w:p>
        </w:tc>
      </w:tr>
      <w:tr w:rsidR="00361CB0" w:rsidRPr="00976D33" w14:paraId="5199B4ED" w14:textId="77777777">
        <w:trPr>
          <w:trHeight w:val="224"/>
        </w:trPr>
        <w:tc>
          <w:tcPr>
            <w:cnfStyle w:val="001000000000" w:firstRow="0" w:lastRow="0" w:firstColumn="1" w:lastColumn="0" w:oddVBand="0" w:evenVBand="0" w:oddHBand="0" w:evenHBand="0" w:firstRowFirstColumn="0" w:firstRowLastColumn="0" w:lastRowFirstColumn="0" w:lastRowLastColumn="0"/>
            <w:tcW w:w="476" w:type="pct"/>
            <w:vMerge w:val="restart"/>
            <w:vAlign w:val="center"/>
          </w:tcPr>
          <w:p w14:paraId="0A1D0955" w14:textId="77777777" w:rsidR="00361CB0" w:rsidRPr="00976D33" w:rsidRDefault="00361CB0">
            <w:pPr>
              <w:widowControl w:val="0"/>
              <w:autoSpaceDE w:val="0"/>
              <w:autoSpaceDN w:val="0"/>
              <w:spacing w:before="0" w:after="0"/>
              <w:ind w:left="21"/>
              <w:jc w:val="left"/>
              <w:rPr>
                <w:rFonts w:asciiTheme="majorHAnsi" w:eastAsia="Calibri" w:hAnsiTheme="majorHAnsi" w:cstheme="majorHAnsi"/>
                <w:sz w:val="18"/>
                <w:szCs w:val="18"/>
              </w:rPr>
            </w:pPr>
            <w:r>
              <w:rPr>
                <w:rFonts w:asciiTheme="majorHAnsi" w:hAnsiTheme="majorHAnsi"/>
                <w:sz w:val="18"/>
              </w:rPr>
              <w:t>5</w:t>
            </w:r>
          </w:p>
        </w:tc>
        <w:tc>
          <w:tcPr>
            <w:cnfStyle w:val="000010000000" w:firstRow="0" w:lastRow="0" w:firstColumn="0" w:lastColumn="0" w:oddVBand="1" w:evenVBand="0" w:oddHBand="0" w:evenHBand="0" w:firstRowFirstColumn="0" w:firstRowLastColumn="0" w:lastRowFirstColumn="0" w:lastRowLastColumn="0"/>
            <w:tcW w:w="782" w:type="pct"/>
            <w:vMerge w:val="restart"/>
            <w:vAlign w:val="center"/>
          </w:tcPr>
          <w:p w14:paraId="16FBB8A8" w14:textId="77777777" w:rsidR="00361CB0" w:rsidRPr="00976D33" w:rsidRDefault="00361CB0">
            <w:pPr>
              <w:widowControl w:val="0"/>
              <w:autoSpaceDE w:val="0"/>
              <w:autoSpaceDN w:val="0"/>
              <w:spacing w:before="0" w:after="0"/>
              <w:ind w:right="21"/>
              <w:jc w:val="left"/>
              <w:rPr>
                <w:rFonts w:asciiTheme="majorHAnsi" w:eastAsia="Calibri" w:hAnsiTheme="majorHAnsi" w:cstheme="majorHAnsi"/>
                <w:sz w:val="18"/>
                <w:szCs w:val="18"/>
              </w:rPr>
            </w:pPr>
            <w:r>
              <w:rPr>
                <w:rFonts w:asciiTheme="majorHAnsi" w:hAnsiTheme="majorHAnsi"/>
                <w:sz w:val="18"/>
              </w:rPr>
              <w:t xml:space="preserve">Njehsori tarifor 0.4 kV 2 </w:t>
            </w:r>
          </w:p>
          <w:p w14:paraId="51E7B00A" w14:textId="77777777" w:rsidR="00361CB0" w:rsidRPr="00976D33" w:rsidRDefault="00361CB0">
            <w:pPr>
              <w:widowControl w:val="0"/>
              <w:autoSpaceDE w:val="0"/>
              <w:autoSpaceDN w:val="0"/>
              <w:spacing w:before="0" w:after="0"/>
              <w:ind w:right="6"/>
              <w:jc w:val="left"/>
              <w:rPr>
                <w:rFonts w:asciiTheme="majorHAnsi" w:eastAsia="Calibri" w:hAnsiTheme="majorHAnsi" w:cstheme="majorHAnsi"/>
                <w:sz w:val="18"/>
                <w:szCs w:val="18"/>
              </w:rPr>
            </w:pPr>
            <w:r>
              <w:rPr>
                <w:rFonts w:asciiTheme="majorHAnsi" w:hAnsiTheme="majorHAnsi"/>
                <w:sz w:val="18"/>
              </w:rPr>
              <w:t>(ekonomia familjare)</w:t>
            </w:r>
          </w:p>
        </w:tc>
        <w:tc>
          <w:tcPr>
            <w:tcW w:w="1334" w:type="pct"/>
            <w:vAlign w:val="center"/>
          </w:tcPr>
          <w:p w14:paraId="40595383" w14:textId="77777777" w:rsidR="00361CB0" w:rsidRPr="00976D33" w:rsidRDefault="00361CB0">
            <w:pPr>
              <w:widowControl w:val="0"/>
              <w:autoSpaceDE w:val="0"/>
              <w:autoSpaceDN w:val="0"/>
              <w:spacing w:before="0" w:after="0"/>
              <w:ind w:left="3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Tarifa fikse e konsumatorit</w:t>
            </w:r>
          </w:p>
        </w:tc>
        <w:tc>
          <w:tcPr>
            <w:cnfStyle w:val="000010000000" w:firstRow="0" w:lastRow="0" w:firstColumn="0" w:lastColumn="0" w:oddVBand="1" w:evenVBand="0" w:oddHBand="0" w:evenHBand="0" w:firstRowFirstColumn="0" w:firstRowLastColumn="0" w:lastRowFirstColumn="0" w:lastRowLastColumn="0"/>
            <w:tcW w:w="1082" w:type="pct"/>
            <w:vAlign w:val="center"/>
          </w:tcPr>
          <w:p w14:paraId="3DE5A74D" w14:textId="77777777" w:rsidR="00361CB0" w:rsidRPr="00976D33" w:rsidRDefault="00361CB0">
            <w:pPr>
              <w:widowControl w:val="0"/>
              <w:autoSpaceDE w:val="0"/>
              <w:autoSpaceDN w:val="0"/>
              <w:spacing w:before="0" w:after="0"/>
              <w:ind w:left="34" w:right="-108"/>
              <w:jc w:val="left"/>
              <w:rPr>
                <w:rFonts w:asciiTheme="majorHAnsi" w:eastAsia="Calibri" w:hAnsiTheme="majorHAnsi" w:cstheme="majorHAnsi"/>
                <w:sz w:val="18"/>
                <w:szCs w:val="18"/>
              </w:rPr>
            </w:pPr>
            <w:r>
              <w:rPr>
                <w:rFonts w:asciiTheme="majorHAnsi" w:hAnsiTheme="majorHAnsi"/>
                <w:sz w:val="18"/>
              </w:rPr>
              <w:t>€/konsumator/muaj</w:t>
            </w:r>
          </w:p>
        </w:tc>
        <w:tc>
          <w:tcPr>
            <w:tcW w:w="699" w:type="pct"/>
            <w:vAlign w:val="center"/>
          </w:tcPr>
          <w:p w14:paraId="2E4FFF3A" w14:textId="77777777" w:rsidR="00361CB0" w:rsidRPr="00976D33" w:rsidRDefault="00361CB0">
            <w:pPr>
              <w:widowControl w:val="0"/>
              <w:autoSpaceDE w:val="0"/>
              <w:autoSpaceDN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p>
        </w:tc>
        <w:tc>
          <w:tcPr>
            <w:cnfStyle w:val="000100000000" w:firstRow="0" w:lastRow="0" w:firstColumn="0" w:lastColumn="1" w:oddVBand="0" w:evenVBand="0" w:oddHBand="0" w:evenHBand="0" w:firstRowFirstColumn="0" w:firstRowLastColumn="0" w:lastRowFirstColumn="0" w:lastRowLastColumn="0"/>
            <w:tcW w:w="628" w:type="pct"/>
            <w:vAlign w:val="center"/>
          </w:tcPr>
          <w:p w14:paraId="4DFF2E22" w14:textId="77777777" w:rsidR="00361CB0" w:rsidRPr="00976D33" w:rsidRDefault="00361CB0">
            <w:pPr>
              <w:widowControl w:val="0"/>
              <w:autoSpaceDE w:val="0"/>
              <w:autoSpaceDN w:val="0"/>
              <w:spacing w:before="0" w:after="0"/>
              <w:ind w:right="387"/>
              <w:jc w:val="left"/>
              <w:rPr>
                <w:rFonts w:asciiTheme="majorHAnsi" w:eastAsia="Calibri" w:hAnsiTheme="majorHAnsi" w:cstheme="majorHAnsi"/>
                <w:sz w:val="18"/>
                <w:szCs w:val="18"/>
              </w:rPr>
            </w:pPr>
            <w:r>
              <w:rPr>
                <w:rFonts w:asciiTheme="majorHAnsi" w:hAnsiTheme="majorHAnsi"/>
                <w:sz w:val="18"/>
              </w:rPr>
              <w:t>1.49</w:t>
            </w:r>
          </w:p>
        </w:tc>
      </w:tr>
      <w:tr w:rsidR="00361CB0" w:rsidRPr="00976D33" w14:paraId="405AED5A" w14:textId="7777777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76" w:type="pct"/>
            <w:vMerge/>
            <w:vAlign w:val="center"/>
          </w:tcPr>
          <w:p w14:paraId="10BEDB7E" w14:textId="77777777" w:rsidR="00361CB0" w:rsidRPr="00976D33" w:rsidRDefault="00361CB0">
            <w:pPr>
              <w:spacing w:before="0" w:after="0"/>
              <w:jc w:val="left"/>
              <w:rPr>
                <w:rFonts w:asciiTheme="majorHAns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14:paraId="04F719C3" w14:textId="77777777" w:rsidR="00361CB0" w:rsidRPr="00976D33" w:rsidRDefault="00361CB0">
            <w:pPr>
              <w:spacing w:before="0" w:after="0"/>
              <w:jc w:val="left"/>
              <w:rPr>
                <w:rFonts w:asciiTheme="majorHAnsi" w:hAnsiTheme="majorHAnsi" w:cstheme="majorHAnsi"/>
                <w:sz w:val="18"/>
                <w:szCs w:val="18"/>
              </w:rPr>
            </w:pPr>
          </w:p>
        </w:tc>
        <w:tc>
          <w:tcPr>
            <w:tcW w:w="1334" w:type="pct"/>
            <w:vMerge w:val="restart"/>
            <w:vAlign w:val="center"/>
          </w:tcPr>
          <w:p w14:paraId="16A40F08" w14:textId="77777777" w:rsidR="00361CB0" w:rsidRPr="00976D33" w:rsidRDefault="00361CB0">
            <w:pPr>
              <w:widowControl w:val="0"/>
              <w:autoSpaceDE w:val="0"/>
              <w:autoSpaceDN w:val="0"/>
              <w:spacing w:before="0" w:after="0"/>
              <w:ind w:left="221"/>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0-800 kWh (Blloku i parë)</w:t>
            </w:r>
          </w:p>
        </w:tc>
        <w:tc>
          <w:tcPr>
            <w:cnfStyle w:val="000010000000" w:firstRow="0" w:lastRow="0" w:firstColumn="0" w:lastColumn="0" w:oddVBand="1" w:evenVBand="0" w:oddHBand="0" w:evenHBand="0" w:firstRowFirstColumn="0" w:firstRowLastColumn="0" w:lastRowFirstColumn="0" w:lastRowLastColumn="0"/>
            <w:tcW w:w="1082" w:type="pct"/>
            <w:vAlign w:val="center"/>
          </w:tcPr>
          <w:p w14:paraId="2EE15A6F" w14:textId="77777777" w:rsidR="00361CB0" w:rsidRPr="00976D33" w:rsidRDefault="00361CB0">
            <w:pPr>
              <w:widowControl w:val="0"/>
              <w:autoSpaceDE w:val="0"/>
              <w:autoSpaceDN w:val="0"/>
              <w:spacing w:before="0" w:after="0"/>
              <w:ind w:left="34" w:right="-108"/>
              <w:jc w:val="left"/>
              <w:rPr>
                <w:rFonts w:asciiTheme="majorHAnsi" w:eastAsia="Calibri" w:hAnsiTheme="majorHAnsi" w:cstheme="majorHAnsi"/>
                <w:sz w:val="18"/>
                <w:szCs w:val="18"/>
              </w:rPr>
            </w:pPr>
            <w:r>
              <w:rPr>
                <w:rFonts w:asciiTheme="majorHAnsi" w:hAnsiTheme="majorHAnsi"/>
                <w:sz w:val="18"/>
              </w:rPr>
              <w:t>€c/kWh</w:t>
            </w:r>
          </w:p>
        </w:tc>
        <w:tc>
          <w:tcPr>
            <w:tcW w:w="699" w:type="pct"/>
            <w:vAlign w:val="center"/>
          </w:tcPr>
          <w:p w14:paraId="16571477" w14:textId="77777777" w:rsidR="00361CB0" w:rsidRPr="00976D33" w:rsidRDefault="00361CB0">
            <w:pPr>
              <w:widowControl w:val="0"/>
              <w:autoSpaceDE w:val="0"/>
              <w:autoSpaceDN w:val="0"/>
              <w:spacing w:before="0" w:after="0"/>
              <w:ind w:left="31"/>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Tarifa e lartë</w:t>
            </w:r>
          </w:p>
        </w:tc>
        <w:tc>
          <w:tcPr>
            <w:cnfStyle w:val="000100000000" w:firstRow="0" w:lastRow="0" w:firstColumn="0" w:lastColumn="1" w:oddVBand="0" w:evenVBand="0" w:oddHBand="0" w:evenHBand="0" w:firstRowFirstColumn="0" w:firstRowLastColumn="0" w:lastRowFirstColumn="0" w:lastRowLastColumn="0"/>
            <w:tcW w:w="628" w:type="pct"/>
            <w:vAlign w:val="center"/>
          </w:tcPr>
          <w:p w14:paraId="25B8DF4A" w14:textId="77777777" w:rsidR="00361CB0" w:rsidRPr="00976D33" w:rsidRDefault="00361CB0">
            <w:pPr>
              <w:widowControl w:val="0"/>
              <w:autoSpaceDE w:val="0"/>
              <w:autoSpaceDN w:val="0"/>
              <w:spacing w:before="0" w:after="0"/>
              <w:ind w:right="400"/>
              <w:jc w:val="left"/>
              <w:rPr>
                <w:rFonts w:asciiTheme="majorHAnsi" w:eastAsia="Calibri" w:hAnsiTheme="majorHAnsi" w:cstheme="majorHAnsi"/>
                <w:sz w:val="18"/>
                <w:szCs w:val="18"/>
              </w:rPr>
            </w:pPr>
            <w:r>
              <w:rPr>
                <w:rFonts w:asciiTheme="majorHAnsi" w:hAnsiTheme="majorHAnsi"/>
                <w:sz w:val="18"/>
              </w:rPr>
              <w:t>5.79</w:t>
            </w:r>
          </w:p>
        </w:tc>
      </w:tr>
      <w:tr w:rsidR="00361CB0" w:rsidRPr="00976D33" w14:paraId="43E7D81E" w14:textId="77777777">
        <w:trPr>
          <w:trHeight w:val="224"/>
        </w:trPr>
        <w:tc>
          <w:tcPr>
            <w:cnfStyle w:val="001000000000" w:firstRow="0" w:lastRow="0" w:firstColumn="1" w:lastColumn="0" w:oddVBand="0" w:evenVBand="0" w:oddHBand="0" w:evenHBand="0" w:firstRowFirstColumn="0" w:firstRowLastColumn="0" w:lastRowFirstColumn="0" w:lastRowLastColumn="0"/>
            <w:tcW w:w="476" w:type="pct"/>
            <w:vMerge/>
            <w:vAlign w:val="center"/>
          </w:tcPr>
          <w:p w14:paraId="7B507CDE" w14:textId="77777777" w:rsidR="00361CB0" w:rsidRPr="00976D33" w:rsidRDefault="00361CB0">
            <w:pPr>
              <w:spacing w:before="0" w:after="0"/>
              <w:jc w:val="left"/>
              <w:rPr>
                <w:rFonts w:asciiTheme="majorHAns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14:paraId="59D3556C" w14:textId="77777777" w:rsidR="00361CB0" w:rsidRPr="00976D33" w:rsidRDefault="00361CB0">
            <w:pPr>
              <w:spacing w:before="0" w:after="0"/>
              <w:jc w:val="left"/>
              <w:rPr>
                <w:rFonts w:asciiTheme="majorHAnsi" w:hAnsiTheme="majorHAnsi" w:cstheme="majorHAnsi"/>
                <w:sz w:val="18"/>
                <w:szCs w:val="18"/>
              </w:rPr>
            </w:pPr>
          </w:p>
        </w:tc>
        <w:tc>
          <w:tcPr>
            <w:tcW w:w="1334" w:type="pct"/>
            <w:vMerge/>
            <w:vAlign w:val="center"/>
          </w:tcPr>
          <w:p w14:paraId="1B80E4FB" w14:textId="77777777" w:rsidR="00361CB0" w:rsidRPr="00976D33" w:rsidRDefault="00361CB0">
            <w:pPr>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1082" w:type="pct"/>
            <w:vAlign w:val="center"/>
          </w:tcPr>
          <w:p w14:paraId="3ADD355E" w14:textId="77777777" w:rsidR="00361CB0" w:rsidRPr="00976D33" w:rsidRDefault="00361CB0">
            <w:pPr>
              <w:widowControl w:val="0"/>
              <w:autoSpaceDE w:val="0"/>
              <w:autoSpaceDN w:val="0"/>
              <w:spacing w:before="0" w:after="0"/>
              <w:ind w:left="34" w:right="-108"/>
              <w:jc w:val="left"/>
              <w:rPr>
                <w:rFonts w:asciiTheme="majorHAnsi" w:eastAsia="Calibri" w:hAnsiTheme="majorHAnsi" w:cstheme="majorHAnsi"/>
                <w:sz w:val="18"/>
                <w:szCs w:val="18"/>
              </w:rPr>
            </w:pPr>
            <w:r>
              <w:rPr>
                <w:rFonts w:asciiTheme="majorHAnsi" w:hAnsiTheme="majorHAnsi"/>
                <w:sz w:val="18"/>
              </w:rPr>
              <w:t>€c/kWh</w:t>
            </w:r>
          </w:p>
        </w:tc>
        <w:tc>
          <w:tcPr>
            <w:tcW w:w="699" w:type="pct"/>
            <w:vAlign w:val="center"/>
          </w:tcPr>
          <w:p w14:paraId="53553C3A" w14:textId="77777777" w:rsidR="00361CB0" w:rsidRPr="00976D33" w:rsidRDefault="00361CB0">
            <w:pPr>
              <w:widowControl w:val="0"/>
              <w:autoSpaceDE w:val="0"/>
              <w:autoSpaceDN w:val="0"/>
              <w:spacing w:before="0" w:after="0"/>
              <w:ind w:left="31"/>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Tarifa e ulët</w:t>
            </w:r>
          </w:p>
        </w:tc>
        <w:tc>
          <w:tcPr>
            <w:cnfStyle w:val="000100000000" w:firstRow="0" w:lastRow="0" w:firstColumn="0" w:lastColumn="1" w:oddVBand="0" w:evenVBand="0" w:oddHBand="0" w:evenHBand="0" w:firstRowFirstColumn="0" w:firstRowLastColumn="0" w:lastRowFirstColumn="0" w:lastRowLastColumn="0"/>
            <w:tcW w:w="628" w:type="pct"/>
            <w:vAlign w:val="center"/>
          </w:tcPr>
          <w:p w14:paraId="07F45830" w14:textId="77777777" w:rsidR="00361CB0" w:rsidRPr="00976D33" w:rsidRDefault="00361CB0">
            <w:pPr>
              <w:widowControl w:val="0"/>
              <w:autoSpaceDE w:val="0"/>
              <w:autoSpaceDN w:val="0"/>
              <w:spacing w:before="0" w:after="0"/>
              <w:ind w:right="400"/>
              <w:jc w:val="left"/>
              <w:rPr>
                <w:rFonts w:asciiTheme="majorHAnsi" w:eastAsia="Calibri" w:hAnsiTheme="majorHAnsi" w:cstheme="majorHAnsi"/>
                <w:sz w:val="18"/>
                <w:szCs w:val="18"/>
              </w:rPr>
            </w:pPr>
            <w:r>
              <w:rPr>
                <w:rFonts w:asciiTheme="majorHAnsi" w:hAnsiTheme="majorHAnsi"/>
                <w:sz w:val="18"/>
              </w:rPr>
              <w:t>2.48</w:t>
            </w:r>
          </w:p>
        </w:tc>
      </w:tr>
      <w:tr w:rsidR="00361CB0" w:rsidRPr="00976D33" w14:paraId="24364799" w14:textId="7777777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76" w:type="pct"/>
            <w:vMerge/>
            <w:vAlign w:val="center"/>
          </w:tcPr>
          <w:p w14:paraId="305AD6F5" w14:textId="77777777" w:rsidR="00361CB0" w:rsidRPr="00976D33" w:rsidRDefault="00361CB0">
            <w:pPr>
              <w:spacing w:before="0" w:after="0"/>
              <w:jc w:val="left"/>
              <w:rPr>
                <w:rFonts w:asciiTheme="majorHAns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14:paraId="27F5499A" w14:textId="77777777" w:rsidR="00361CB0" w:rsidRPr="00976D33" w:rsidRDefault="00361CB0">
            <w:pPr>
              <w:spacing w:before="0" w:after="0"/>
              <w:jc w:val="left"/>
              <w:rPr>
                <w:rFonts w:asciiTheme="majorHAnsi" w:hAnsiTheme="majorHAnsi" w:cstheme="majorHAnsi"/>
                <w:sz w:val="18"/>
                <w:szCs w:val="18"/>
              </w:rPr>
            </w:pPr>
          </w:p>
        </w:tc>
        <w:tc>
          <w:tcPr>
            <w:tcW w:w="1334" w:type="pct"/>
            <w:vMerge w:val="restart"/>
            <w:vAlign w:val="center"/>
          </w:tcPr>
          <w:p w14:paraId="08154F32" w14:textId="77777777" w:rsidR="00361CB0" w:rsidRPr="00976D33" w:rsidRDefault="00361CB0">
            <w:pPr>
              <w:widowControl w:val="0"/>
              <w:autoSpaceDE w:val="0"/>
              <w:autoSpaceDN w:val="0"/>
              <w:spacing w:before="0" w:after="0"/>
              <w:ind w:left="272"/>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&gt;800 kWh (Blloku i dytë)</w:t>
            </w:r>
          </w:p>
        </w:tc>
        <w:tc>
          <w:tcPr>
            <w:cnfStyle w:val="000010000000" w:firstRow="0" w:lastRow="0" w:firstColumn="0" w:lastColumn="0" w:oddVBand="1" w:evenVBand="0" w:oddHBand="0" w:evenHBand="0" w:firstRowFirstColumn="0" w:firstRowLastColumn="0" w:lastRowFirstColumn="0" w:lastRowLastColumn="0"/>
            <w:tcW w:w="1082" w:type="pct"/>
            <w:vAlign w:val="center"/>
          </w:tcPr>
          <w:p w14:paraId="348BF81F" w14:textId="77777777" w:rsidR="00361CB0" w:rsidRPr="00976D33" w:rsidRDefault="00361CB0">
            <w:pPr>
              <w:widowControl w:val="0"/>
              <w:autoSpaceDE w:val="0"/>
              <w:autoSpaceDN w:val="0"/>
              <w:spacing w:before="0" w:after="0"/>
              <w:ind w:left="34" w:right="-108"/>
              <w:jc w:val="left"/>
              <w:rPr>
                <w:rFonts w:asciiTheme="majorHAnsi" w:eastAsia="Calibri" w:hAnsiTheme="majorHAnsi" w:cstheme="majorHAnsi"/>
                <w:sz w:val="18"/>
                <w:szCs w:val="18"/>
              </w:rPr>
            </w:pPr>
            <w:r>
              <w:rPr>
                <w:rFonts w:asciiTheme="majorHAnsi" w:hAnsiTheme="majorHAnsi"/>
                <w:sz w:val="18"/>
              </w:rPr>
              <w:t>€c/kWh</w:t>
            </w:r>
          </w:p>
        </w:tc>
        <w:tc>
          <w:tcPr>
            <w:tcW w:w="699" w:type="pct"/>
            <w:vAlign w:val="center"/>
          </w:tcPr>
          <w:p w14:paraId="78BA979F" w14:textId="77777777" w:rsidR="00361CB0" w:rsidRPr="00976D33" w:rsidRDefault="00361CB0">
            <w:pPr>
              <w:widowControl w:val="0"/>
              <w:autoSpaceDE w:val="0"/>
              <w:autoSpaceDN w:val="0"/>
              <w:spacing w:before="0" w:after="0"/>
              <w:ind w:left="31"/>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Tarifa e lartë</w:t>
            </w:r>
          </w:p>
        </w:tc>
        <w:tc>
          <w:tcPr>
            <w:cnfStyle w:val="000100000000" w:firstRow="0" w:lastRow="0" w:firstColumn="0" w:lastColumn="1" w:oddVBand="0" w:evenVBand="0" w:oddHBand="0" w:evenHBand="0" w:firstRowFirstColumn="0" w:firstRowLastColumn="0" w:lastRowFirstColumn="0" w:lastRowLastColumn="0"/>
            <w:tcW w:w="628" w:type="pct"/>
            <w:vAlign w:val="center"/>
          </w:tcPr>
          <w:p w14:paraId="2957B137" w14:textId="77777777" w:rsidR="00361CB0" w:rsidRPr="00976D33" w:rsidRDefault="00361CB0">
            <w:pPr>
              <w:widowControl w:val="0"/>
              <w:autoSpaceDE w:val="0"/>
              <w:autoSpaceDN w:val="0"/>
              <w:spacing w:before="0" w:after="0"/>
              <w:ind w:right="349"/>
              <w:jc w:val="left"/>
              <w:rPr>
                <w:rFonts w:asciiTheme="majorHAnsi" w:eastAsia="Calibri" w:hAnsiTheme="majorHAnsi" w:cstheme="majorHAnsi"/>
                <w:sz w:val="18"/>
                <w:szCs w:val="18"/>
              </w:rPr>
            </w:pPr>
            <w:r>
              <w:rPr>
                <w:rFonts w:asciiTheme="majorHAnsi" w:hAnsiTheme="majorHAnsi"/>
                <w:sz w:val="18"/>
              </w:rPr>
              <w:t>10.74</w:t>
            </w:r>
          </w:p>
        </w:tc>
      </w:tr>
      <w:tr w:rsidR="00361CB0" w:rsidRPr="00976D33" w14:paraId="3AE83A83" w14:textId="77777777">
        <w:trPr>
          <w:trHeight w:val="224"/>
        </w:trPr>
        <w:tc>
          <w:tcPr>
            <w:cnfStyle w:val="001000000000" w:firstRow="0" w:lastRow="0" w:firstColumn="1" w:lastColumn="0" w:oddVBand="0" w:evenVBand="0" w:oddHBand="0" w:evenHBand="0" w:firstRowFirstColumn="0" w:firstRowLastColumn="0" w:lastRowFirstColumn="0" w:lastRowLastColumn="0"/>
            <w:tcW w:w="476" w:type="pct"/>
            <w:vMerge/>
            <w:vAlign w:val="center"/>
          </w:tcPr>
          <w:p w14:paraId="51659066" w14:textId="77777777" w:rsidR="00361CB0" w:rsidRPr="00976D33" w:rsidRDefault="00361CB0">
            <w:pPr>
              <w:spacing w:before="0" w:after="0"/>
              <w:jc w:val="left"/>
              <w:rPr>
                <w:rFonts w:asciiTheme="majorHAns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14:paraId="40616E66" w14:textId="77777777" w:rsidR="00361CB0" w:rsidRPr="00976D33" w:rsidRDefault="00361CB0">
            <w:pPr>
              <w:spacing w:before="0" w:after="0"/>
              <w:jc w:val="left"/>
              <w:rPr>
                <w:rFonts w:asciiTheme="majorHAnsi" w:hAnsiTheme="majorHAnsi" w:cstheme="majorHAnsi"/>
                <w:sz w:val="18"/>
                <w:szCs w:val="18"/>
              </w:rPr>
            </w:pPr>
          </w:p>
        </w:tc>
        <w:tc>
          <w:tcPr>
            <w:tcW w:w="1334" w:type="pct"/>
            <w:vMerge/>
            <w:vAlign w:val="center"/>
          </w:tcPr>
          <w:p w14:paraId="74D5149F" w14:textId="77777777" w:rsidR="00361CB0" w:rsidRPr="00976D33" w:rsidRDefault="00361CB0">
            <w:pPr>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1082" w:type="pct"/>
            <w:vAlign w:val="center"/>
          </w:tcPr>
          <w:p w14:paraId="2D85023C" w14:textId="77777777" w:rsidR="00361CB0" w:rsidRPr="00976D33" w:rsidRDefault="00361CB0">
            <w:pPr>
              <w:widowControl w:val="0"/>
              <w:autoSpaceDE w:val="0"/>
              <w:autoSpaceDN w:val="0"/>
              <w:spacing w:before="0" w:after="0"/>
              <w:ind w:left="34" w:right="-108"/>
              <w:jc w:val="left"/>
              <w:rPr>
                <w:rFonts w:asciiTheme="majorHAnsi" w:eastAsia="Calibri" w:hAnsiTheme="majorHAnsi" w:cstheme="majorHAnsi"/>
                <w:sz w:val="18"/>
                <w:szCs w:val="18"/>
              </w:rPr>
            </w:pPr>
            <w:r>
              <w:rPr>
                <w:rFonts w:asciiTheme="majorHAnsi" w:hAnsiTheme="majorHAnsi"/>
                <w:sz w:val="18"/>
              </w:rPr>
              <w:t>€c/kWh</w:t>
            </w:r>
          </w:p>
        </w:tc>
        <w:tc>
          <w:tcPr>
            <w:tcW w:w="699" w:type="pct"/>
            <w:vAlign w:val="center"/>
          </w:tcPr>
          <w:p w14:paraId="62B395FB" w14:textId="77777777" w:rsidR="00361CB0" w:rsidRPr="00976D33" w:rsidRDefault="00361CB0">
            <w:pPr>
              <w:widowControl w:val="0"/>
              <w:autoSpaceDE w:val="0"/>
              <w:autoSpaceDN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Tarifa e ulët</w:t>
            </w:r>
          </w:p>
        </w:tc>
        <w:tc>
          <w:tcPr>
            <w:cnfStyle w:val="000100000000" w:firstRow="0" w:lastRow="0" w:firstColumn="0" w:lastColumn="1" w:oddVBand="0" w:evenVBand="0" w:oddHBand="0" w:evenHBand="0" w:firstRowFirstColumn="0" w:firstRowLastColumn="0" w:lastRowFirstColumn="0" w:lastRowLastColumn="0"/>
            <w:tcW w:w="628" w:type="pct"/>
            <w:vAlign w:val="center"/>
          </w:tcPr>
          <w:p w14:paraId="1E8DA463" w14:textId="77777777" w:rsidR="00361CB0" w:rsidRPr="00976D33" w:rsidRDefault="00361CB0">
            <w:pPr>
              <w:widowControl w:val="0"/>
              <w:autoSpaceDE w:val="0"/>
              <w:autoSpaceDN w:val="0"/>
              <w:spacing w:before="0" w:after="0"/>
              <w:ind w:right="400"/>
              <w:jc w:val="left"/>
              <w:rPr>
                <w:rFonts w:asciiTheme="majorHAnsi" w:eastAsia="Calibri" w:hAnsiTheme="majorHAnsi" w:cstheme="majorHAnsi"/>
                <w:sz w:val="18"/>
                <w:szCs w:val="18"/>
              </w:rPr>
            </w:pPr>
            <w:r>
              <w:rPr>
                <w:rFonts w:asciiTheme="majorHAnsi" w:hAnsiTheme="majorHAnsi"/>
                <w:sz w:val="18"/>
              </w:rPr>
              <w:t>5.06</w:t>
            </w:r>
          </w:p>
        </w:tc>
      </w:tr>
      <w:tr w:rsidR="00361CB0" w:rsidRPr="00976D33" w14:paraId="73582D07" w14:textId="7777777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76" w:type="pct"/>
            <w:vMerge w:val="restart"/>
            <w:vAlign w:val="center"/>
          </w:tcPr>
          <w:p w14:paraId="7A19978A" w14:textId="77777777" w:rsidR="00361CB0" w:rsidRPr="00976D33" w:rsidRDefault="00361CB0">
            <w:pPr>
              <w:widowControl w:val="0"/>
              <w:autoSpaceDE w:val="0"/>
              <w:autoSpaceDN w:val="0"/>
              <w:spacing w:before="0" w:after="0"/>
              <w:ind w:left="21"/>
              <w:jc w:val="left"/>
              <w:rPr>
                <w:rFonts w:asciiTheme="majorHAnsi" w:eastAsia="Calibri" w:hAnsiTheme="majorHAnsi" w:cstheme="majorHAnsi"/>
                <w:sz w:val="18"/>
                <w:szCs w:val="18"/>
              </w:rPr>
            </w:pPr>
            <w:r>
              <w:rPr>
                <w:rFonts w:asciiTheme="majorHAnsi" w:hAnsiTheme="majorHAnsi"/>
                <w:sz w:val="18"/>
              </w:rPr>
              <w:t>6</w:t>
            </w:r>
          </w:p>
        </w:tc>
        <w:tc>
          <w:tcPr>
            <w:cnfStyle w:val="000010000000" w:firstRow="0" w:lastRow="0" w:firstColumn="0" w:lastColumn="0" w:oddVBand="1" w:evenVBand="0" w:oddHBand="0" w:evenHBand="0" w:firstRowFirstColumn="0" w:firstRowLastColumn="0" w:lastRowFirstColumn="0" w:lastRowLastColumn="0"/>
            <w:tcW w:w="782" w:type="pct"/>
            <w:vMerge w:val="restart"/>
            <w:vAlign w:val="center"/>
          </w:tcPr>
          <w:p w14:paraId="42D7952D" w14:textId="77777777" w:rsidR="00361CB0" w:rsidRPr="00976D33" w:rsidRDefault="00361CB0">
            <w:pPr>
              <w:widowControl w:val="0"/>
              <w:autoSpaceDE w:val="0"/>
              <w:autoSpaceDN w:val="0"/>
              <w:spacing w:before="0" w:after="0"/>
              <w:ind w:right="21"/>
              <w:jc w:val="left"/>
              <w:rPr>
                <w:rFonts w:asciiTheme="majorHAnsi" w:eastAsia="Calibri" w:hAnsiTheme="majorHAnsi" w:cstheme="majorHAnsi"/>
                <w:sz w:val="18"/>
                <w:szCs w:val="18"/>
              </w:rPr>
            </w:pPr>
            <w:r>
              <w:rPr>
                <w:rFonts w:asciiTheme="majorHAnsi" w:hAnsiTheme="majorHAnsi"/>
                <w:sz w:val="18"/>
              </w:rPr>
              <w:t>Njehsori tarifor 0.4 kV</w:t>
            </w:r>
          </w:p>
          <w:p w14:paraId="6382A58E" w14:textId="77777777" w:rsidR="00361CB0" w:rsidRPr="00976D33" w:rsidRDefault="00361CB0">
            <w:pPr>
              <w:widowControl w:val="0"/>
              <w:autoSpaceDE w:val="0"/>
              <w:autoSpaceDN w:val="0"/>
              <w:spacing w:before="0" w:after="0"/>
              <w:ind w:right="6"/>
              <w:jc w:val="left"/>
              <w:rPr>
                <w:rFonts w:asciiTheme="majorHAnsi" w:eastAsia="Calibri" w:hAnsiTheme="majorHAnsi" w:cstheme="majorHAnsi"/>
                <w:sz w:val="18"/>
                <w:szCs w:val="18"/>
              </w:rPr>
            </w:pPr>
            <w:r>
              <w:rPr>
                <w:rFonts w:asciiTheme="majorHAnsi" w:hAnsiTheme="majorHAnsi"/>
                <w:sz w:val="18"/>
              </w:rPr>
              <w:t>(ekonomia familjare)</w:t>
            </w:r>
          </w:p>
        </w:tc>
        <w:tc>
          <w:tcPr>
            <w:tcW w:w="1334" w:type="pct"/>
            <w:vAlign w:val="center"/>
          </w:tcPr>
          <w:p w14:paraId="261619FF" w14:textId="77777777" w:rsidR="00361CB0" w:rsidRPr="00976D33" w:rsidRDefault="00361CB0">
            <w:pPr>
              <w:widowControl w:val="0"/>
              <w:autoSpaceDE w:val="0"/>
              <w:autoSpaceDN w:val="0"/>
              <w:spacing w:before="0" w:after="0"/>
              <w:ind w:left="30"/>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Tarifa fikse e konsumatorit</w:t>
            </w:r>
          </w:p>
        </w:tc>
        <w:tc>
          <w:tcPr>
            <w:cnfStyle w:val="000010000000" w:firstRow="0" w:lastRow="0" w:firstColumn="0" w:lastColumn="0" w:oddVBand="1" w:evenVBand="0" w:oddHBand="0" w:evenHBand="0" w:firstRowFirstColumn="0" w:firstRowLastColumn="0" w:lastRowFirstColumn="0" w:lastRowLastColumn="0"/>
            <w:tcW w:w="1082" w:type="pct"/>
            <w:vAlign w:val="center"/>
          </w:tcPr>
          <w:p w14:paraId="38F00435" w14:textId="77777777" w:rsidR="00361CB0" w:rsidRPr="00976D33" w:rsidRDefault="00361CB0">
            <w:pPr>
              <w:widowControl w:val="0"/>
              <w:autoSpaceDE w:val="0"/>
              <w:autoSpaceDN w:val="0"/>
              <w:spacing w:before="0" w:after="0"/>
              <w:ind w:left="34" w:right="-108"/>
              <w:jc w:val="left"/>
              <w:rPr>
                <w:rFonts w:asciiTheme="majorHAnsi" w:eastAsia="Calibri" w:hAnsiTheme="majorHAnsi" w:cstheme="majorHAnsi"/>
                <w:sz w:val="18"/>
                <w:szCs w:val="18"/>
              </w:rPr>
            </w:pPr>
            <w:r>
              <w:rPr>
                <w:rFonts w:asciiTheme="majorHAnsi" w:hAnsiTheme="majorHAnsi"/>
                <w:sz w:val="18"/>
              </w:rPr>
              <w:t>€/konsumator/muaj</w:t>
            </w:r>
          </w:p>
        </w:tc>
        <w:tc>
          <w:tcPr>
            <w:tcW w:w="699" w:type="pct"/>
            <w:vAlign w:val="center"/>
          </w:tcPr>
          <w:p w14:paraId="6ADE4469" w14:textId="77777777" w:rsidR="00361CB0" w:rsidRPr="00976D33" w:rsidRDefault="00361CB0">
            <w:pPr>
              <w:widowControl w:val="0"/>
              <w:autoSpaceDE w:val="0"/>
              <w:autoSpaceDN w:val="0"/>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p>
        </w:tc>
        <w:tc>
          <w:tcPr>
            <w:cnfStyle w:val="000100000000" w:firstRow="0" w:lastRow="0" w:firstColumn="0" w:lastColumn="1" w:oddVBand="0" w:evenVBand="0" w:oddHBand="0" w:evenHBand="0" w:firstRowFirstColumn="0" w:firstRowLastColumn="0" w:lastRowFirstColumn="0" w:lastRowLastColumn="0"/>
            <w:tcW w:w="628" w:type="pct"/>
            <w:vAlign w:val="center"/>
          </w:tcPr>
          <w:p w14:paraId="6BF36435" w14:textId="77777777" w:rsidR="00361CB0" w:rsidRPr="00976D33" w:rsidRDefault="00361CB0">
            <w:pPr>
              <w:widowControl w:val="0"/>
              <w:autoSpaceDE w:val="0"/>
              <w:autoSpaceDN w:val="0"/>
              <w:spacing w:before="0" w:after="0"/>
              <w:ind w:right="387"/>
              <w:jc w:val="left"/>
              <w:rPr>
                <w:rFonts w:asciiTheme="majorHAnsi" w:eastAsia="Calibri" w:hAnsiTheme="majorHAnsi" w:cstheme="majorHAnsi"/>
                <w:sz w:val="18"/>
                <w:szCs w:val="18"/>
              </w:rPr>
            </w:pPr>
            <w:r>
              <w:rPr>
                <w:rFonts w:asciiTheme="majorHAnsi" w:hAnsiTheme="majorHAnsi"/>
                <w:sz w:val="18"/>
              </w:rPr>
              <w:t>1.49</w:t>
            </w:r>
          </w:p>
        </w:tc>
      </w:tr>
      <w:tr w:rsidR="00361CB0" w:rsidRPr="00976D33" w14:paraId="32A1C922" w14:textId="77777777">
        <w:trPr>
          <w:trHeight w:val="225"/>
        </w:trPr>
        <w:tc>
          <w:tcPr>
            <w:cnfStyle w:val="001000000000" w:firstRow="0" w:lastRow="0" w:firstColumn="1" w:lastColumn="0" w:oddVBand="0" w:evenVBand="0" w:oddHBand="0" w:evenHBand="0" w:firstRowFirstColumn="0" w:firstRowLastColumn="0" w:lastRowFirstColumn="0" w:lastRowLastColumn="0"/>
            <w:tcW w:w="476" w:type="pct"/>
            <w:vMerge/>
            <w:vAlign w:val="center"/>
          </w:tcPr>
          <w:p w14:paraId="18C4556A" w14:textId="77777777" w:rsidR="00361CB0" w:rsidRPr="00976D33" w:rsidRDefault="00361CB0">
            <w:pPr>
              <w:spacing w:before="0" w:after="0"/>
              <w:jc w:val="left"/>
              <w:rPr>
                <w:rFonts w:asciiTheme="majorHAns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14:paraId="3F0D7E54" w14:textId="77777777" w:rsidR="00361CB0" w:rsidRPr="00976D33" w:rsidRDefault="00361CB0">
            <w:pPr>
              <w:spacing w:before="0" w:after="0"/>
              <w:jc w:val="left"/>
              <w:rPr>
                <w:rFonts w:asciiTheme="majorHAnsi" w:hAnsiTheme="majorHAnsi" w:cstheme="majorHAnsi"/>
                <w:sz w:val="18"/>
                <w:szCs w:val="18"/>
              </w:rPr>
            </w:pPr>
          </w:p>
        </w:tc>
        <w:tc>
          <w:tcPr>
            <w:tcW w:w="1334" w:type="pct"/>
            <w:vAlign w:val="center"/>
          </w:tcPr>
          <w:p w14:paraId="03B4268C" w14:textId="77777777" w:rsidR="00361CB0" w:rsidRPr="00976D33" w:rsidRDefault="00361CB0">
            <w:pPr>
              <w:widowControl w:val="0"/>
              <w:autoSpaceDE w:val="0"/>
              <w:autoSpaceDN w:val="0"/>
              <w:spacing w:before="0" w:after="0"/>
              <w:ind w:left="387"/>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0- 800 (Blloku i parë)</w:t>
            </w:r>
          </w:p>
        </w:tc>
        <w:tc>
          <w:tcPr>
            <w:cnfStyle w:val="000010000000" w:firstRow="0" w:lastRow="0" w:firstColumn="0" w:lastColumn="0" w:oddVBand="1" w:evenVBand="0" w:oddHBand="0" w:evenHBand="0" w:firstRowFirstColumn="0" w:firstRowLastColumn="0" w:lastRowFirstColumn="0" w:lastRowLastColumn="0"/>
            <w:tcW w:w="1082" w:type="pct"/>
            <w:vAlign w:val="center"/>
          </w:tcPr>
          <w:p w14:paraId="31378E05" w14:textId="77777777" w:rsidR="00361CB0" w:rsidRPr="00976D33" w:rsidRDefault="00361CB0">
            <w:pPr>
              <w:widowControl w:val="0"/>
              <w:autoSpaceDE w:val="0"/>
              <w:autoSpaceDN w:val="0"/>
              <w:spacing w:before="0" w:after="0"/>
              <w:ind w:left="34" w:right="-108"/>
              <w:jc w:val="left"/>
              <w:rPr>
                <w:rFonts w:asciiTheme="majorHAnsi" w:eastAsia="Calibri" w:hAnsiTheme="majorHAnsi" w:cstheme="majorHAnsi"/>
                <w:sz w:val="18"/>
                <w:szCs w:val="18"/>
              </w:rPr>
            </w:pPr>
            <w:r>
              <w:rPr>
                <w:rFonts w:asciiTheme="majorHAnsi" w:hAnsiTheme="majorHAnsi"/>
                <w:sz w:val="18"/>
              </w:rPr>
              <w:t>€c/kWh</w:t>
            </w:r>
          </w:p>
        </w:tc>
        <w:tc>
          <w:tcPr>
            <w:tcW w:w="699" w:type="pct"/>
            <w:vAlign w:val="center"/>
          </w:tcPr>
          <w:p w14:paraId="3B502265" w14:textId="77777777" w:rsidR="00361CB0" w:rsidRPr="00976D33" w:rsidRDefault="00361CB0">
            <w:pPr>
              <w:widowControl w:val="0"/>
              <w:autoSpaceDE w:val="0"/>
              <w:autoSpaceDN w:val="0"/>
              <w:spacing w:before="0" w:after="0"/>
              <w:ind w:left="31"/>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Tarifa e ulët</w:t>
            </w:r>
          </w:p>
        </w:tc>
        <w:tc>
          <w:tcPr>
            <w:cnfStyle w:val="000100000000" w:firstRow="0" w:lastRow="0" w:firstColumn="0" w:lastColumn="1" w:oddVBand="0" w:evenVBand="0" w:oddHBand="0" w:evenHBand="0" w:firstRowFirstColumn="0" w:firstRowLastColumn="0" w:lastRowFirstColumn="0" w:lastRowLastColumn="0"/>
            <w:tcW w:w="628" w:type="pct"/>
            <w:vAlign w:val="center"/>
          </w:tcPr>
          <w:p w14:paraId="0C444899" w14:textId="77777777" w:rsidR="00361CB0" w:rsidRPr="00976D33" w:rsidRDefault="00361CB0">
            <w:pPr>
              <w:widowControl w:val="0"/>
              <w:autoSpaceDE w:val="0"/>
              <w:autoSpaceDN w:val="0"/>
              <w:spacing w:before="0" w:after="0"/>
              <w:ind w:right="400"/>
              <w:jc w:val="left"/>
              <w:rPr>
                <w:rFonts w:asciiTheme="majorHAnsi" w:eastAsia="Calibri" w:hAnsiTheme="majorHAnsi" w:cstheme="majorHAnsi"/>
                <w:sz w:val="18"/>
                <w:szCs w:val="18"/>
              </w:rPr>
            </w:pPr>
            <w:r>
              <w:rPr>
                <w:rFonts w:asciiTheme="majorHAnsi" w:hAnsiTheme="majorHAnsi"/>
                <w:sz w:val="18"/>
              </w:rPr>
              <w:t>4.56</w:t>
            </w:r>
          </w:p>
        </w:tc>
      </w:tr>
      <w:tr w:rsidR="00361CB0" w:rsidRPr="00976D33" w14:paraId="27D0F990" w14:textId="7777777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76" w:type="pct"/>
            <w:vMerge/>
            <w:vAlign w:val="center"/>
          </w:tcPr>
          <w:p w14:paraId="03ADF5FF" w14:textId="77777777" w:rsidR="00361CB0" w:rsidRPr="00976D33" w:rsidRDefault="00361CB0">
            <w:pPr>
              <w:spacing w:before="0" w:after="0"/>
              <w:jc w:val="left"/>
              <w:rPr>
                <w:rFonts w:asciiTheme="majorHAns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14:paraId="43C2E68B" w14:textId="77777777" w:rsidR="00361CB0" w:rsidRPr="00976D33" w:rsidRDefault="00361CB0">
            <w:pPr>
              <w:spacing w:before="0" w:after="0"/>
              <w:jc w:val="left"/>
              <w:rPr>
                <w:rFonts w:asciiTheme="majorHAnsi" w:hAnsiTheme="majorHAnsi" w:cstheme="majorHAnsi"/>
                <w:sz w:val="18"/>
                <w:szCs w:val="18"/>
              </w:rPr>
            </w:pPr>
          </w:p>
        </w:tc>
        <w:tc>
          <w:tcPr>
            <w:tcW w:w="1334" w:type="pct"/>
            <w:vAlign w:val="center"/>
          </w:tcPr>
          <w:p w14:paraId="27133119" w14:textId="77777777" w:rsidR="00361CB0" w:rsidRPr="00976D33" w:rsidRDefault="00361CB0">
            <w:pPr>
              <w:widowControl w:val="0"/>
              <w:autoSpaceDE w:val="0"/>
              <w:autoSpaceDN w:val="0"/>
              <w:spacing w:before="0" w:after="0"/>
              <w:ind w:left="425"/>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&gt;800 (Blloku i dytë)</w:t>
            </w:r>
          </w:p>
        </w:tc>
        <w:tc>
          <w:tcPr>
            <w:cnfStyle w:val="000010000000" w:firstRow="0" w:lastRow="0" w:firstColumn="0" w:lastColumn="0" w:oddVBand="1" w:evenVBand="0" w:oddHBand="0" w:evenHBand="0" w:firstRowFirstColumn="0" w:firstRowLastColumn="0" w:lastRowFirstColumn="0" w:lastRowLastColumn="0"/>
            <w:tcW w:w="1082" w:type="pct"/>
            <w:vAlign w:val="center"/>
          </w:tcPr>
          <w:p w14:paraId="264F5451" w14:textId="77777777" w:rsidR="00361CB0" w:rsidRPr="00976D33" w:rsidRDefault="00361CB0">
            <w:pPr>
              <w:widowControl w:val="0"/>
              <w:autoSpaceDE w:val="0"/>
              <w:autoSpaceDN w:val="0"/>
              <w:spacing w:before="0" w:after="0"/>
              <w:ind w:left="34" w:right="-108"/>
              <w:jc w:val="left"/>
              <w:rPr>
                <w:rFonts w:asciiTheme="majorHAnsi" w:eastAsia="Calibri" w:hAnsiTheme="majorHAnsi" w:cstheme="majorHAnsi"/>
                <w:sz w:val="18"/>
                <w:szCs w:val="18"/>
              </w:rPr>
            </w:pPr>
            <w:r>
              <w:rPr>
                <w:rFonts w:asciiTheme="majorHAnsi" w:hAnsiTheme="majorHAnsi"/>
                <w:sz w:val="18"/>
              </w:rPr>
              <w:t>€c/kWh</w:t>
            </w:r>
          </w:p>
        </w:tc>
        <w:tc>
          <w:tcPr>
            <w:tcW w:w="699" w:type="pct"/>
            <w:vAlign w:val="center"/>
          </w:tcPr>
          <w:p w14:paraId="4C625ECC" w14:textId="77777777" w:rsidR="00361CB0" w:rsidRPr="00976D33" w:rsidRDefault="00361CB0">
            <w:pPr>
              <w:widowControl w:val="0"/>
              <w:autoSpaceDE w:val="0"/>
              <w:autoSpaceDN w:val="0"/>
              <w:spacing w:before="0" w:after="0"/>
              <w:ind w:left="31"/>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Tarifa e vetme</w:t>
            </w:r>
          </w:p>
        </w:tc>
        <w:tc>
          <w:tcPr>
            <w:cnfStyle w:val="000100000000" w:firstRow="0" w:lastRow="0" w:firstColumn="0" w:lastColumn="1" w:oddVBand="0" w:evenVBand="0" w:oddHBand="0" w:evenHBand="0" w:firstRowFirstColumn="0" w:firstRowLastColumn="0" w:lastRowFirstColumn="0" w:lastRowLastColumn="0"/>
            <w:tcW w:w="628" w:type="pct"/>
            <w:vAlign w:val="center"/>
          </w:tcPr>
          <w:p w14:paraId="74DB9ADD" w14:textId="77777777" w:rsidR="00361CB0" w:rsidRPr="00976D33" w:rsidRDefault="00361CB0">
            <w:pPr>
              <w:widowControl w:val="0"/>
              <w:autoSpaceDE w:val="0"/>
              <w:autoSpaceDN w:val="0"/>
              <w:spacing w:before="0" w:after="0"/>
              <w:ind w:right="349"/>
              <w:jc w:val="left"/>
              <w:rPr>
                <w:rFonts w:asciiTheme="majorHAnsi" w:eastAsia="Calibri" w:hAnsiTheme="majorHAnsi" w:cstheme="majorHAnsi"/>
                <w:sz w:val="18"/>
                <w:szCs w:val="18"/>
              </w:rPr>
            </w:pPr>
            <w:r>
              <w:rPr>
                <w:rFonts w:asciiTheme="majorHAnsi" w:hAnsiTheme="majorHAnsi"/>
                <w:sz w:val="18"/>
              </w:rPr>
              <w:t>8.64</w:t>
            </w:r>
          </w:p>
        </w:tc>
      </w:tr>
      <w:tr w:rsidR="00361CB0" w:rsidRPr="00976D33" w14:paraId="68E999D3" w14:textId="77777777">
        <w:trPr>
          <w:trHeight w:val="225"/>
        </w:trPr>
        <w:tc>
          <w:tcPr>
            <w:cnfStyle w:val="001000000000" w:firstRow="0" w:lastRow="0" w:firstColumn="1" w:lastColumn="0" w:oddVBand="0" w:evenVBand="0" w:oddHBand="0" w:evenHBand="0" w:firstRowFirstColumn="0" w:firstRowLastColumn="0" w:lastRowFirstColumn="0" w:lastRowLastColumn="0"/>
            <w:tcW w:w="476" w:type="pct"/>
            <w:vMerge w:val="restart"/>
            <w:vAlign w:val="center"/>
          </w:tcPr>
          <w:p w14:paraId="1702C4BC" w14:textId="77777777" w:rsidR="00361CB0" w:rsidRPr="00976D33" w:rsidRDefault="00361CB0">
            <w:pPr>
              <w:widowControl w:val="0"/>
              <w:autoSpaceDE w:val="0"/>
              <w:autoSpaceDN w:val="0"/>
              <w:spacing w:before="0" w:after="0"/>
              <w:ind w:left="21"/>
              <w:jc w:val="left"/>
              <w:rPr>
                <w:rFonts w:asciiTheme="majorHAnsi" w:eastAsia="Calibri" w:hAnsiTheme="majorHAnsi" w:cstheme="majorHAnsi"/>
                <w:sz w:val="18"/>
                <w:szCs w:val="18"/>
              </w:rPr>
            </w:pPr>
            <w:r>
              <w:rPr>
                <w:rFonts w:asciiTheme="majorHAnsi" w:hAnsiTheme="majorHAnsi"/>
                <w:sz w:val="18"/>
              </w:rPr>
              <w:t>7</w:t>
            </w:r>
          </w:p>
        </w:tc>
        <w:tc>
          <w:tcPr>
            <w:cnfStyle w:val="000010000000" w:firstRow="0" w:lastRow="0" w:firstColumn="0" w:lastColumn="0" w:oddVBand="1" w:evenVBand="0" w:oddHBand="0" w:evenHBand="0" w:firstRowFirstColumn="0" w:firstRowLastColumn="0" w:lastRowFirstColumn="0" w:lastRowLastColumn="0"/>
            <w:tcW w:w="782" w:type="pct"/>
            <w:vMerge w:val="restart"/>
            <w:vAlign w:val="center"/>
          </w:tcPr>
          <w:p w14:paraId="60421558" w14:textId="77777777" w:rsidR="00361CB0" w:rsidRPr="00976D33" w:rsidRDefault="00361CB0">
            <w:pPr>
              <w:widowControl w:val="0"/>
              <w:autoSpaceDE w:val="0"/>
              <w:autoSpaceDN w:val="0"/>
              <w:spacing w:before="0" w:after="0"/>
              <w:ind w:right="12"/>
              <w:jc w:val="left"/>
              <w:rPr>
                <w:rFonts w:asciiTheme="majorHAnsi" w:eastAsia="Calibri" w:hAnsiTheme="majorHAnsi" w:cstheme="majorHAnsi"/>
                <w:sz w:val="18"/>
                <w:szCs w:val="18"/>
              </w:rPr>
            </w:pPr>
            <w:r>
              <w:rPr>
                <w:rFonts w:asciiTheme="majorHAnsi" w:hAnsiTheme="majorHAnsi"/>
                <w:sz w:val="18"/>
              </w:rPr>
              <w:t>0.4kV</w:t>
            </w:r>
          </w:p>
          <w:p w14:paraId="6239C1E2" w14:textId="77777777" w:rsidR="00361CB0" w:rsidRPr="00976D33" w:rsidRDefault="00361CB0">
            <w:pPr>
              <w:widowControl w:val="0"/>
              <w:autoSpaceDE w:val="0"/>
              <w:autoSpaceDN w:val="0"/>
              <w:spacing w:before="0" w:after="0"/>
              <w:ind w:right="21"/>
              <w:jc w:val="left"/>
              <w:rPr>
                <w:rFonts w:asciiTheme="majorHAnsi" w:eastAsia="Calibri" w:hAnsiTheme="majorHAnsi" w:cstheme="majorHAnsi"/>
                <w:sz w:val="18"/>
                <w:szCs w:val="18"/>
              </w:rPr>
            </w:pPr>
            <w:r>
              <w:rPr>
                <w:rFonts w:asciiTheme="majorHAnsi" w:hAnsiTheme="majorHAnsi"/>
                <w:sz w:val="18"/>
              </w:rPr>
              <w:t>(ekonomi familjare pa njehsor)</w:t>
            </w:r>
          </w:p>
        </w:tc>
        <w:tc>
          <w:tcPr>
            <w:tcW w:w="1334" w:type="pct"/>
            <w:vAlign w:val="center"/>
          </w:tcPr>
          <w:p w14:paraId="5CCFF10A" w14:textId="77777777" w:rsidR="00361CB0" w:rsidRPr="00976D33" w:rsidRDefault="00361CB0">
            <w:pPr>
              <w:widowControl w:val="0"/>
              <w:autoSpaceDE w:val="0"/>
              <w:autoSpaceDN w:val="0"/>
              <w:spacing w:before="0" w:after="0"/>
              <w:ind w:left="3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Konsumi i vlerësuar:</w:t>
            </w:r>
          </w:p>
        </w:tc>
        <w:tc>
          <w:tcPr>
            <w:cnfStyle w:val="000010000000" w:firstRow="0" w:lastRow="0" w:firstColumn="0" w:lastColumn="0" w:oddVBand="1" w:evenVBand="0" w:oddHBand="0" w:evenHBand="0" w:firstRowFirstColumn="0" w:firstRowLastColumn="0" w:lastRowFirstColumn="0" w:lastRowLastColumn="0"/>
            <w:tcW w:w="1082" w:type="pct"/>
            <w:vAlign w:val="center"/>
          </w:tcPr>
          <w:p w14:paraId="305EE2BA" w14:textId="77777777" w:rsidR="00361CB0" w:rsidRPr="00976D33" w:rsidRDefault="00361CB0">
            <w:pPr>
              <w:widowControl w:val="0"/>
              <w:autoSpaceDE w:val="0"/>
              <w:autoSpaceDN w:val="0"/>
              <w:spacing w:before="0" w:after="0"/>
              <w:ind w:left="34" w:right="-108"/>
              <w:jc w:val="left"/>
              <w:rPr>
                <w:rFonts w:asciiTheme="majorHAnsi" w:eastAsia="Calibri" w:hAnsiTheme="majorHAnsi" w:cstheme="majorHAnsi"/>
                <w:sz w:val="18"/>
                <w:szCs w:val="18"/>
              </w:rPr>
            </w:pPr>
          </w:p>
        </w:tc>
        <w:tc>
          <w:tcPr>
            <w:tcW w:w="699" w:type="pct"/>
            <w:vAlign w:val="center"/>
          </w:tcPr>
          <w:p w14:paraId="432CC818" w14:textId="77777777" w:rsidR="00361CB0" w:rsidRPr="00976D33" w:rsidRDefault="00361CB0">
            <w:pPr>
              <w:widowControl w:val="0"/>
              <w:autoSpaceDE w:val="0"/>
              <w:autoSpaceDN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p>
        </w:tc>
        <w:tc>
          <w:tcPr>
            <w:cnfStyle w:val="000100000000" w:firstRow="0" w:lastRow="0" w:firstColumn="0" w:lastColumn="1" w:oddVBand="0" w:evenVBand="0" w:oddHBand="0" w:evenHBand="0" w:firstRowFirstColumn="0" w:firstRowLastColumn="0" w:lastRowFirstColumn="0" w:lastRowLastColumn="0"/>
            <w:tcW w:w="628" w:type="pct"/>
            <w:vAlign w:val="center"/>
          </w:tcPr>
          <w:p w14:paraId="28052859" w14:textId="77777777" w:rsidR="00361CB0" w:rsidRPr="00976D33" w:rsidRDefault="00361CB0">
            <w:pPr>
              <w:widowControl w:val="0"/>
              <w:autoSpaceDE w:val="0"/>
              <w:autoSpaceDN w:val="0"/>
              <w:spacing w:before="0" w:after="0"/>
              <w:jc w:val="left"/>
              <w:rPr>
                <w:rFonts w:asciiTheme="majorHAnsi" w:eastAsia="Calibri" w:hAnsiTheme="majorHAnsi" w:cstheme="majorHAnsi"/>
                <w:sz w:val="18"/>
                <w:szCs w:val="18"/>
              </w:rPr>
            </w:pPr>
          </w:p>
        </w:tc>
      </w:tr>
      <w:tr w:rsidR="00361CB0" w:rsidRPr="00976D33" w14:paraId="77254B28" w14:textId="7777777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76" w:type="pct"/>
            <w:vMerge/>
            <w:vAlign w:val="center"/>
          </w:tcPr>
          <w:p w14:paraId="64BF1608" w14:textId="77777777" w:rsidR="00361CB0" w:rsidRPr="00976D33" w:rsidRDefault="00361CB0">
            <w:pPr>
              <w:spacing w:before="0" w:after="0"/>
              <w:jc w:val="left"/>
              <w:rPr>
                <w:rFonts w:asciiTheme="majorHAns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14:paraId="11BD1DB5" w14:textId="77777777" w:rsidR="00361CB0" w:rsidRPr="00976D33" w:rsidRDefault="00361CB0">
            <w:pPr>
              <w:spacing w:before="0" w:after="0"/>
              <w:jc w:val="left"/>
              <w:rPr>
                <w:rFonts w:asciiTheme="majorHAnsi" w:hAnsiTheme="majorHAnsi" w:cstheme="majorHAnsi"/>
                <w:sz w:val="18"/>
                <w:szCs w:val="18"/>
              </w:rPr>
            </w:pPr>
          </w:p>
        </w:tc>
        <w:tc>
          <w:tcPr>
            <w:tcW w:w="1334" w:type="pct"/>
            <w:vAlign w:val="center"/>
          </w:tcPr>
          <w:p w14:paraId="1F295257" w14:textId="77777777" w:rsidR="00361CB0" w:rsidRPr="00976D33" w:rsidRDefault="00361CB0">
            <w:pPr>
              <w:widowControl w:val="0"/>
              <w:autoSpaceDE w:val="0"/>
              <w:autoSpaceDN w:val="0"/>
              <w:spacing w:before="0" w:after="0"/>
              <w:ind w:left="30"/>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Tarifa fikse e konsumatorit</w:t>
            </w:r>
          </w:p>
        </w:tc>
        <w:tc>
          <w:tcPr>
            <w:cnfStyle w:val="000010000000" w:firstRow="0" w:lastRow="0" w:firstColumn="0" w:lastColumn="0" w:oddVBand="1" w:evenVBand="0" w:oddHBand="0" w:evenHBand="0" w:firstRowFirstColumn="0" w:firstRowLastColumn="0" w:lastRowFirstColumn="0" w:lastRowLastColumn="0"/>
            <w:tcW w:w="1082" w:type="pct"/>
            <w:vAlign w:val="center"/>
          </w:tcPr>
          <w:p w14:paraId="0F48A62E" w14:textId="77777777" w:rsidR="00361CB0" w:rsidRPr="00976D33" w:rsidRDefault="00361CB0">
            <w:pPr>
              <w:widowControl w:val="0"/>
              <w:autoSpaceDE w:val="0"/>
              <w:autoSpaceDN w:val="0"/>
              <w:spacing w:before="0" w:after="0"/>
              <w:ind w:left="34" w:right="-108"/>
              <w:jc w:val="left"/>
              <w:rPr>
                <w:rFonts w:asciiTheme="majorHAnsi" w:eastAsia="Calibri" w:hAnsiTheme="majorHAnsi" w:cstheme="majorHAnsi"/>
                <w:sz w:val="18"/>
                <w:szCs w:val="18"/>
              </w:rPr>
            </w:pPr>
            <w:r>
              <w:rPr>
                <w:rFonts w:asciiTheme="majorHAnsi" w:hAnsiTheme="majorHAnsi"/>
                <w:sz w:val="18"/>
              </w:rPr>
              <w:t>€/konsumator/muaj</w:t>
            </w:r>
          </w:p>
        </w:tc>
        <w:tc>
          <w:tcPr>
            <w:tcW w:w="699" w:type="pct"/>
            <w:vAlign w:val="center"/>
          </w:tcPr>
          <w:p w14:paraId="711BECA1" w14:textId="77777777" w:rsidR="00361CB0" w:rsidRPr="00976D33" w:rsidRDefault="00361CB0">
            <w:pPr>
              <w:widowControl w:val="0"/>
              <w:autoSpaceDE w:val="0"/>
              <w:autoSpaceDN w:val="0"/>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p>
        </w:tc>
        <w:tc>
          <w:tcPr>
            <w:cnfStyle w:val="000100000000" w:firstRow="0" w:lastRow="0" w:firstColumn="0" w:lastColumn="1" w:oddVBand="0" w:evenVBand="0" w:oddHBand="0" w:evenHBand="0" w:firstRowFirstColumn="0" w:firstRowLastColumn="0" w:lastRowFirstColumn="0" w:lastRowLastColumn="0"/>
            <w:tcW w:w="628" w:type="pct"/>
            <w:vAlign w:val="center"/>
          </w:tcPr>
          <w:p w14:paraId="5751C5FC" w14:textId="77777777" w:rsidR="00361CB0" w:rsidRPr="00976D33" w:rsidRDefault="00361CB0">
            <w:pPr>
              <w:widowControl w:val="0"/>
              <w:autoSpaceDE w:val="0"/>
              <w:autoSpaceDN w:val="0"/>
              <w:spacing w:before="0" w:after="0"/>
              <w:ind w:right="387"/>
              <w:jc w:val="left"/>
              <w:rPr>
                <w:rFonts w:asciiTheme="majorHAnsi" w:eastAsia="Calibri" w:hAnsiTheme="majorHAnsi" w:cstheme="majorHAnsi"/>
                <w:sz w:val="18"/>
                <w:szCs w:val="18"/>
              </w:rPr>
            </w:pPr>
            <w:r>
              <w:rPr>
                <w:rFonts w:asciiTheme="majorHAnsi" w:hAnsiTheme="majorHAnsi"/>
                <w:sz w:val="18"/>
              </w:rPr>
              <w:t>1.49</w:t>
            </w:r>
          </w:p>
        </w:tc>
      </w:tr>
      <w:tr w:rsidR="00361CB0" w:rsidRPr="00976D33" w14:paraId="54C1280D" w14:textId="77777777">
        <w:trPr>
          <w:trHeight w:val="224"/>
        </w:trPr>
        <w:tc>
          <w:tcPr>
            <w:cnfStyle w:val="001000000000" w:firstRow="0" w:lastRow="0" w:firstColumn="1" w:lastColumn="0" w:oddVBand="0" w:evenVBand="0" w:oddHBand="0" w:evenHBand="0" w:firstRowFirstColumn="0" w:firstRowLastColumn="0" w:lastRowFirstColumn="0" w:lastRowLastColumn="0"/>
            <w:tcW w:w="476" w:type="pct"/>
            <w:vMerge/>
            <w:vAlign w:val="center"/>
          </w:tcPr>
          <w:p w14:paraId="6CC12BF9" w14:textId="77777777" w:rsidR="00361CB0" w:rsidRPr="00976D33" w:rsidRDefault="00361CB0">
            <w:pPr>
              <w:spacing w:before="0" w:after="0"/>
              <w:jc w:val="left"/>
              <w:rPr>
                <w:rFonts w:asciiTheme="majorHAns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14:paraId="49C0E5C5" w14:textId="77777777" w:rsidR="00361CB0" w:rsidRPr="00976D33" w:rsidRDefault="00361CB0">
            <w:pPr>
              <w:spacing w:before="0" w:after="0"/>
              <w:jc w:val="left"/>
              <w:rPr>
                <w:rFonts w:asciiTheme="majorHAnsi" w:hAnsiTheme="majorHAnsi" w:cstheme="majorHAnsi"/>
                <w:sz w:val="18"/>
                <w:szCs w:val="18"/>
              </w:rPr>
            </w:pPr>
          </w:p>
        </w:tc>
        <w:tc>
          <w:tcPr>
            <w:tcW w:w="1334" w:type="pct"/>
            <w:vAlign w:val="center"/>
          </w:tcPr>
          <w:p w14:paraId="083B8937" w14:textId="77777777" w:rsidR="00361CB0" w:rsidRPr="00976D33" w:rsidRDefault="00361CB0">
            <w:pPr>
              <w:widowControl w:val="0"/>
              <w:autoSpaceDE w:val="0"/>
              <w:autoSpaceDN w:val="0"/>
              <w:spacing w:before="0" w:after="0"/>
              <w:ind w:left="30" w:right="-29"/>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Energjia aktive (P), nga e cila</w:t>
            </w:r>
          </w:p>
        </w:tc>
        <w:tc>
          <w:tcPr>
            <w:cnfStyle w:val="000010000000" w:firstRow="0" w:lastRow="0" w:firstColumn="0" w:lastColumn="0" w:oddVBand="1" w:evenVBand="0" w:oddHBand="0" w:evenHBand="0" w:firstRowFirstColumn="0" w:firstRowLastColumn="0" w:lastRowFirstColumn="0" w:lastRowLastColumn="0"/>
            <w:tcW w:w="1082" w:type="pct"/>
            <w:vAlign w:val="center"/>
          </w:tcPr>
          <w:p w14:paraId="6F0BC3DE" w14:textId="77777777" w:rsidR="00361CB0" w:rsidRPr="00976D33" w:rsidRDefault="00361CB0">
            <w:pPr>
              <w:widowControl w:val="0"/>
              <w:autoSpaceDE w:val="0"/>
              <w:autoSpaceDN w:val="0"/>
              <w:spacing w:before="0" w:after="0"/>
              <w:ind w:left="34" w:right="-108"/>
              <w:jc w:val="left"/>
              <w:rPr>
                <w:rFonts w:asciiTheme="majorHAnsi" w:eastAsia="Calibri" w:hAnsiTheme="majorHAnsi" w:cstheme="majorHAnsi"/>
                <w:sz w:val="18"/>
                <w:szCs w:val="18"/>
              </w:rPr>
            </w:pPr>
            <w:r>
              <w:rPr>
                <w:rFonts w:asciiTheme="majorHAnsi" w:hAnsiTheme="majorHAnsi"/>
                <w:sz w:val="18"/>
              </w:rPr>
              <w:t>€c/kWh</w:t>
            </w:r>
          </w:p>
        </w:tc>
        <w:tc>
          <w:tcPr>
            <w:tcW w:w="699" w:type="pct"/>
            <w:vAlign w:val="center"/>
          </w:tcPr>
          <w:p w14:paraId="31660107" w14:textId="77777777" w:rsidR="00361CB0" w:rsidRPr="00976D33" w:rsidRDefault="00361CB0">
            <w:pPr>
              <w:widowControl w:val="0"/>
              <w:autoSpaceDE w:val="0"/>
              <w:autoSpaceDN w:val="0"/>
              <w:spacing w:before="0" w:after="0"/>
              <w:ind w:left="31"/>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Tarifa mesatare</w:t>
            </w:r>
          </w:p>
        </w:tc>
        <w:tc>
          <w:tcPr>
            <w:cnfStyle w:val="000100000000" w:firstRow="0" w:lastRow="0" w:firstColumn="0" w:lastColumn="1" w:oddVBand="0" w:evenVBand="0" w:oddHBand="0" w:evenHBand="0" w:firstRowFirstColumn="0" w:firstRowLastColumn="0" w:lastRowFirstColumn="0" w:lastRowLastColumn="0"/>
            <w:tcW w:w="628" w:type="pct"/>
            <w:vAlign w:val="center"/>
          </w:tcPr>
          <w:p w14:paraId="31423A3E" w14:textId="77777777" w:rsidR="00361CB0" w:rsidRPr="00976D33" w:rsidRDefault="00361CB0">
            <w:pPr>
              <w:widowControl w:val="0"/>
              <w:autoSpaceDE w:val="0"/>
              <w:autoSpaceDN w:val="0"/>
              <w:spacing w:before="0" w:after="0"/>
              <w:ind w:right="387"/>
              <w:jc w:val="left"/>
              <w:rPr>
                <w:rFonts w:asciiTheme="majorHAnsi" w:eastAsia="Calibri" w:hAnsiTheme="majorHAnsi" w:cstheme="majorHAnsi"/>
                <w:sz w:val="18"/>
                <w:szCs w:val="18"/>
              </w:rPr>
            </w:pPr>
            <w:r>
              <w:rPr>
                <w:rFonts w:asciiTheme="majorHAnsi" w:hAnsiTheme="majorHAnsi"/>
                <w:sz w:val="18"/>
              </w:rPr>
              <w:t>5.80</w:t>
            </w:r>
          </w:p>
        </w:tc>
      </w:tr>
      <w:tr w:rsidR="00361CB0" w:rsidRPr="00976D33" w14:paraId="005E51BA" w14:textId="7777777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76" w:type="pct"/>
            <w:vMerge w:val="restart"/>
            <w:vAlign w:val="center"/>
          </w:tcPr>
          <w:p w14:paraId="112A5829" w14:textId="77777777" w:rsidR="00361CB0" w:rsidRPr="00976D33" w:rsidRDefault="00361CB0">
            <w:pPr>
              <w:widowControl w:val="0"/>
              <w:autoSpaceDE w:val="0"/>
              <w:autoSpaceDN w:val="0"/>
              <w:spacing w:before="0" w:after="0"/>
              <w:ind w:left="21"/>
              <w:jc w:val="left"/>
              <w:rPr>
                <w:rFonts w:asciiTheme="majorHAnsi" w:eastAsia="Calibri" w:hAnsiTheme="majorHAnsi" w:cstheme="majorHAnsi"/>
                <w:sz w:val="18"/>
                <w:szCs w:val="18"/>
              </w:rPr>
            </w:pPr>
            <w:r>
              <w:rPr>
                <w:rFonts w:asciiTheme="majorHAnsi" w:hAnsiTheme="majorHAnsi"/>
                <w:sz w:val="18"/>
              </w:rPr>
              <w:t>8</w:t>
            </w:r>
          </w:p>
        </w:tc>
        <w:tc>
          <w:tcPr>
            <w:cnfStyle w:val="000010000000" w:firstRow="0" w:lastRow="0" w:firstColumn="0" w:lastColumn="0" w:oddVBand="1" w:evenVBand="0" w:oddHBand="0" w:evenHBand="0" w:firstRowFirstColumn="0" w:firstRowLastColumn="0" w:lastRowFirstColumn="0" w:lastRowLastColumn="0"/>
            <w:tcW w:w="782" w:type="pct"/>
            <w:vMerge w:val="restart"/>
            <w:vAlign w:val="center"/>
          </w:tcPr>
          <w:p w14:paraId="2084E3C7" w14:textId="77777777" w:rsidR="00361CB0" w:rsidRPr="00976D33" w:rsidRDefault="00361CB0">
            <w:pPr>
              <w:widowControl w:val="0"/>
              <w:autoSpaceDE w:val="0"/>
              <w:autoSpaceDN w:val="0"/>
              <w:spacing w:before="0" w:after="0"/>
              <w:jc w:val="left"/>
              <w:rPr>
                <w:rFonts w:asciiTheme="majorHAnsi" w:eastAsia="Calibri" w:hAnsiTheme="majorHAnsi" w:cstheme="majorHAnsi"/>
                <w:sz w:val="18"/>
                <w:szCs w:val="18"/>
              </w:rPr>
            </w:pPr>
            <w:r>
              <w:rPr>
                <w:rFonts w:asciiTheme="majorHAnsi" w:hAnsiTheme="majorHAnsi"/>
                <w:sz w:val="18"/>
              </w:rPr>
              <w:t>Ndriçimi publik</w:t>
            </w:r>
          </w:p>
        </w:tc>
        <w:tc>
          <w:tcPr>
            <w:tcW w:w="1334" w:type="pct"/>
            <w:vAlign w:val="center"/>
          </w:tcPr>
          <w:p w14:paraId="25231CB1" w14:textId="77777777" w:rsidR="00361CB0" w:rsidRPr="00976D33" w:rsidRDefault="00361CB0">
            <w:pPr>
              <w:widowControl w:val="0"/>
              <w:autoSpaceDE w:val="0"/>
              <w:autoSpaceDN w:val="0"/>
              <w:spacing w:before="0" w:after="0"/>
              <w:ind w:left="30"/>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Tarifa fikse e konsumatorit</w:t>
            </w:r>
          </w:p>
        </w:tc>
        <w:tc>
          <w:tcPr>
            <w:cnfStyle w:val="000010000000" w:firstRow="0" w:lastRow="0" w:firstColumn="0" w:lastColumn="0" w:oddVBand="1" w:evenVBand="0" w:oddHBand="0" w:evenHBand="0" w:firstRowFirstColumn="0" w:firstRowLastColumn="0" w:lastRowFirstColumn="0" w:lastRowLastColumn="0"/>
            <w:tcW w:w="1082" w:type="pct"/>
            <w:vAlign w:val="center"/>
          </w:tcPr>
          <w:p w14:paraId="4F106C25" w14:textId="77777777" w:rsidR="00361CB0" w:rsidRPr="00976D33" w:rsidRDefault="00361CB0">
            <w:pPr>
              <w:widowControl w:val="0"/>
              <w:autoSpaceDE w:val="0"/>
              <w:autoSpaceDN w:val="0"/>
              <w:spacing w:before="0" w:after="0"/>
              <w:ind w:left="34" w:right="-108"/>
              <w:jc w:val="left"/>
              <w:rPr>
                <w:rFonts w:asciiTheme="majorHAnsi" w:eastAsia="Calibri" w:hAnsiTheme="majorHAnsi" w:cstheme="majorHAnsi"/>
                <w:sz w:val="18"/>
                <w:szCs w:val="18"/>
              </w:rPr>
            </w:pPr>
            <w:r>
              <w:rPr>
                <w:rFonts w:asciiTheme="majorHAnsi" w:hAnsiTheme="majorHAnsi"/>
                <w:sz w:val="18"/>
              </w:rPr>
              <w:t>€/konsumator/muaj</w:t>
            </w:r>
          </w:p>
        </w:tc>
        <w:tc>
          <w:tcPr>
            <w:tcW w:w="699" w:type="pct"/>
            <w:vAlign w:val="center"/>
          </w:tcPr>
          <w:p w14:paraId="4411A9F9" w14:textId="77777777" w:rsidR="00361CB0" w:rsidRPr="00976D33" w:rsidRDefault="00361CB0">
            <w:pPr>
              <w:widowControl w:val="0"/>
              <w:autoSpaceDE w:val="0"/>
              <w:autoSpaceDN w:val="0"/>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p>
        </w:tc>
        <w:tc>
          <w:tcPr>
            <w:cnfStyle w:val="000100000000" w:firstRow="0" w:lastRow="0" w:firstColumn="0" w:lastColumn="1" w:oddVBand="0" w:evenVBand="0" w:oddHBand="0" w:evenHBand="0" w:firstRowFirstColumn="0" w:firstRowLastColumn="0" w:lastRowFirstColumn="0" w:lastRowLastColumn="0"/>
            <w:tcW w:w="628" w:type="pct"/>
            <w:vAlign w:val="center"/>
          </w:tcPr>
          <w:p w14:paraId="74B289D3" w14:textId="77777777" w:rsidR="00361CB0" w:rsidRPr="00976D33" w:rsidRDefault="00361CB0">
            <w:pPr>
              <w:widowControl w:val="0"/>
              <w:autoSpaceDE w:val="0"/>
              <w:autoSpaceDN w:val="0"/>
              <w:spacing w:before="0" w:after="0"/>
              <w:ind w:right="387"/>
              <w:jc w:val="left"/>
              <w:rPr>
                <w:rFonts w:asciiTheme="majorHAnsi" w:eastAsia="Calibri" w:hAnsiTheme="majorHAnsi" w:cstheme="majorHAnsi"/>
                <w:sz w:val="18"/>
                <w:szCs w:val="18"/>
              </w:rPr>
            </w:pPr>
            <w:r>
              <w:rPr>
                <w:rFonts w:asciiTheme="majorHAnsi" w:hAnsiTheme="majorHAnsi"/>
                <w:sz w:val="18"/>
              </w:rPr>
              <w:t>2.75</w:t>
            </w:r>
          </w:p>
        </w:tc>
      </w:tr>
      <w:tr w:rsidR="00361CB0" w:rsidRPr="00976D33" w14:paraId="5E7096C3" w14:textId="77777777">
        <w:trPr>
          <w:trHeight w:val="224"/>
        </w:trPr>
        <w:tc>
          <w:tcPr>
            <w:cnfStyle w:val="001000000000" w:firstRow="0" w:lastRow="0" w:firstColumn="1" w:lastColumn="0" w:oddVBand="0" w:evenVBand="0" w:oddHBand="0" w:evenHBand="0" w:firstRowFirstColumn="0" w:firstRowLastColumn="0" w:lastRowFirstColumn="0" w:lastRowLastColumn="0"/>
            <w:tcW w:w="476" w:type="pct"/>
            <w:vMerge/>
            <w:vAlign w:val="center"/>
          </w:tcPr>
          <w:p w14:paraId="3D71F99A" w14:textId="77777777" w:rsidR="00361CB0" w:rsidRPr="00976D33" w:rsidRDefault="00361CB0">
            <w:pPr>
              <w:spacing w:before="0" w:after="0"/>
              <w:jc w:val="left"/>
              <w:rPr>
                <w:rFonts w:asciiTheme="majorHAns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14:paraId="58816927" w14:textId="77777777" w:rsidR="00361CB0" w:rsidRPr="00976D33" w:rsidRDefault="00361CB0">
            <w:pPr>
              <w:spacing w:before="0" w:after="0"/>
              <w:jc w:val="left"/>
              <w:rPr>
                <w:rFonts w:asciiTheme="majorHAnsi" w:hAnsiTheme="majorHAnsi" w:cstheme="majorHAnsi"/>
                <w:sz w:val="18"/>
                <w:szCs w:val="18"/>
              </w:rPr>
            </w:pPr>
          </w:p>
        </w:tc>
        <w:tc>
          <w:tcPr>
            <w:tcW w:w="1334" w:type="pct"/>
            <w:vAlign w:val="center"/>
          </w:tcPr>
          <w:p w14:paraId="77ABEE15" w14:textId="77777777" w:rsidR="00361CB0" w:rsidRPr="00976D33" w:rsidRDefault="00361CB0">
            <w:pPr>
              <w:widowControl w:val="0"/>
              <w:autoSpaceDE w:val="0"/>
              <w:autoSpaceDN w:val="0"/>
              <w:spacing w:before="0" w:after="0"/>
              <w:ind w:left="30" w:right="-29"/>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Energjia aktive (P), nga e cila</w:t>
            </w:r>
          </w:p>
        </w:tc>
        <w:tc>
          <w:tcPr>
            <w:cnfStyle w:val="000010000000" w:firstRow="0" w:lastRow="0" w:firstColumn="0" w:lastColumn="0" w:oddVBand="1" w:evenVBand="0" w:oddHBand="0" w:evenHBand="0" w:firstRowFirstColumn="0" w:firstRowLastColumn="0" w:lastRowFirstColumn="0" w:lastRowLastColumn="0"/>
            <w:tcW w:w="1082" w:type="pct"/>
            <w:vAlign w:val="center"/>
          </w:tcPr>
          <w:p w14:paraId="19D99192" w14:textId="77777777" w:rsidR="00361CB0" w:rsidRPr="00976D33" w:rsidRDefault="00361CB0">
            <w:pPr>
              <w:widowControl w:val="0"/>
              <w:autoSpaceDE w:val="0"/>
              <w:autoSpaceDN w:val="0"/>
              <w:spacing w:before="0" w:after="0"/>
              <w:ind w:left="34" w:right="-108"/>
              <w:jc w:val="left"/>
              <w:rPr>
                <w:rFonts w:asciiTheme="majorHAnsi" w:eastAsia="Calibri" w:hAnsiTheme="majorHAnsi" w:cstheme="majorHAnsi"/>
                <w:sz w:val="18"/>
                <w:szCs w:val="18"/>
              </w:rPr>
            </w:pPr>
            <w:r>
              <w:rPr>
                <w:rFonts w:asciiTheme="majorHAnsi" w:hAnsiTheme="majorHAnsi"/>
                <w:sz w:val="18"/>
              </w:rPr>
              <w:t>€c/kWh</w:t>
            </w:r>
          </w:p>
        </w:tc>
        <w:tc>
          <w:tcPr>
            <w:tcW w:w="699" w:type="pct"/>
            <w:vAlign w:val="center"/>
          </w:tcPr>
          <w:p w14:paraId="4AB23DEB" w14:textId="77777777" w:rsidR="00361CB0" w:rsidRPr="00976D33" w:rsidRDefault="00361CB0">
            <w:pPr>
              <w:widowControl w:val="0"/>
              <w:autoSpaceDE w:val="0"/>
              <w:autoSpaceDN w:val="0"/>
              <w:spacing w:before="0" w:after="0"/>
              <w:ind w:left="31"/>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r>
              <w:rPr>
                <w:rFonts w:asciiTheme="majorHAnsi" w:hAnsiTheme="majorHAnsi"/>
                <w:sz w:val="18"/>
              </w:rPr>
              <w:t xml:space="preserve">Tarifa e vetme </w:t>
            </w:r>
          </w:p>
        </w:tc>
        <w:tc>
          <w:tcPr>
            <w:cnfStyle w:val="000100000000" w:firstRow="0" w:lastRow="0" w:firstColumn="0" w:lastColumn="1" w:oddVBand="0" w:evenVBand="0" w:oddHBand="0" w:evenHBand="0" w:firstRowFirstColumn="0" w:firstRowLastColumn="0" w:lastRowFirstColumn="0" w:lastRowLastColumn="0"/>
            <w:tcW w:w="628" w:type="pct"/>
            <w:vAlign w:val="center"/>
          </w:tcPr>
          <w:p w14:paraId="32FE3CD5" w14:textId="77777777" w:rsidR="00361CB0" w:rsidRPr="00976D33" w:rsidRDefault="00361CB0">
            <w:pPr>
              <w:widowControl w:val="0"/>
              <w:autoSpaceDE w:val="0"/>
              <w:autoSpaceDN w:val="0"/>
              <w:spacing w:before="0" w:after="0"/>
              <w:ind w:right="387"/>
              <w:jc w:val="left"/>
              <w:rPr>
                <w:rFonts w:asciiTheme="majorHAnsi" w:eastAsia="Calibri" w:hAnsiTheme="majorHAnsi" w:cstheme="majorHAnsi"/>
                <w:sz w:val="18"/>
                <w:szCs w:val="18"/>
              </w:rPr>
            </w:pPr>
            <w:r>
              <w:rPr>
                <w:rFonts w:asciiTheme="majorHAnsi" w:hAnsiTheme="majorHAnsi"/>
                <w:sz w:val="18"/>
              </w:rPr>
              <w:t>7.93</w:t>
            </w:r>
          </w:p>
        </w:tc>
      </w:tr>
      <w:tr w:rsidR="00361CB0" w:rsidRPr="00976D33" w14:paraId="7226A6B8" w14:textId="77777777">
        <w:trPr>
          <w:cnfStyle w:val="010000000000" w:firstRow="0" w:lastRow="1" w:firstColumn="0" w:lastColumn="0" w:oddVBand="0" w:evenVBand="0" w:oddHBand="0" w:evenHBand="0" w:firstRowFirstColumn="0" w:firstRowLastColumn="0" w:lastRowFirstColumn="0" w:lastRowLastColumn="0"/>
          <w:trHeight w:val="696"/>
        </w:trPr>
        <w:tc>
          <w:tcPr>
            <w:cnfStyle w:val="001000000001" w:firstRow="0" w:lastRow="0" w:firstColumn="1" w:lastColumn="0" w:oddVBand="0" w:evenVBand="0" w:oddHBand="0" w:evenHBand="0" w:firstRowFirstColumn="0" w:firstRowLastColumn="0" w:lastRowFirstColumn="1" w:lastRowLastColumn="0"/>
            <w:tcW w:w="5000" w:type="pct"/>
            <w:gridSpan w:val="6"/>
          </w:tcPr>
          <w:p w14:paraId="20549973" w14:textId="77777777" w:rsidR="00361CB0" w:rsidRPr="00976D33" w:rsidRDefault="00361CB0">
            <w:pPr>
              <w:widowControl w:val="0"/>
              <w:autoSpaceDE w:val="0"/>
              <w:autoSpaceDN w:val="0"/>
              <w:spacing w:before="0" w:after="0"/>
              <w:ind w:firstLine="31"/>
              <w:rPr>
                <w:rFonts w:asciiTheme="majorHAnsi" w:eastAsia="Calibri" w:hAnsiTheme="majorHAnsi" w:cstheme="majorHAnsi"/>
                <w:i/>
                <w:sz w:val="18"/>
                <w:szCs w:val="18"/>
              </w:rPr>
            </w:pPr>
            <w:r>
              <w:rPr>
                <w:rFonts w:asciiTheme="majorHAnsi" w:hAnsiTheme="majorHAnsi"/>
                <w:i/>
                <w:sz w:val="18"/>
              </w:rPr>
              <w:lastRenderedPageBreak/>
              <w:t>Tarifa e lartë (ditore) zbatohet nga ora 07:00 - 22:00 gjatë periudhës 1 tetor deri më 31 mars</w:t>
            </w:r>
          </w:p>
          <w:p w14:paraId="688F85C0" w14:textId="77777777" w:rsidR="00361CB0" w:rsidRPr="00976D33" w:rsidRDefault="00361CB0">
            <w:pPr>
              <w:widowControl w:val="0"/>
              <w:autoSpaceDE w:val="0"/>
              <w:autoSpaceDN w:val="0"/>
              <w:spacing w:before="0" w:after="0"/>
              <w:ind w:right="1640" w:firstLine="31"/>
              <w:rPr>
                <w:rFonts w:asciiTheme="majorHAnsi" w:eastAsia="Calibri" w:hAnsiTheme="majorHAnsi" w:cstheme="majorHAnsi"/>
                <w:i/>
                <w:w w:val="105"/>
                <w:sz w:val="18"/>
                <w:szCs w:val="18"/>
              </w:rPr>
            </w:pPr>
            <w:r>
              <w:rPr>
                <w:rFonts w:asciiTheme="majorHAnsi" w:hAnsiTheme="majorHAnsi"/>
                <w:i/>
                <w:sz w:val="18"/>
              </w:rPr>
              <w:t>Tarifa e lartë (ditore) zbatohet nga ora 08:00 - 23:00 gjatë periudhës 1 prill deri më 30 shtator</w:t>
            </w:r>
          </w:p>
          <w:p w14:paraId="650B00B2" w14:textId="77777777" w:rsidR="00361CB0" w:rsidRPr="00976D33" w:rsidRDefault="00361CB0">
            <w:pPr>
              <w:widowControl w:val="0"/>
              <w:autoSpaceDE w:val="0"/>
              <w:autoSpaceDN w:val="0"/>
              <w:spacing w:before="0" w:after="0"/>
              <w:ind w:right="1640" w:firstLine="31"/>
              <w:rPr>
                <w:rFonts w:asciiTheme="majorHAnsi" w:eastAsia="Calibri" w:hAnsiTheme="majorHAnsi" w:cstheme="majorHAnsi"/>
                <w:i/>
                <w:sz w:val="18"/>
                <w:szCs w:val="18"/>
              </w:rPr>
            </w:pPr>
            <w:r>
              <w:rPr>
                <w:rFonts w:asciiTheme="majorHAnsi" w:hAnsiTheme="majorHAnsi"/>
                <w:i/>
                <w:sz w:val="18"/>
              </w:rPr>
              <w:t>Konsumatori ngarkohet me energji reaktive mbi atë të lejuar, e cila korrespondon me cos(Φ)&lt;0,95</w:t>
            </w:r>
          </w:p>
        </w:tc>
      </w:tr>
    </w:tbl>
    <w:p w14:paraId="4FD6DCED" w14:textId="77777777" w:rsidR="00361CB0" w:rsidRPr="00976D33" w:rsidRDefault="00361CB0" w:rsidP="00361CB0">
      <w:pPr>
        <w:pStyle w:val="Fliesstext"/>
        <w:spacing w:before="0" w:line="240" w:lineRule="auto"/>
        <w:rPr>
          <w:rFonts w:ascii="Arial" w:eastAsiaTheme="minorEastAsia" w:hAnsi="Arial" w:cstheme="minorBidi"/>
          <w:i/>
          <w:color w:val="0F0D29" w:themeColor="text1"/>
          <w:sz w:val="16"/>
          <w:szCs w:val="16"/>
        </w:rPr>
      </w:pPr>
      <w:r>
        <w:rPr>
          <w:rFonts w:ascii="Arial" w:hAnsi="Arial"/>
          <w:i/>
          <w:color w:val="0F0D29" w:themeColor="text1"/>
          <w:sz w:val="16"/>
        </w:rPr>
        <w:t>Burimi: Raporti Vjetor i ZRRE-së 2022, Shënim: Numrat u ulën në çmimet e vitit 2016</w:t>
      </w:r>
    </w:p>
    <w:p w14:paraId="41FC5C63" w14:textId="77777777" w:rsidR="005D1448" w:rsidRDefault="005D1448" w:rsidP="00F21CB4"/>
    <w:p w14:paraId="2216A48D" w14:textId="77777777" w:rsidR="003B7FFA" w:rsidRDefault="00361CB0" w:rsidP="00F21CB4">
      <w:r>
        <w:t xml:space="preserve">Krahasuar me vendet e rajonit dhe bazuar në të dhënat e publikuara nga Eurostati për gjysmën e parë të vitit 2022, Kosova ka çmimin mesatar më të ulët pa TVSH për konsumatorët familjarë. Kjo mund të shihet në </w:t>
      </w:r>
      <w:r w:rsidRPr="00976D33">
        <w:fldChar w:fldCharType="begin"/>
      </w:r>
      <w:r w:rsidRPr="00976D33">
        <w:instrText xml:space="preserve"> REF _Ref139004320 \h </w:instrText>
      </w:r>
      <w:r w:rsidR="004A7007" w:rsidRPr="00976D33">
        <w:instrText xml:space="preserve"> \* MERGEFORMAT </w:instrText>
      </w:r>
      <w:r w:rsidRPr="00976D33">
        <w:fldChar w:fldCharType="separate"/>
      </w:r>
    </w:p>
    <w:p w14:paraId="40FF91A2" w14:textId="561A264A" w:rsidR="0037748E" w:rsidRDefault="003B7FFA" w:rsidP="00F21CB4">
      <w:r>
        <w:t xml:space="preserve">Figura </w:t>
      </w:r>
      <w:r>
        <w:rPr>
          <w:noProof/>
        </w:rPr>
        <w:t>62</w:t>
      </w:r>
      <w:r w:rsidR="00361CB0" w:rsidRPr="00976D33">
        <w:fldChar w:fldCharType="end"/>
      </w:r>
      <w:r w:rsidR="00361CB0">
        <w:t xml:space="preserve"> që shfaq të dhënat e Eurostatit të kategorizuara sipas konsumit familjar ndërmjet 2500-5000 kWh/vit, për gjashtë muajt e parë të vitit 2022 për vendet e përzgjedhura:</w:t>
      </w:r>
      <w:bookmarkStart w:id="487" w:name="_Ref139004320"/>
    </w:p>
    <w:p w14:paraId="1E3FA3B4" w14:textId="15B5BB32" w:rsidR="00361CB0" w:rsidRPr="00976D33" w:rsidRDefault="00361CB0" w:rsidP="00361CB0">
      <w:pPr>
        <w:pStyle w:val="Caption"/>
      </w:pPr>
      <w:bookmarkStart w:id="488" w:name="_Toc181867265"/>
      <w:r>
        <w:t xml:space="preserve">Figura </w:t>
      </w:r>
      <w:r w:rsidRPr="00976D33">
        <w:fldChar w:fldCharType="begin"/>
      </w:r>
      <w:r w:rsidRPr="00976D33">
        <w:instrText>SEQ Figure \* ARABIC</w:instrText>
      </w:r>
      <w:r w:rsidRPr="00976D33">
        <w:fldChar w:fldCharType="separate"/>
      </w:r>
      <w:r w:rsidR="003B7FFA">
        <w:rPr>
          <w:noProof/>
        </w:rPr>
        <w:t>62</w:t>
      </w:r>
      <w:r w:rsidRPr="00976D33">
        <w:fldChar w:fldCharType="end"/>
      </w:r>
      <w:bookmarkEnd w:id="487"/>
      <w:r>
        <w:t>. Çmimet mesatare të energjisë elektrike (pa TVSH) për konsumatorët familjarë (gjysma e parë e vitit 2022)</w:t>
      </w:r>
      <w:bookmarkEnd w:id="488"/>
      <w:r>
        <w:t xml:space="preserve"> </w:t>
      </w:r>
    </w:p>
    <w:p w14:paraId="0A77F969" w14:textId="77777777" w:rsidR="00361CB0" w:rsidRPr="00976D33" w:rsidRDefault="00361CB0" w:rsidP="00361CB0">
      <w:pPr>
        <w:pStyle w:val="Caption"/>
      </w:pPr>
      <w:r>
        <w:rPr>
          <w:noProof/>
          <w:lang w:val="en-US"/>
        </w:rPr>
        <w:drawing>
          <wp:inline distT="0" distB="0" distL="0" distR="0" wp14:anchorId="6D81CDAC" wp14:editId="27BC4409">
            <wp:extent cx="6079490" cy="2460625"/>
            <wp:effectExtent l="0" t="0" r="0" b="0"/>
            <wp:docPr id="2066240928" name="Grafik 12138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079490" cy="2460625"/>
                    </a:xfrm>
                    <a:prstGeom prst="rect">
                      <a:avLst/>
                    </a:prstGeom>
                    <a:noFill/>
                    <a:ln>
                      <a:noFill/>
                    </a:ln>
                  </pic:spPr>
                </pic:pic>
              </a:graphicData>
            </a:graphic>
          </wp:inline>
        </w:drawing>
      </w:r>
    </w:p>
    <w:p w14:paraId="37A7F824" w14:textId="77777777" w:rsidR="00361CB0" w:rsidRPr="00976D33" w:rsidRDefault="00361CB0" w:rsidP="00361CB0">
      <w:pPr>
        <w:pStyle w:val="Fliesstext"/>
        <w:spacing w:before="0" w:line="240" w:lineRule="auto"/>
        <w:rPr>
          <w:rFonts w:ascii="Arial" w:eastAsiaTheme="minorEastAsia" w:hAnsi="Arial" w:cstheme="minorBidi"/>
          <w:i/>
          <w:color w:val="0F0D29" w:themeColor="text1"/>
          <w:sz w:val="16"/>
          <w:szCs w:val="16"/>
        </w:rPr>
      </w:pPr>
      <w:r>
        <w:rPr>
          <w:rFonts w:ascii="Arial" w:hAnsi="Arial"/>
          <w:i/>
          <w:color w:val="0F0D29" w:themeColor="text1"/>
          <w:sz w:val="16"/>
        </w:rPr>
        <w:t>Burimi: Eurostat, Raporti Vjetor i ZRRE-së, Shënim: brezi i konsumit me: 2,500 kWh &lt; konsumi &lt; 5,000 kWh, Shënim: Numrat u ulën në çmimet e vitit 2016</w:t>
      </w:r>
    </w:p>
    <w:p w14:paraId="41E747BF" w14:textId="77777777" w:rsidR="00361CB0" w:rsidRPr="00976D33" w:rsidRDefault="00361CB0" w:rsidP="00361CB0">
      <w:pPr>
        <w:rPr>
          <w:lang w:eastAsia="de-DE"/>
        </w:rPr>
      </w:pPr>
    </w:p>
    <w:p w14:paraId="60B83144" w14:textId="77777777" w:rsidR="00361CB0" w:rsidRPr="00976D33" w:rsidRDefault="00361CB0" w:rsidP="00361CB0">
      <w:r>
        <w:t>Struktura tarifore në vitin 2022 për të gjithë konsumatorët e rregulluar është paraqitur më poshtë. Struktura e re sipas rritjes së fundit sipas vendimit të ZRRE-së në fund të marsit të vitit 2023 nuk është publikuar në momentin e shkrimit.</w:t>
      </w:r>
    </w:p>
    <w:p w14:paraId="60769D6E" w14:textId="3FFC9029" w:rsidR="00361CB0" w:rsidRPr="00976D33" w:rsidRDefault="00361CB0" w:rsidP="00361CB0">
      <w:r>
        <w:t>Informacionet për çmimet e tjera të energjisë në Kosovë janë të pakta. Kështu që, vetëm çmimet e shitjes me pakicë për naftën janë në dispozicion, siç shfaqet më poshtë.</w:t>
      </w:r>
    </w:p>
    <w:p w14:paraId="61FB7737" w14:textId="66395852" w:rsidR="00361CB0" w:rsidRPr="00976D33" w:rsidRDefault="00361CB0" w:rsidP="00361CB0">
      <w:pPr>
        <w:pStyle w:val="Caption"/>
      </w:pPr>
      <w:bookmarkStart w:id="489" w:name="_Toc181867266"/>
      <w:r>
        <w:t xml:space="preserve">Figura </w:t>
      </w:r>
      <w:r w:rsidRPr="00976D33">
        <w:fldChar w:fldCharType="begin"/>
      </w:r>
      <w:r w:rsidRPr="00976D33">
        <w:instrText>SEQ Figure \* ARABIC</w:instrText>
      </w:r>
      <w:r w:rsidRPr="00976D33">
        <w:fldChar w:fldCharType="separate"/>
      </w:r>
      <w:r w:rsidR="003B7FFA">
        <w:rPr>
          <w:noProof/>
        </w:rPr>
        <w:t>63</w:t>
      </w:r>
      <w:r w:rsidRPr="00976D33">
        <w:fldChar w:fldCharType="end"/>
      </w:r>
      <w:r>
        <w:t>. Çmimet vjetore për naftën (2005-2021)</w:t>
      </w:r>
      <w:bookmarkEnd w:id="489"/>
    </w:p>
    <w:p w14:paraId="071960C3" w14:textId="77777777" w:rsidR="00361CB0" w:rsidRPr="00976D33" w:rsidRDefault="00361CB0" w:rsidP="00361CB0">
      <w:pPr>
        <w:pStyle w:val="Tabellenberschrift"/>
      </w:pPr>
      <w:r>
        <w:rPr>
          <w:noProof/>
          <w:lang w:val="en-US" w:eastAsia="en-US"/>
        </w:rPr>
        <w:drawing>
          <wp:inline distT="0" distB="0" distL="0" distR="0" wp14:anchorId="23B8332F" wp14:editId="775DF404">
            <wp:extent cx="5845126" cy="2309600"/>
            <wp:effectExtent l="0" t="0" r="0" b="0"/>
            <wp:docPr id="2028415924" name="Grafik 2028415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47478" cy="2310529"/>
                    </a:xfrm>
                    <a:prstGeom prst="rect">
                      <a:avLst/>
                    </a:prstGeom>
                    <a:noFill/>
                    <a:ln>
                      <a:noFill/>
                    </a:ln>
                  </pic:spPr>
                </pic:pic>
              </a:graphicData>
            </a:graphic>
          </wp:inline>
        </w:drawing>
      </w:r>
    </w:p>
    <w:p w14:paraId="73A1BBE7" w14:textId="77777777" w:rsidR="00361CB0" w:rsidRDefault="00361CB0" w:rsidP="00361CB0">
      <w:pPr>
        <w:pStyle w:val="Fliesstext"/>
        <w:spacing w:before="0" w:line="240" w:lineRule="auto"/>
        <w:rPr>
          <w:rFonts w:ascii="Arial" w:eastAsiaTheme="minorEastAsia" w:hAnsi="Arial" w:cstheme="minorBidi"/>
          <w:i/>
          <w:color w:val="0F0D29" w:themeColor="text1"/>
          <w:sz w:val="16"/>
          <w:szCs w:val="16"/>
        </w:rPr>
      </w:pPr>
      <w:r>
        <w:rPr>
          <w:rFonts w:ascii="Arial" w:hAnsi="Arial"/>
          <w:i/>
          <w:color w:val="0F0D29" w:themeColor="text1"/>
          <w:sz w:val="16"/>
        </w:rPr>
        <w:t>Burimi: ASK, Vjetari Statistikor 2022, Shënim: Numrat u ulën në çmimet e vitit 2016</w:t>
      </w:r>
    </w:p>
    <w:p w14:paraId="4CDCC205" w14:textId="77777777" w:rsidR="00FF705C" w:rsidRPr="00976D33" w:rsidRDefault="00FF705C" w:rsidP="00361CB0">
      <w:pPr>
        <w:pStyle w:val="Fliesstext"/>
        <w:spacing w:before="0" w:line="240" w:lineRule="auto"/>
        <w:rPr>
          <w:color w:val="0F0D29" w:themeColor="text1"/>
          <w:lang w:eastAsia="de-DE"/>
        </w:rPr>
      </w:pPr>
    </w:p>
    <w:p w14:paraId="1EB28D6C" w14:textId="77777777" w:rsidR="00361CB0" w:rsidRPr="00976D33" w:rsidRDefault="00361CB0" w:rsidP="00361CB0">
      <w:pPr>
        <w:pStyle w:val="Heading4"/>
      </w:pPr>
      <w:r>
        <w:lastRenderedPageBreak/>
        <w:t>Parashikimet e zhvillimit me politikat dhe masat ekzistuese të paktën deri në vitin 2040 (përfshirë vitin 2030)</w:t>
      </w:r>
    </w:p>
    <w:p w14:paraId="42E82F7E" w14:textId="77777777" w:rsidR="00361CB0" w:rsidRPr="00976D33" w:rsidRDefault="00361CB0" w:rsidP="00361CB0">
      <w:r>
        <w:t>Duke pasur parasysh nivelin e lartë të interkoneksionit të Kosovës dhe rajonit, çmimet me shumicë të energjisë elektrike janë shumë të varura nga zhvillimet ndërkombëtare. Faktorë të tjerë kyç që përcaktojnë çmimet e ardhshme të energjisë elektrike janë heqja graduale nga përdorimi i MFSH-së ekzistuese ndërmjet prodhuesit aktual të energjisë KEK-ut dhe furnizuesit KESCO-s, si dhe prezantimi i mundshme në të ardhmen i çmimit të karbonit në Kosovë dhe/ose në rajon.</w:t>
      </w:r>
    </w:p>
    <w:p w14:paraId="5A9741B3" w14:textId="78415408" w:rsidR="00361CB0" w:rsidRPr="00976D33" w:rsidRDefault="00361CB0" w:rsidP="00361CB0">
      <w:r>
        <w:t>Varësia e çmimeve nga zhvillimet ndërkombëtare ishte veçanërisht e dukshme gjatë krizës së fundit të energjisë (2022), e cila ndikoi shumë në çmimet e konsumatorëve. Si reagim, Bashkimi Evropian ndërmori hapa proaktivë për të adresuar krizën energjetike në Ballkanin Perëndimor duke miratuar Pakon për Mbështetje të Energjisë. Me një pjesë të këtyre mjeteve, Ministria e Financave, Punës dhe Transfereve e Republikës së Kosovës, në bashkëpunim me Bankën Botërore, ka lansuar programin për mbrojtjen e konsumatorëve të cenueshëm të energjisë elektrike. Ky pilot program njëvjeçar u lansua në shtator të vitit 2023 me një buxhet prej 20 milionë eurosh dhe është projektuar si subvencion financiar i drejtpërdrejtë për familjet me të ardhura mujore për kokë banori nën 150 euro. Aplikimi për skemë kontrollohet me të dhënat zyrtare tatimore , dhe ndarja bazohet më pas në testimin e mjeteve, por për shkak të mungesës së të dhënave gjithëpërfshirëse, të dhënave të brendshme, kjo qasje kombinohet me informacionin nga Skema e Ndihmës Sociale (SNS). Programi ka ngjallur interes të madh, ku mbi 61,000 ekonomi familjare kanë filluar të marrin subvencionet, të reflektuar në faturën e tyre mujore të energjisë elektrike. Disbursimet janë planifikuar në gjashtë këste gjatë gjithë vitit. Ky pilot projekt pritet të përcaktojë themelin për vendosjen e një programi të përhershëm shumëvjeçar të mbështetjes për konsumatorët të cenueshëm në Kosovë, i cili plotëson më mirë nevojat e sektorëve të popullsisë që janë në rrezik të lartë të varfërimit të energjisë. Gjithashtu, Kosova ka alokuar edhe 5 milionë euro nga fondet e marra nga Pakoja për Mbështetje të Energjisë për të mbështetur metodat alternative të ngrohjes (dru dhe pelet) për konsumatorët e cenueshëm, dhe 15 milionë euro për të mbështetur ekonomitë në subvencionimin e faturave të tyre të energjisë elektrike bazuar në kursimet mujore të konsumit nga viti në vit. Edhe pse Kosova nuk ka importe të gazit natyror, rritja e çmimit të gazit ka ndikuar dhe do të vazhdojë të ndikojë në Kosovë përmes ndikimit të saj në çmimet e importit të energjisë elektrike. Përveç kësaj, Kosova është ende duke analizuar mundësinë që t’i bashkohet me rrjetit të ardhshëm rajonal të gazit ose të (bashkë)investojë në kapacitetet gjeneruese të bazuara në gaz jashtë vendit. Prandaj, zhvillimet e çmimit të gazit natyror do të ndiqen nga afër. Një faktor tjetër për t’u marrë parasysh është niveli i çmimit të kuotave të BE-ETS (shih 4.1 ii.), i cili gjithashtu ndikon në çmimet e tregut të energjisë në BE dhe rrjedhimisht në çmimet e importit kosovar. Ndonëse nuk përfshihet në skenarët e paraqitur, prezantimi i çmimit vendor dhe/ose rajonal të karbonit do të ndikonte gjithashtu në masë të madhe në çmimet e energjisë elektrike kosovare duke marrë parasysh varësinë e vazhdueshme të saj në prodhimin me linjit.</w:t>
      </w:r>
    </w:p>
    <w:p w14:paraId="60B1F11C" w14:textId="17071106" w:rsidR="00361CB0" w:rsidRPr="00976D33" w:rsidRDefault="00361CB0" w:rsidP="00361CB0">
      <w:r>
        <w:t xml:space="preserve">Së fundi, çmimet aktuale të shitjes me pakicë përcaktohen kryesisht nga marrëveshja MFSH ndërmjet operatorit të termocentralit të linjitit KEK-ut dhe furnizuesit KESCO-s. Marrëveshja është nënshkruar në vitin 2013 si rezultat i transaksionit të privatizimit pas ndarjes së ndërmarrjes shtetërore të integruar vertikalisht KEK-ut. MFSH lejon KESCO-n të blejë të gjithë energjinë elektrike të prodhuar nga KEK-u. Në fakt, MFSH thekson se KEK-u mund ta shesë energjinë elektrike, e cila nuk kërkohet nga KESCO për blerësit e tjerë, por vetëm pasi kjo energji elektrike t’i ofrohet fillimisht KESCO-s për të furnizuar me energji elektrike konsumatorët. Arsyeja kryesore e MFSH-së ishte sigurimi i konsumatorëve me energji elektrike të përballueshme dhe mbrojtja e tyre nga çmimet e tregut rajonal si dhe sigurimi i një furnizimi të qëndrueshëm për kompaninë e sapoprivatizuar të shpërndarjes dhe furnizimit. Në anën tjetër, duke qenë se çmimet e gjenerimit në Kosovë janë de jure të parregulluara, kjo do t’ia mundësonte KEK-ut të ushtrojë fuqi të lartë tregu nëse nuk do të ishte obligimi që buron nga MFSH që t’ia ofrojë KESCO-s të gjithë energjinë e prodhuar para se të ndërmarrë ndonjë veprim të tillë. Për më tepër, meqë KEK-u është në pronësi publike me Qeverinë që ushtron të drejtat e aksionarëve, çmimet e përdoruesve fundorë gjithmonë merren parasysh kur negociohen çmimet e shitjes me shumicë. Për shkak të efektit negativ në tregje, marrëveshjet e furnizimit me shumicë ndërmjet gjeneruesve dhe furnizuesve ekzistues në përgjithësi kërkohet të ndërpriten sipas acquis të Komunitetit të Energjisë. Në këtë drejtim, në Strategjinë e Energjisë është parashikuar që gradualisht të hiqet nga përdorimi MFSH për të mundësuar dhe forcuar zhvillimin e tregut rajonal të energjisë elektrike. </w:t>
      </w:r>
    </w:p>
    <w:p w14:paraId="122B33F2" w14:textId="0524C8D5" w:rsidR="00361CB0" w:rsidRPr="00976D33" w:rsidRDefault="00361CB0" w:rsidP="00361CB0">
      <w:r>
        <w:lastRenderedPageBreak/>
        <w:t>Siç u përmend më herët, Kosova ka kapacitete të mëdha të interkoneksionit të energjisë elektrike me fqinjët e saj. Kështu, këto rrallë përdoren në masën e plotë edhe me depërtim më të lartë të ardhshëm të ripërtëritshëm. Për vitin 2030, parashikojmë norma mesatare të shfrytëzimit prej 21%, 27%, 22% dhe 8% për interkoneksionet me Shqipërinë, Maqedoninë e Veriut, Malin e Zi dhe Serbinë.</w:t>
      </w:r>
    </w:p>
    <w:p w14:paraId="6099E8B0" w14:textId="77777777" w:rsidR="003B7FFA" w:rsidRPr="00976D33" w:rsidRDefault="00361CB0" w:rsidP="003B7FFA">
      <w:r>
        <w:t>Llogaritjet e paraqitura këtu nuk përfshijnë çmimin për emetimet e karbonit në rajonin e Ballkanit Perëndimor. Prandaj, pa çmimin vendor dhe/ose rajonal të karbonit, ne projektojmë çmime me shumicë të energjisë elektrike prej rreth 47 EUR/MWh deri në vitin 2030 (49 EUR/MWh deri në vitin 2040). Duke shtuar kostot e rrjetit, si dhe tarifat dhe taksat e tjera, ne projektojmë çmime të energjisë elektrike me pakicë që mbulojnë koston prej rreth 7.9 EUR-ct për kWh deri në vitin 2030 dhe 8.2 EUR-ct për kWh deri në vitin 2040 (përfshirë TVSH-në).</w:t>
      </w:r>
      <w:r w:rsidRPr="0013570E">
        <w:rPr>
          <w:vertAlign w:val="superscript"/>
        </w:rPr>
        <w:footnoteReference w:id="45"/>
      </w:r>
      <w:r>
        <w:t xml:space="preserve"> Ndaja e komponentëve të kostos mund të shihet në </w:t>
      </w:r>
      <w:r w:rsidRPr="0013570E">
        <w:fldChar w:fldCharType="begin"/>
      </w:r>
      <w:r w:rsidRPr="0013570E">
        <w:instrText xml:space="preserve"> REF _Ref139004425 \h  \* MERGEFORMAT </w:instrText>
      </w:r>
      <w:r w:rsidRPr="0013570E">
        <w:fldChar w:fldCharType="separate"/>
      </w:r>
    </w:p>
    <w:p w14:paraId="4DE349A2" w14:textId="5E35C77C" w:rsidR="00361CB0" w:rsidRPr="00976D33" w:rsidRDefault="003B7FFA" w:rsidP="00361CB0">
      <w:r>
        <w:t>Figura 64</w:t>
      </w:r>
      <w:r w:rsidR="00361CB0" w:rsidRPr="0013570E">
        <w:fldChar w:fldCharType="end"/>
      </w:r>
      <w:r w:rsidR="00F12774">
        <w:t>. Linjiti, burimet e ripërtëritshme (BRE) dhe kostot e baterive përbëjnë së bashku çmimin e parashikuar të shitjes me shumicë, me kostot e rrjetit dhe tarifat dhe taksat e tjera (përfshirë TVSH-në) të shtuara që japin çmimin e vlerësuar me pakicë që mbulon koston. Megjithatë, këto vlerësime janë shumë të ndjeshme ndaj çmimeve vendore/rajonale si dhe evropiane të karbonit, zhvillimeve të çmimeve të gazit natyror dhe karburanteve të tjera, si dhe shkallës së liberalizimit të tregut dhe integrimit në rajon. Çmimet e tjera të lëndëve djegëses me pakicë nuk mund të vlerësohen me besueshmëri për shkak të mungesës së të dhënave.</w:t>
      </w:r>
    </w:p>
    <w:p w14:paraId="08F24AC1" w14:textId="77777777" w:rsidR="00361CB0" w:rsidRPr="00976D33" w:rsidRDefault="00361CB0" w:rsidP="00361CB0">
      <w:pPr>
        <w:pStyle w:val="Caption"/>
      </w:pPr>
      <w:bookmarkStart w:id="490" w:name="_Ref139004425"/>
    </w:p>
    <w:p w14:paraId="522A9392" w14:textId="3089AE75" w:rsidR="00361CB0" w:rsidRPr="00976D33" w:rsidRDefault="00361CB0" w:rsidP="00361CB0">
      <w:pPr>
        <w:pStyle w:val="Caption"/>
      </w:pPr>
      <w:bookmarkStart w:id="491" w:name="_Toc181867267"/>
      <w:r>
        <w:t xml:space="preserve">Figura </w:t>
      </w:r>
      <w:r w:rsidRPr="00976D33">
        <w:fldChar w:fldCharType="begin"/>
      </w:r>
      <w:r w:rsidRPr="00976D33">
        <w:instrText>SEQ Figure \* ARABIC</w:instrText>
      </w:r>
      <w:r w:rsidRPr="00976D33">
        <w:fldChar w:fldCharType="separate"/>
      </w:r>
      <w:r w:rsidR="003B7FFA">
        <w:rPr>
          <w:noProof/>
        </w:rPr>
        <w:t>64</w:t>
      </w:r>
      <w:r w:rsidRPr="00976D33">
        <w:fldChar w:fldCharType="end"/>
      </w:r>
      <w:bookmarkEnd w:id="490"/>
      <w:r>
        <w:t xml:space="preserve"> </w:t>
      </w:r>
      <w:bookmarkStart w:id="492" w:name="_Hlk137495247"/>
      <w:r>
        <w:t xml:space="preserve">Çmimi i vlerësuar me pakicë i energjisë elektrike që mbulon koston </w:t>
      </w:r>
      <w:bookmarkEnd w:id="492"/>
      <w:r>
        <w:t>(2030 dhe 2040)</w:t>
      </w:r>
      <w:bookmarkEnd w:id="491"/>
    </w:p>
    <w:p w14:paraId="3F8D0D31" w14:textId="57333C73" w:rsidR="00361CB0" w:rsidRPr="00976D33" w:rsidRDefault="000040C0" w:rsidP="00361CB0">
      <w:pPr>
        <w:pStyle w:val="Fliesstext"/>
        <w:rPr>
          <w:i/>
          <w:color w:val="0F0D29" w:themeColor="text1"/>
        </w:rPr>
      </w:pPr>
      <w:r>
        <w:rPr>
          <w:noProof/>
          <w:lang w:val="en-US"/>
        </w:rPr>
        <w:drawing>
          <wp:inline distT="0" distB="0" distL="0" distR="0" wp14:anchorId="206141CE" wp14:editId="309DD57A">
            <wp:extent cx="3578087" cy="2027109"/>
            <wp:effectExtent l="0" t="0" r="0" b="0"/>
            <wp:docPr id="17734781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593287" cy="2035720"/>
                    </a:xfrm>
                    <a:prstGeom prst="rect">
                      <a:avLst/>
                    </a:prstGeom>
                    <a:noFill/>
                    <a:ln>
                      <a:noFill/>
                    </a:ln>
                  </pic:spPr>
                </pic:pic>
              </a:graphicData>
            </a:graphic>
          </wp:inline>
        </w:drawing>
      </w:r>
    </w:p>
    <w:p w14:paraId="213FEC37" w14:textId="460C092E" w:rsidR="00361CB0" w:rsidRPr="00976D33" w:rsidRDefault="00361CB0" w:rsidP="00361CB0">
      <w:pPr>
        <w:pStyle w:val="Fliesstext"/>
        <w:spacing w:before="0" w:line="240" w:lineRule="auto"/>
        <w:rPr>
          <w:rFonts w:ascii="Arial" w:eastAsiaTheme="minorEastAsia" w:hAnsi="Arial" w:cstheme="minorBidi"/>
          <w:i/>
          <w:color w:val="0F0D29" w:themeColor="text1"/>
          <w:sz w:val="16"/>
          <w:szCs w:val="16"/>
        </w:rPr>
      </w:pPr>
      <w:r>
        <w:rPr>
          <w:rFonts w:ascii="Arial" w:hAnsi="Arial"/>
          <w:i/>
          <w:color w:val="0F0D29" w:themeColor="text1"/>
          <w:sz w:val="16"/>
        </w:rPr>
        <w:t>Burimi: Llogaritjet dhe modelimi vetanak, Shënim: Numrat në çmimet e vitit 2016.</w:t>
      </w:r>
    </w:p>
    <w:p w14:paraId="2C55C489" w14:textId="77777777" w:rsidR="00361CB0" w:rsidRPr="00976D33" w:rsidRDefault="00361CB0" w:rsidP="00361CB0">
      <w:pPr>
        <w:pStyle w:val="Fliesstext"/>
        <w:spacing w:before="0" w:line="240" w:lineRule="auto"/>
        <w:rPr>
          <w:rFonts w:ascii="Arial" w:eastAsiaTheme="minorEastAsia" w:hAnsi="Arial" w:cstheme="minorBidi"/>
          <w:i/>
          <w:color w:val="0F0D29" w:themeColor="text1"/>
          <w:sz w:val="16"/>
          <w:szCs w:val="16"/>
        </w:rPr>
      </w:pPr>
    </w:p>
    <w:p w14:paraId="71618B57" w14:textId="40236E38" w:rsidR="00361CB0" w:rsidRPr="00976D33" w:rsidRDefault="00361CB0" w:rsidP="00361CB0">
      <w:pPr>
        <w:pStyle w:val="Fliesstext"/>
        <w:spacing w:before="0" w:line="240" w:lineRule="auto"/>
      </w:pPr>
    </w:p>
    <w:p w14:paraId="462B8510" w14:textId="77777777" w:rsidR="00361CB0" w:rsidRPr="00976D33" w:rsidRDefault="00361CB0" w:rsidP="006E6E51">
      <w:pPr>
        <w:pStyle w:val="Heading2"/>
      </w:pPr>
      <w:bookmarkStart w:id="493" w:name="_Toc182302340"/>
      <w:r>
        <w:t>Dimensioni i hulumtimit, inovacionit dhe konkurrueshmërisë</w:t>
      </w:r>
      <w:bookmarkEnd w:id="493"/>
      <w:r>
        <w:t xml:space="preserve"> </w:t>
      </w:r>
    </w:p>
    <w:p w14:paraId="0E9C856A" w14:textId="67C870AB" w:rsidR="00361CB0" w:rsidRPr="00976D33" w:rsidRDefault="00361CB0" w:rsidP="00AF7BBF">
      <w:pPr>
        <w:pStyle w:val="Heading3"/>
        <w:numPr>
          <w:ilvl w:val="0"/>
          <w:numId w:val="41"/>
        </w:numPr>
      </w:pPr>
      <w:bookmarkStart w:id="494" w:name="_Toc182302341"/>
      <w:r>
        <w:t>Situata aktuale e sektorit të teknologjive me karbon të ulët</w:t>
      </w:r>
      <w:bookmarkEnd w:id="494"/>
      <w:r>
        <w:t xml:space="preserve"> </w:t>
      </w:r>
    </w:p>
    <w:p w14:paraId="25B6FBBE" w14:textId="7B0AAD34" w:rsidR="00361CB0" w:rsidRPr="00976D33" w:rsidRDefault="00361CB0" w:rsidP="00361CB0">
      <w:pPr>
        <w:rPr>
          <w:rFonts w:cstheme="minorHAnsi"/>
        </w:rPr>
      </w:pPr>
      <w:bookmarkStart w:id="495" w:name="_Hlk167605632"/>
      <w:r>
        <w:t>Pritjet e Kosovës nga ky plan përfshijnë krijimin e një sistemi të hulumtimit dhe inovacionit të aftë për të identifikuar teknologjitë më të mira të nevojshme nga industritë e saj, për të përcjellë trendët teknologjike dhe për të menaxhuar në mënyrë inovative përdorimin e teknologjive më të mira të mundshme. Kosova, si një vend i vogël, pret që nga sistemi i saj i ardhshëm i hulumtimit dhe inovacionit të mbështesë krijimin e një sistemi ekonomik fleksibil që do të arrijë punësim të plotë dhe do të përkojë me hapa më të mëdhenj drejt vendeve të industrializuara.</w:t>
      </w:r>
    </w:p>
    <w:p w14:paraId="0F2C8873" w14:textId="77777777" w:rsidR="00361CB0" w:rsidRPr="00976D33" w:rsidRDefault="00361CB0" w:rsidP="00361CB0">
      <w:pPr>
        <w:rPr>
          <w:rFonts w:cstheme="minorHAnsi"/>
        </w:rPr>
      </w:pPr>
      <w:r>
        <w:t xml:space="preserve">Zbatimi i PKEK-së ia mundëson Kosovës që të kryejë studime hulumtuese nga universitetet dhe institutet hulumtuese vendore me metoda moderne. Krijimi i një game të gjerë institutesh të ndryshme hulumtuese të lehtësuara me infrastrukturë moderne hulumtuese bën të mundur kryerjen e studimeve hulumtuese shumëdimensionale. Qeveria e Kosovës dhe organizatat ndërkombëtare që ndihmojnë Kosovën për të rritur </w:t>
      </w:r>
      <w:r>
        <w:lastRenderedPageBreak/>
        <w:t>kapacitetet e saj do të kenë mundësi të marrin studime hulumtuese me kosto vendore, pa pasur nevojë të kontaktojnë universitetet ndërkombëtare, institutet hulumtuese dhe firmat konsulente.</w:t>
      </w:r>
    </w:p>
    <w:p w14:paraId="3A7B66D7" w14:textId="77777777" w:rsidR="00361CB0" w:rsidRPr="00976D33" w:rsidRDefault="00361CB0" w:rsidP="00361CB0">
      <w:pPr>
        <w:rPr>
          <w:rFonts w:cstheme="minorHAnsi"/>
        </w:rPr>
      </w:pPr>
      <w:r>
        <w:t>Hulumtuesit kosovarë do të jenë në gjendje të adresojnë pyetje të ndryshme hulumtuese  lidhur me klimën dhe energjinë me qëllim të ofrimit të zgjidhjeve të bazuara në dëshmi për politikëbërësit dhe partnerët industrialë. Temat për hulumtim të universiteteve të Kosovës do të mbulojnë fushat më të rëndësishme në çështjet e energjisë dhe klimës.</w:t>
      </w:r>
    </w:p>
    <w:p w14:paraId="2B250F63" w14:textId="77777777" w:rsidR="00361CB0" w:rsidRPr="00976D33" w:rsidRDefault="00361CB0" w:rsidP="00361CB0">
      <w:pPr>
        <w:rPr>
          <w:rFonts w:cstheme="minorHAnsi"/>
        </w:rPr>
      </w:pPr>
      <w:r>
        <w:t>Universitetet e Kosovës do të ofrojnë studime që kanë të bëjnë me fushat e mëposhtme:</w:t>
      </w:r>
    </w:p>
    <w:p w14:paraId="47CC152B" w14:textId="77777777" w:rsidR="00361CB0" w:rsidRPr="00976D33" w:rsidRDefault="00361CB0" w:rsidP="00AF7BBF">
      <w:pPr>
        <w:pStyle w:val="ListParagraph"/>
        <w:numPr>
          <w:ilvl w:val="0"/>
          <w:numId w:val="30"/>
        </w:numPr>
        <w:spacing w:after="160" w:line="259" w:lineRule="auto"/>
        <w:rPr>
          <w:rFonts w:cstheme="minorHAnsi"/>
        </w:rPr>
      </w:pPr>
      <w:r>
        <w:t>Dekarbonizimi i sistemit elektroenergjetik,</w:t>
      </w:r>
    </w:p>
    <w:p w14:paraId="7B54E20B" w14:textId="77777777" w:rsidR="00361CB0" w:rsidRPr="00976D33" w:rsidRDefault="00361CB0" w:rsidP="00AF7BBF">
      <w:pPr>
        <w:pStyle w:val="ListParagraph"/>
        <w:numPr>
          <w:ilvl w:val="0"/>
          <w:numId w:val="30"/>
        </w:numPr>
        <w:spacing w:after="160" w:line="259" w:lineRule="auto"/>
        <w:rPr>
          <w:rFonts w:cstheme="minorHAnsi"/>
        </w:rPr>
      </w:pPr>
      <w:r>
        <w:t>Integrimi i energjive të ripërtëritshme në sistemin energjetik të Kosovës,</w:t>
      </w:r>
    </w:p>
    <w:p w14:paraId="0270AE85" w14:textId="77777777" w:rsidR="00361CB0" w:rsidRPr="00976D33" w:rsidRDefault="00361CB0" w:rsidP="00AF7BBF">
      <w:pPr>
        <w:pStyle w:val="ListParagraph"/>
        <w:numPr>
          <w:ilvl w:val="0"/>
          <w:numId w:val="30"/>
        </w:numPr>
        <w:spacing w:after="160" w:line="259" w:lineRule="auto"/>
        <w:rPr>
          <w:rFonts w:cstheme="minorHAnsi"/>
        </w:rPr>
      </w:pPr>
      <w:r>
        <w:t>Identifikimi i politikave më të mira për të mbështetur integrimin e energjive të ripërtëritshme në mënyrën më efektive dhe efikase,</w:t>
      </w:r>
    </w:p>
    <w:p w14:paraId="37E3D4CC" w14:textId="77777777" w:rsidR="00361CB0" w:rsidRPr="00976D33" w:rsidRDefault="00361CB0" w:rsidP="00AF7BBF">
      <w:pPr>
        <w:pStyle w:val="ListParagraph"/>
        <w:numPr>
          <w:ilvl w:val="0"/>
          <w:numId w:val="30"/>
        </w:numPr>
        <w:spacing w:after="160" w:line="259" w:lineRule="auto"/>
        <w:rPr>
          <w:rFonts w:cstheme="minorHAnsi"/>
        </w:rPr>
      </w:pPr>
      <w:r>
        <w:t>Kuantifikimi i kostove direkte dhe indirekte të integrimit të burimeve të ripërtëritshme,</w:t>
      </w:r>
    </w:p>
    <w:p w14:paraId="3A675D98" w14:textId="77777777" w:rsidR="00361CB0" w:rsidRPr="00976D33" w:rsidRDefault="00361CB0" w:rsidP="00AF7BBF">
      <w:pPr>
        <w:pStyle w:val="ListParagraph"/>
        <w:numPr>
          <w:ilvl w:val="0"/>
          <w:numId w:val="30"/>
        </w:numPr>
        <w:spacing w:after="160" w:line="259" w:lineRule="auto"/>
        <w:rPr>
          <w:rFonts w:cstheme="minorHAnsi"/>
        </w:rPr>
      </w:pPr>
      <w:r>
        <w:t>Ofrimi i parashikimeve të besueshme afatshkurtra dhe afatgjata të prodhimit intermitent të energjisë së ripërtëritshme,</w:t>
      </w:r>
    </w:p>
    <w:p w14:paraId="2A7E65A3" w14:textId="77777777" w:rsidR="00361CB0" w:rsidRPr="00976D33" w:rsidRDefault="00361CB0" w:rsidP="00AF7BBF">
      <w:pPr>
        <w:pStyle w:val="ListParagraph"/>
        <w:numPr>
          <w:ilvl w:val="0"/>
          <w:numId w:val="30"/>
        </w:numPr>
        <w:spacing w:after="160" w:line="259" w:lineRule="auto"/>
        <w:rPr>
          <w:rFonts w:cstheme="minorHAnsi"/>
        </w:rPr>
      </w:pPr>
      <w:r>
        <w:t>Zgjerimet dhe modernizimi i rrjetit për të përballuar dhe nxitur tranzicionin energjetik që bën të mundur një balancim efikas të rrjetit,</w:t>
      </w:r>
    </w:p>
    <w:p w14:paraId="4E0DFAC0" w14:textId="77777777" w:rsidR="00361CB0" w:rsidRPr="00976D33" w:rsidRDefault="00361CB0" w:rsidP="00AF7BBF">
      <w:pPr>
        <w:pStyle w:val="ListParagraph"/>
        <w:numPr>
          <w:ilvl w:val="0"/>
          <w:numId w:val="30"/>
        </w:numPr>
        <w:spacing w:after="160" w:line="259" w:lineRule="auto"/>
        <w:rPr>
          <w:rFonts w:cstheme="minorHAnsi"/>
        </w:rPr>
      </w:pPr>
      <w:r>
        <w:t>Integrimi dhe përdorimi i njehsorëve inteligjentë si hap i parë drejt rrjeteve inteligjente,</w:t>
      </w:r>
    </w:p>
    <w:p w14:paraId="09597E1B" w14:textId="77777777" w:rsidR="00361CB0" w:rsidRPr="00976D33" w:rsidRDefault="00361CB0" w:rsidP="00AF7BBF">
      <w:pPr>
        <w:pStyle w:val="ListParagraph"/>
        <w:numPr>
          <w:ilvl w:val="0"/>
          <w:numId w:val="30"/>
        </w:numPr>
        <w:spacing w:after="160" w:line="259" w:lineRule="auto"/>
        <w:rPr>
          <w:rFonts w:cstheme="minorHAnsi"/>
        </w:rPr>
      </w:pPr>
      <w:r>
        <w:t>Zhvillimi i kapaciteteve të ujit të pijshëm, ujitës dhe kapacitetit energjetik,</w:t>
      </w:r>
    </w:p>
    <w:p w14:paraId="494789EE" w14:textId="77777777" w:rsidR="00361CB0" w:rsidRPr="00976D33" w:rsidRDefault="00361CB0" w:rsidP="00AF7BBF">
      <w:pPr>
        <w:pStyle w:val="ListParagraph"/>
        <w:numPr>
          <w:ilvl w:val="0"/>
          <w:numId w:val="30"/>
        </w:numPr>
        <w:spacing w:after="160" w:line="259" w:lineRule="auto"/>
        <w:rPr>
          <w:rFonts w:cstheme="minorHAnsi"/>
        </w:rPr>
      </w:pPr>
      <w:r>
        <w:t>Identifikimi i mundësive për uljen e ndotjes nga prodhimi i energjisë nga thëngjilli – teknologjitë e kapjes së karbonit,</w:t>
      </w:r>
    </w:p>
    <w:p w14:paraId="58834B2C" w14:textId="77777777" w:rsidR="00361CB0" w:rsidRPr="00976D33" w:rsidRDefault="00361CB0" w:rsidP="00AF7BBF">
      <w:pPr>
        <w:pStyle w:val="ListParagraph"/>
        <w:numPr>
          <w:ilvl w:val="0"/>
          <w:numId w:val="30"/>
        </w:numPr>
        <w:spacing w:after="160" w:line="259" w:lineRule="auto"/>
        <w:rPr>
          <w:rFonts w:cstheme="minorHAnsi"/>
        </w:rPr>
      </w:pPr>
      <w:r>
        <w:t>Rritja e shfrytëzimit të kapaciteteve ekzistuese të prodhimit të energjisë,</w:t>
      </w:r>
    </w:p>
    <w:p w14:paraId="3FE7BD69" w14:textId="77777777" w:rsidR="00361CB0" w:rsidRPr="00976D33" w:rsidRDefault="00361CB0" w:rsidP="00AF7BBF">
      <w:pPr>
        <w:pStyle w:val="ListParagraph"/>
        <w:numPr>
          <w:ilvl w:val="0"/>
          <w:numId w:val="30"/>
        </w:numPr>
        <w:spacing w:after="160" w:line="259" w:lineRule="auto"/>
        <w:rPr>
          <w:rFonts w:cstheme="minorHAnsi"/>
        </w:rPr>
      </w:pPr>
      <w:r>
        <w:t>Identifikimi i mundësive për rritjen e kapaciteteve gjeneruese të PNQ-së,</w:t>
      </w:r>
    </w:p>
    <w:p w14:paraId="385A4A99" w14:textId="77777777" w:rsidR="00361CB0" w:rsidRPr="00976D33" w:rsidRDefault="00361CB0" w:rsidP="00AF7BBF">
      <w:pPr>
        <w:pStyle w:val="ListParagraph"/>
        <w:numPr>
          <w:ilvl w:val="0"/>
          <w:numId w:val="30"/>
        </w:numPr>
        <w:spacing w:after="160" w:line="259" w:lineRule="auto"/>
        <w:rPr>
          <w:rFonts w:cstheme="minorHAnsi"/>
        </w:rPr>
      </w:pPr>
      <w:r>
        <w:t>Identifikimi i teknologjive të besueshme, të përballueshme dhe neutrale ndaj klimës që zgjidhin të gjitha problemet në lidhje me ngrohjen,</w:t>
      </w:r>
    </w:p>
    <w:p w14:paraId="7AECA72C" w14:textId="77777777" w:rsidR="00361CB0" w:rsidRPr="00976D33" w:rsidRDefault="00361CB0" w:rsidP="00AF7BBF">
      <w:pPr>
        <w:pStyle w:val="ListParagraph"/>
        <w:numPr>
          <w:ilvl w:val="0"/>
          <w:numId w:val="30"/>
        </w:numPr>
        <w:spacing w:after="160" w:line="259" w:lineRule="auto"/>
        <w:rPr>
          <w:rFonts w:cstheme="minorHAnsi"/>
        </w:rPr>
      </w:pPr>
      <w:r>
        <w:t>Bashkëjetesa e energjive konvencionale dhe të ripërtëritshme,</w:t>
      </w:r>
    </w:p>
    <w:p w14:paraId="63D629C9" w14:textId="77777777" w:rsidR="00361CB0" w:rsidRPr="00976D33" w:rsidRDefault="00361CB0" w:rsidP="00AF7BBF">
      <w:pPr>
        <w:pStyle w:val="ListParagraph"/>
        <w:numPr>
          <w:ilvl w:val="0"/>
          <w:numId w:val="30"/>
        </w:numPr>
        <w:spacing w:after="160" w:line="259" w:lineRule="auto"/>
        <w:rPr>
          <w:rFonts w:cstheme="minorHAnsi"/>
        </w:rPr>
      </w:pPr>
      <w:r>
        <w:t>Identifikimi i kombinimeve të teknologjisë së prodhimit të mundshëm që sigurojnë furnizim të besueshëm dhe të përballueshëm me energji elektrike në epokën para dhe pas thëngjillit,</w:t>
      </w:r>
    </w:p>
    <w:p w14:paraId="2A0DE5F4" w14:textId="77777777" w:rsidR="00361CB0" w:rsidRPr="00976D33" w:rsidRDefault="00361CB0" w:rsidP="00AF7BBF">
      <w:pPr>
        <w:pStyle w:val="ListParagraph"/>
        <w:numPr>
          <w:ilvl w:val="0"/>
          <w:numId w:val="30"/>
        </w:numPr>
        <w:spacing w:after="160" w:line="259" w:lineRule="auto"/>
        <w:rPr>
          <w:rFonts w:cstheme="minorHAnsi"/>
        </w:rPr>
      </w:pPr>
      <w:r>
        <w:t>Identifikimi i mundësive për shfrytëzimin e thëngjillit në kohën pas thëngjillit,</w:t>
      </w:r>
    </w:p>
    <w:p w14:paraId="723B84A0" w14:textId="77777777" w:rsidR="00361CB0" w:rsidRPr="00976D33" w:rsidRDefault="00361CB0" w:rsidP="00AF7BBF">
      <w:pPr>
        <w:pStyle w:val="ListParagraph"/>
        <w:numPr>
          <w:ilvl w:val="0"/>
          <w:numId w:val="30"/>
        </w:numPr>
        <w:spacing w:after="160" w:line="259" w:lineRule="auto"/>
        <w:rPr>
          <w:rFonts w:cstheme="minorHAnsi"/>
        </w:rPr>
      </w:pPr>
      <w:r>
        <w:t>Rritja e ndërgjegjësimit për efiçiencë të energjisë,</w:t>
      </w:r>
    </w:p>
    <w:p w14:paraId="705BD6CC" w14:textId="77777777" w:rsidR="00361CB0" w:rsidRPr="00976D33" w:rsidRDefault="00361CB0" w:rsidP="00AF7BBF">
      <w:pPr>
        <w:pStyle w:val="ListParagraph"/>
        <w:numPr>
          <w:ilvl w:val="0"/>
          <w:numId w:val="30"/>
        </w:numPr>
        <w:spacing w:after="160" w:line="259" w:lineRule="auto"/>
        <w:rPr>
          <w:rFonts w:cstheme="minorHAnsi"/>
        </w:rPr>
      </w:pPr>
      <w:r>
        <w:t>Identifikimi i përmirësimeve të produktivitetit në industritë vendore nëpërmjet masave për efiçiencë të energjisë,</w:t>
      </w:r>
    </w:p>
    <w:p w14:paraId="0E4C46E0" w14:textId="77777777" w:rsidR="00361CB0" w:rsidRPr="00976D33" w:rsidRDefault="00361CB0" w:rsidP="00AF7BBF">
      <w:pPr>
        <w:pStyle w:val="ListParagraph"/>
        <w:numPr>
          <w:ilvl w:val="0"/>
          <w:numId w:val="30"/>
        </w:numPr>
        <w:spacing w:after="160" w:line="259" w:lineRule="auto"/>
        <w:rPr>
          <w:rFonts w:cstheme="minorHAnsi"/>
        </w:rPr>
      </w:pPr>
      <w:r>
        <w:t>Propozimi i masave të politikave që rrisin efiçiencën e energjisë, të cilat në të njëjtën kohë rrisin barazinë sociale dhe përmirësojnë kushtet e jetesës për fëmijët dhe, në këtë mënyrë, çojnë në rezultate më të mira të shkollimit,</w:t>
      </w:r>
    </w:p>
    <w:p w14:paraId="1F47AF1B" w14:textId="77777777" w:rsidR="00361CB0" w:rsidRPr="00976D33" w:rsidRDefault="00361CB0" w:rsidP="00AF7BBF">
      <w:pPr>
        <w:pStyle w:val="ListParagraph"/>
        <w:numPr>
          <w:ilvl w:val="0"/>
          <w:numId w:val="30"/>
        </w:numPr>
        <w:spacing w:after="160" w:line="259" w:lineRule="auto"/>
        <w:rPr>
          <w:rFonts w:cstheme="minorHAnsi"/>
        </w:rPr>
      </w:pPr>
      <w:r>
        <w:t>Zhvillimi i infrastrukturës hekurudhore,</w:t>
      </w:r>
    </w:p>
    <w:p w14:paraId="1C156D56" w14:textId="77777777" w:rsidR="00361CB0" w:rsidRPr="00976D33" w:rsidRDefault="00361CB0" w:rsidP="00AF7BBF">
      <w:pPr>
        <w:pStyle w:val="ListParagraph"/>
        <w:numPr>
          <w:ilvl w:val="0"/>
          <w:numId w:val="30"/>
        </w:numPr>
        <w:spacing w:after="160" w:line="259" w:lineRule="auto"/>
        <w:rPr>
          <w:rFonts w:cstheme="minorHAnsi"/>
        </w:rPr>
      </w:pPr>
      <w:r>
        <w:t>Zhvillimi i infrastrukturës së çiklizmit.</w:t>
      </w:r>
    </w:p>
    <w:p w14:paraId="7D103D80" w14:textId="77777777" w:rsidR="00361CB0" w:rsidRPr="00976D33" w:rsidRDefault="00361CB0" w:rsidP="00361CB0">
      <w:pPr>
        <w:pStyle w:val="Heading3"/>
      </w:pPr>
      <w:bookmarkStart w:id="496" w:name="_Toc182302342"/>
      <w:bookmarkEnd w:id="495"/>
      <w:r>
        <w:t>Niveli aktual i shpenzimeve publike dhe, kur është e disponueshme, private për hulumtim dhe inovacion për teknologjitë me karbon të ulët, numrin aktual të patentave dhe</w:t>
      </w:r>
      <w:bookmarkEnd w:id="496"/>
      <w:r>
        <w:t xml:space="preserve"> </w:t>
      </w:r>
    </w:p>
    <w:p w14:paraId="73145FB8" w14:textId="77777777" w:rsidR="00361CB0" w:rsidRPr="00976D33" w:rsidRDefault="00361CB0" w:rsidP="00361CB0">
      <w:pPr>
        <w:pStyle w:val="Heading3"/>
      </w:pPr>
      <w:bookmarkStart w:id="497" w:name="_Toc182302343"/>
      <w:r>
        <w:t>Numri aktual i hulumtuesve</w:t>
      </w:r>
      <w:bookmarkEnd w:id="497"/>
      <w:r>
        <w:t xml:space="preserve"> </w:t>
      </w:r>
    </w:p>
    <w:p w14:paraId="6FA8F85F" w14:textId="3783613A" w:rsidR="00361CB0" w:rsidRPr="00976D33" w:rsidRDefault="00361CB0" w:rsidP="00361CB0">
      <w:pPr>
        <w:rPr>
          <w:rFonts w:cstheme="minorHAnsi"/>
        </w:rPr>
      </w:pPr>
      <w:r>
        <w:t xml:space="preserve">Sipas Ligjit për Veprimtari Hulumtuese-Shkencore, buxheti për financim të hulumtimit shkencor është caktuar të jetë 0.7% e buxhetit vjetor. Megjithatë, deri më tani buxheti i ndarë për shkencën nuk e ka tejkaluar pjesën prej 0.1%. Nuk ka të dhëna për shpenzimet për aktivitete hulumtuese dhe inovative nga bizneset. </w:t>
      </w:r>
    </w:p>
    <w:p w14:paraId="404D4F52" w14:textId="4635C882" w:rsidR="00361CB0" w:rsidRPr="00976D33" w:rsidRDefault="00361CB0" w:rsidP="00361CB0">
      <w:pPr>
        <w:rPr>
          <w:rFonts w:cstheme="minorHAnsi"/>
        </w:rPr>
      </w:pPr>
      <w:r>
        <w:t>Bazuar në të dhënat e Ministrisë së Arsimit, Shkencës, Teknologjisë dhe Inovacionit, aktualisht ekziston një kornizë buxhetore, përkatësisht KASH - Korniza Afatmesme e Shpenzimeve për periudhën kohore 2021-2025 në vlerë financiare prej 371 milionë euro. Në kuadër të këtij planifikimi buxhetor, krahas aktiviteteve të tjera që dominohen nga mbështetja financiare, është edhe skema “Përmirësimi i Mjedisit të Hulumtimit dhe Inovacionit”, pra aktivitete që adresojnë në mënyrë specifike sfidat e shkencës dhe hulumtimit shkencor me ndarje buxhetore për:</w:t>
      </w:r>
    </w:p>
    <w:p w14:paraId="70E8CB89" w14:textId="185A0649" w:rsidR="00361CB0" w:rsidRPr="00976D33" w:rsidRDefault="00361CB0" w:rsidP="00AF7BBF">
      <w:pPr>
        <w:pStyle w:val="ListParagraph"/>
        <w:numPr>
          <w:ilvl w:val="0"/>
          <w:numId w:val="30"/>
        </w:numPr>
        <w:spacing w:after="160" w:line="259" w:lineRule="auto"/>
        <w:rPr>
          <w:rFonts w:cstheme="minorHAnsi"/>
        </w:rPr>
      </w:pPr>
      <w:r>
        <w:t>Krijimin e Fondit të Shkencës, i parashikuar në vlerë prej 16.5 milionë euro për periudhën 2021-2025;</w:t>
      </w:r>
    </w:p>
    <w:p w14:paraId="2DD5434D" w14:textId="50AFD6F1" w:rsidR="00361CB0" w:rsidRPr="00976D33" w:rsidRDefault="00361CB0" w:rsidP="00AF7BBF">
      <w:pPr>
        <w:pStyle w:val="ListParagraph"/>
        <w:numPr>
          <w:ilvl w:val="0"/>
          <w:numId w:val="30"/>
        </w:numPr>
        <w:spacing w:after="160" w:line="259" w:lineRule="auto"/>
        <w:rPr>
          <w:rFonts w:cstheme="minorHAnsi"/>
        </w:rPr>
      </w:pPr>
      <w:r>
        <w:lastRenderedPageBreak/>
        <w:t>Financimi i statusit të asociuar të Kosovës në Horizon Europe, në vlerë prej 5 milionë euro për periudhën 2021-2025;</w:t>
      </w:r>
    </w:p>
    <w:p w14:paraId="6983B69D" w14:textId="04D5ACC7" w:rsidR="00361CB0" w:rsidRPr="00976D33" w:rsidRDefault="00361CB0" w:rsidP="00AF7BBF">
      <w:pPr>
        <w:pStyle w:val="ListParagraph"/>
        <w:numPr>
          <w:ilvl w:val="0"/>
          <w:numId w:val="30"/>
        </w:numPr>
        <w:spacing w:after="160" w:line="259" w:lineRule="auto"/>
        <w:rPr>
          <w:rFonts w:cstheme="minorHAnsi"/>
        </w:rPr>
      </w:pPr>
      <w:r>
        <w:t>Krijimi i një fondi të posaçëm për bashkëfinancimin e projekteve hulumtuese që janë rezultat i bashkëpunimit ndërkombëtar dhe për përgatitjen e projekteve të bashkëpunimit shkencor ndërkombëtar në vlerë prej 2.2 milionë euro për periudhën 2021-2025.</w:t>
      </w:r>
    </w:p>
    <w:p w14:paraId="7D019679" w14:textId="77777777" w:rsidR="00361CB0" w:rsidRPr="00976D33" w:rsidRDefault="00361CB0" w:rsidP="00361CB0">
      <w:pPr>
        <w:rPr>
          <w:rFonts w:cstheme="minorHAnsi"/>
        </w:rPr>
      </w:pPr>
      <w:r>
        <w:t>Numri i hulumtuesve dhe numri i patentave janë përfshirë si tregues për monitorimin e zbatimit të Programit Kombëtar të Shkencës (drafti i dhjetorit të vitit 2022).</w:t>
      </w:r>
    </w:p>
    <w:p w14:paraId="40F6A04F" w14:textId="77777777" w:rsidR="00361CB0" w:rsidRPr="00976D33" w:rsidRDefault="00361CB0" w:rsidP="00361CB0">
      <w:pPr>
        <w:pStyle w:val="Heading3"/>
      </w:pPr>
      <w:bookmarkStart w:id="498" w:name="_Toc182302344"/>
      <w:r>
        <w:t>Ndarja e elementeve aktuale të çmimeve që përbëjnë tre komponentët kryesorë të çmimeve (energjia, rrjeti, taksat/tatimet)</w:t>
      </w:r>
      <w:bookmarkEnd w:id="498"/>
      <w:r>
        <w:t xml:space="preserve"> </w:t>
      </w:r>
    </w:p>
    <w:p w14:paraId="5070D662" w14:textId="77777777" w:rsidR="00361CB0" w:rsidRPr="00976D33" w:rsidRDefault="00361CB0" w:rsidP="00361CB0">
      <w:r>
        <w:t>Ju lutemi shihni shpjegimin në pjesën e mëparshme “Gjendja aktuale e tregjeve të energjisë elektrike dhe gazit, përfshirë çmimet e energjisë” në lidhje me zbërthimin e çmimit sipas tre komponentëve kryesorë.</w:t>
      </w:r>
    </w:p>
    <w:p w14:paraId="13DD45B8" w14:textId="77777777" w:rsidR="00361CB0" w:rsidRPr="00976D33" w:rsidRDefault="00361CB0" w:rsidP="00361CB0">
      <w:pPr>
        <w:pStyle w:val="Heading3"/>
      </w:pPr>
      <w:bookmarkStart w:id="499" w:name="_Toc182302345"/>
      <w:r>
        <w:t>Përshkrimi i subvencioneve të energjisë, duke përfshirë lëndët djegëse fosile</w:t>
      </w:r>
      <w:bookmarkEnd w:id="499"/>
      <w:r>
        <w:t xml:space="preserve"> </w:t>
      </w:r>
    </w:p>
    <w:p w14:paraId="2AC86EB3" w14:textId="77777777" w:rsidR="00361CB0" w:rsidRPr="00976D33" w:rsidRDefault="00361CB0" w:rsidP="00361CB0">
      <w:r>
        <w:t xml:space="preserve">Në Kosovë, ka investime në BRE që mbështeten me tarifa nxitëse. Rregulli mbi skemën mbështetëse për gjeneruesit e energjisë së ripërtëritshme përcakton madhësinë maksimale të një projekti të vetëm të pranueshëm për një skemë të tillë si në vijim: </w:t>
      </w:r>
    </w:p>
    <w:p w14:paraId="664B8E1C" w14:textId="77777777" w:rsidR="00361CB0" w:rsidRPr="00976D33" w:rsidRDefault="00361CB0" w:rsidP="00361CB0">
      <w:pPr>
        <w:pStyle w:val="ListParagraph"/>
      </w:pPr>
      <w:r>
        <w:t xml:space="preserve">3 MW për PV, </w:t>
      </w:r>
    </w:p>
    <w:p w14:paraId="7B97B424" w14:textId="77777777" w:rsidR="00361CB0" w:rsidRPr="00976D33" w:rsidRDefault="00361CB0" w:rsidP="00361CB0">
      <w:pPr>
        <w:pStyle w:val="ListParagraph"/>
      </w:pPr>
      <w:r>
        <w:t xml:space="preserve">14 MW për biomasë, </w:t>
      </w:r>
    </w:p>
    <w:p w14:paraId="05E6BF78" w14:textId="77777777" w:rsidR="00361CB0" w:rsidRPr="00976D33" w:rsidRDefault="00361CB0" w:rsidP="00361CB0">
      <w:pPr>
        <w:pStyle w:val="ListParagraph"/>
      </w:pPr>
      <w:r>
        <w:t xml:space="preserve">35 MW për erë, dhe </w:t>
      </w:r>
    </w:p>
    <w:p w14:paraId="004C11C6" w14:textId="77777777" w:rsidR="00361CB0" w:rsidRPr="00976D33" w:rsidRDefault="00361CB0" w:rsidP="00361CB0">
      <w:pPr>
        <w:pStyle w:val="ListParagraph"/>
      </w:pPr>
      <w:r>
        <w:t xml:space="preserve">10 MW për hidroenergji </w:t>
      </w:r>
    </w:p>
    <w:p w14:paraId="01528EBB" w14:textId="753C5337" w:rsidR="00361CB0" w:rsidRPr="0013570E" w:rsidRDefault="00361CB0" w:rsidP="00361CB0">
      <w:r>
        <w:t>Aktualisht, me pritshmërinë e vetë-konsumatorëve të energjisë së ripërtëritshme, premiumet nxitëse të dhëna nëpërmjet një procesi konkurrues dhe transparent të tenderimit, është e vetmja skemë mbështetëse që përdor stimuj financiarë për të arritur caqet e BRE-së. Kriteret për marrjen e kësaj mbështetjeje përjashtojnë llojet e tjera të stimujve financiarë që do të përdoren njëkohësisht për të njëjtin projekt. Aktualisht nuk ka stimuj për zbritjet tatimore apo kostot e importit për burimet e ripërtëritshme të energjisë për prodhimin e energjisë elektrike.</w:t>
      </w:r>
    </w:p>
    <w:p w14:paraId="573A5F72" w14:textId="4C9D93DD" w:rsidR="00361CB0" w:rsidRPr="00976D33" w:rsidRDefault="00361CB0" w:rsidP="00361CB0">
      <w:r>
        <w:t>Tabela e mëposhtme tregon tarifat nxitëse për prodhimin e energjisë elektrike nga BRE-të sipas teknologjisë (</w:t>
      </w:r>
      <w:r w:rsidRPr="0013570E">
        <w:fldChar w:fldCharType="begin"/>
      </w:r>
      <w:r w:rsidRPr="0013570E">
        <w:instrText xml:space="preserve"> REF _Ref69828675 \h  \* MERGEFORMAT </w:instrText>
      </w:r>
      <w:r w:rsidRPr="0013570E">
        <w:fldChar w:fldCharType="separate"/>
      </w:r>
      <w:r w:rsidR="003B7FFA">
        <w:t>Tabela 18</w:t>
      </w:r>
      <w:r w:rsidRPr="0013570E">
        <w:fldChar w:fldCharType="end"/>
      </w:r>
      <w:r>
        <w:t xml:space="preserve">). </w:t>
      </w:r>
    </w:p>
    <w:p w14:paraId="756C7383" w14:textId="5AAD17E0" w:rsidR="00361CB0" w:rsidRPr="00976D33" w:rsidRDefault="00361CB0" w:rsidP="00361CB0">
      <w:pPr>
        <w:pStyle w:val="Caption"/>
      </w:pPr>
      <w:bookmarkStart w:id="500" w:name="_Ref69828675"/>
      <w:bookmarkStart w:id="501" w:name="_Toc181867311"/>
      <w:r>
        <w:t xml:space="preserve">Tabela </w:t>
      </w:r>
      <w:r w:rsidRPr="00976D33">
        <w:fldChar w:fldCharType="begin"/>
      </w:r>
      <w:r w:rsidRPr="00976D33">
        <w:instrText>SEQ Table \* ARABIC</w:instrText>
      </w:r>
      <w:r w:rsidRPr="00976D33">
        <w:fldChar w:fldCharType="separate"/>
      </w:r>
      <w:r w:rsidR="003B7FFA">
        <w:rPr>
          <w:noProof/>
        </w:rPr>
        <w:t>18</w:t>
      </w:r>
      <w:r w:rsidRPr="00976D33">
        <w:fldChar w:fldCharType="end"/>
      </w:r>
      <w:bookmarkEnd w:id="500"/>
      <w:r>
        <w:t>. Tarifat nxitëse të BRE-ve sipas teknologjisë</w:t>
      </w:r>
      <w:bookmarkEnd w:id="501"/>
      <w:r>
        <w:t xml:space="preserve"> </w:t>
      </w:r>
    </w:p>
    <w:tbl>
      <w:tblPr>
        <w:tblStyle w:val="GridTable5Dark-Accent1"/>
        <w:tblW w:w="0" w:type="auto"/>
        <w:tblInd w:w="2245" w:type="dxa"/>
        <w:tblLook w:val="04A0" w:firstRow="1" w:lastRow="0" w:firstColumn="1" w:lastColumn="0" w:noHBand="0" w:noVBand="1"/>
      </w:tblPr>
      <w:tblGrid>
        <w:gridCol w:w="2537"/>
        <w:gridCol w:w="1693"/>
      </w:tblGrid>
      <w:tr w:rsidR="00361CB0" w:rsidRPr="00976D33" w14:paraId="29EB3AC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vAlign w:val="center"/>
          </w:tcPr>
          <w:p w14:paraId="5C98589B" w14:textId="77777777" w:rsidR="00361CB0" w:rsidRPr="00976D33" w:rsidRDefault="00361CB0">
            <w:pPr>
              <w:contextualSpacing/>
              <w:jc w:val="center"/>
              <w:rPr>
                <w:color w:val="FFFFFF" w:themeColor="background1"/>
              </w:rPr>
            </w:pPr>
            <w:r>
              <w:rPr>
                <w:color w:val="FFFFFF" w:themeColor="background1"/>
              </w:rPr>
              <w:t>Teknologjia e BRE-ve</w:t>
            </w:r>
          </w:p>
        </w:tc>
        <w:tc>
          <w:tcPr>
            <w:tcW w:w="1693" w:type="dxa"/>
            <w:vAlign w:val="center"/>
          </w:tcPr>
          <w:p w14:paraId="5B8C216D" w14:textId="77777777" w:rsidR="00361CB0" w:rsidRPr="00976D33" w:rsidRDefault="00361CB0">
            <w:pPr>
              <w:contextualSpacing/>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EUR/MWh</w:t>
            </w:r>
          </w:p>
        </w:tc>
      </w:tr>
      <w:tr w:rsidR="00361CB0" w:rsidRPr="00976D33" w14:paraId="38BC708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vAlign w:val="center"/>
          </w:tcPr>
          <w:p w14:paraId="40399DA9" w14:textId="77777777" w:rsidR="00361CB0" w:rsidRPr="00976D33" w:rsidRDefault="00361CB0">
            <w:pPr>
              <w:contextualSpacing/>
              <w:jc w:val="center"/>
              <w:rPr>
                <w:color w:val="FFFFFF" w:themeColor="background1"/>
              </w:rPr>
            </w:pPr>
            <w:r>
              <w:rPr>
                <w:color w:val="FFFFFF" w:themeColor="background1"/>
              </w:rPr>
              <w:t>Era</w:t>
            </w:r>
          </w:p>
        </w:tc>
        <w:tc>
          <w:tcPr>
            <w:tcW w:w="1693" w:type="dxa"/>
            <w:vAlign w:val="center"/>
          </w:tcPr>
          <w:p w14:paraId="7D6221ED" w14:textId="77777777" w:rsidR="00361CB0" w:rsidRPr="00976D33" w:rsidRDefault="00361CB0">
            <w:pPr>
              <w:contextualSpacing/>
              <w:jc w:val="right"/>
              <w:cnfStyle w:val="000000100000" w:firstRow="0" w:lastRow="0" w:firstColumn="0" w:lastColumn="0" w:oddVBand="0" w:evenVBand="0" w:oddHBand="1" w:evenHBand="0" w:firstRowFirstColumn="0" w:firstRowLastColumn="0" w:lastRowFirstColumn="0" w:lastRowLastColumn="0"/>
            </w:pPr>
            <w:r>
              <w:t>85.00</w:t>
            </w:r>
          </w:p>
        </w:tc>
      </w:tr>
      <w:tr w:rsidR="00361CB0" w:rsidRPr="00976D33" w14:paraId="70D72693" w14:textId="77777777">
        <w:tc>
          <w:tcPr>
            <w:cnfStyle w:val="001000000000" w:firstRow="0" w:lastRow="0" w:firstColumn="1" w:lastColumn="0" w:oddVBand="0" w:evenVBand="0" w:oddHBand="0" w:evenHBand="0" w:firstRowFirstColumn="0" w:firstRowLastColumn="0" w:lastRowFirstColumn="0" w:lastRowLastColumn="0"/>
            <w:tcW w:w="2537" w:type="dxa"/>
            <w:vAlign w:val="center"/>
          </w:tcPr>
          <w:p w14:paraId="303555B1" w14:textId="77777777" w:rsidR="00361CB0" w:rsidRPr="00976D33" w:rsidRDefault="00361CB0">
            <w:pPr>
              <w:contextualSpacing/>
              <w:jc w:val="center"/>
              <w:rPr>
                <w:color w:val="FFFFFF" w:themeColor="background1"/>
              </w:rPr>
            </w:pPr>
            <w:r>
              <w:rPr>
                <w:color w:val="FFFFFF" w:themeColor="background1"/>
              </w:rPr>
              <w:t>PV</w:t>
            </w:r>
          </w:p>
        </w:tc>
        <w:tc>
          <w:tcPr>
            <w:tcW w:w="1693" w:type="dxa"/>
            <w:vAlign w:val="center"/>
          </w:tcPr>
          <w:p w14:paraId="092523B2" w14:textId="77777777" w:rsidR="00361CB0" w:rsidRPr="00976D33" w:rsidRDefault="00361CB0">
            <w:pPr>
              <w:contextualSpacing/>
              <w:jc w:val="right"/>
              <w:cnfStyle w:val="000000000000" w:firstRow="0" w:lastRow="0" w:firstColumn="0" w:lastColumn="0" w:oddVBand="0" w:evenVBand="0" w:oddHBand="0" w:evenHBand="0" w:firstRowFirstColumn="0" w:firstRowLastColumn="0" w:lastRowFirstColumn="0" w:lastRowLastColumn="0"/>
            </w:pPr>
            <w:r>
              <w:t>136.40</w:t>
            </w:r>
          </w:p>
        </w:tc>
      </w:tr>
      <w:tr w:rsidR="00361CB0" w:rsidRPr="00976D33" w14:paraId="7E89591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vAlign w:val="center"/>
          </w:tcPr>
          <w:p w14:paraId="08EFB71D" w14:textId="77777777" w:rsidR="00361CB0" w:rsidRPr="00976D33" w:rsidRDefault="00361CB0">
            <w:pPr>
              <w:contextualSpacing/>
              <w:jc w:val="center"/>
              <w:rPr>
                <w:color w:val="FFFFFF" w:themeColor="background1"/>
              </w:rPr>
            </w:pPr>
            <w:r>
              <w:rPr>
                <w:color w:val="FFFFFF" w:themeColor="background1"/>
              </w:rPr>
              <w:t>Hidrocentrali i vogël</w:t>
            </w:r>
          </w:p>
        </w:tc>
        <w:tc>
          <w:tcPr>
            <w:tcW w:w="1693" w:type="dxa"/>
            <w:vAlign w:val="center"/>
          </w:tcPr>
          <w:p w14:paraId="6F50819D" w14:textId="77777777" w:rsidR="00361CB0" w:rsidRPr="00976D33" w:rsidRDefault="00361CB0">
            <w:pPr>
              <w:contextualSpacing/>
              <w:jc w:val="right"/>
              <w:cnfStyle w:val="000000100000" w:firstRow="0" w:lastRow="0" w:firstColumn="0" w:lastColumn="0" w:oddVBand="0" w:evenVBand="0" w:oddHBand="1" w:evenHBand="0" w:firstRowFirstColumn="0" w:firstRowLastColumn="0" w:lastRowFirstColumn="0" w:lastRowLastColumn="0"/>
            </w:pPr>
            <w:r>
              <w:t>67.47</w:t>
            </w:r>
          </w:p>
        </w:tc>
      </w:tr>
      <w:tr w:rsidR="00361CB0" w:rsidRPr="00976D33" w14:paraId="1097DE4F" w14:textId="77777777">
        <w:tc>
          <w:tcPr>
            <w:cnfStyle w:val="001000000000" w:firstRow="0" w:lastRow="0" w:firstColumn="1" w:lastColumn="0" w:oddVBand="0" w:evenVBand="0" w:oddHBand="0" w:evenHBand="0" w:firstRowFirstColumn="0" w:firstRowLastColumn="0" w:lastRowFirstColumn="0" w:lastRowLastColumn="0"/>
            <w:tcW w:w="2537" w:type="dxa"/>
            <w:vAlign w:val="center"/>
          </w:tcPr>
          <w:p w14:paraId="762AFD40" w14:textId="77777777" w:rsidR="00361CB0" w:rsidRPr="00976D33" w:rsidRDefault="00361CB0">
            <w:pPr>
              <w:contextualSpacing/>
              <w:jc w:val="center"/>
              <w:rPr>
                <w:color w:val="FFFFFF" w:themeColor="background1"/>
              </w:rPr>
            </w:pPr>
            <w:r>
              <w:rPr>
                <w:color w:val="FFFFFF" w:themeColor="background1"/>
              </w:rPr>
              <w:t>Biomasa</w:t>
            </w:r>
          </w:p>
        </w:tc>
        <w:tc>
          <w:tcPr>
            <w:tcW w:w="1693" w:type="dxa"/>
            <w:vAlign w:val="center"/>
          </w:tcPr>
          <w:p w14:paraId="6A4267E0" w14:textId="77777777" w:rsidR="00361CB0" w:rsidRPr="00976D33" w:rsidRDefault="00361CB0">
            <w:pPr>
              <w:contextualSpacing/>
              <w:jc w:val="right"/>
              <w:cnfStyle w:val="000000000000" w:firstRow="0" w:lastRow="0" w:firstColumn="0" w:lastColumn="0" w:oddVBand="0" w:evenVBand="0" w:oddHBand="0" w:evenHBand="0" w:firstRowFirstColumn="0" w:firstRowLastColumn="0" w:lastRowFirstColumn="0" w:lastRowLastColumn="0"/>
            </w:pPr>
            <w:r>
              <w:t>71.30</w:t>
            </w:r>
          </w:p>
        </w:tc>
      </w:tr>
    </w:tbl>
    <w:p w14:paraId="2D383FB0" w14:textId="77777777" w:rsidR="00361CB0" w:rsidRPr="00976D33" w:rsidRDefault="00361CB0" w:rsidP="00361CB0">
      <w:pPr>
        <w:pStyle w:val="BodyText"/>
      </w:pPr>
      <w:r>
        <w:t>Burimi: Raporti Vjetor 2021, ZRRE</w:t>
      </w:r>
    </w:p>
    <w:p w14:paraId="50ED4D6E" w14:textId="24491D99" w:rsidR="00FD3BFB" w:rsidRPr="00976D33" w:rsidRDefault="00361CB0" w:rsidP="00FD3BFB">
      <w:pPr>
        <w:sectPr w:rsidR="00FD3BFB" w:rsidRPr="00976D33" w:rsidSect="007E6A8A">
          <w:headerReference w:type="default" r:id="rId99"/>
          <w:footnotePr>
            <w:numRestart w:val="eachSect"/>
          </w:footnotePr>
          <w:pgSz w:w="11906" w:h="16838" w:code="9"/>
          <w:pgMar w:top="1469" w:right="1022" w:bottom="1138" w:left="1310" w:header="1001" w:footer="720" w:gutter="0"/>
          <w:cols w:space="720"/>
        </w:sectPr>
      </w:pPr>
      <w:r>
        <w:t>Zbatimi i skemës mbështetëse të tarifave nxitëse mundësohet nëpërmjet fondit të BRE-ve që menaxhohet nga operatori i tregut. Mbështetja me mekanizmin e premiumeve nxitëse (kontrata për ndryshimin) jepet përmes ankandit për ndërtimin e termocentraleve 100 MW. Në mars të vitit 2024, një konsorcium i udhëhequr nga kompania ndërtimore me bazë në Zvicër, Orllati, u zgjodh për të ndërtuar dhe operuar me një park solar deri në 105 MW në kapacitet lidhjeje për 30 vjet, duke përfshirë një kontratë 15-vjeçare për ndryshimin. Grupi e fitoi ankandin e parë të energjisë elektrike të ripërtëritshme në Kosovë me një ofertë prej 48.88 EUR/MWh</w:t>
      </w:r>
    </w:p>
    <w:p w14:paraId="01B25C96" w14:textId="77777777" w:rsidR="00FD3BFB" w:rsidRPr="00976D33" w:rsidRDefault="00FD3BFB" w:rsidP="006E6E51">
      <w:pPr>
        <w:pStyle w:val="Heading1"/>
        <w:rPr>
          <w:sz w:val="40"/>
          <w:szCs w:val="22"/>
        </w:rPr>
      </w:pPr>
      <w:bookmarkStart w:id="502" w:name="_Toc182302346"/>
      <w:r>
        <w:rPr>
          <w:sz w:val="40"/>
        </w:rPr>
        <w:lastRenderedPageBreak/>
        <w:t>VLERËSIMI I NDIKIMIT TË POLITIKAVE DHE MASAVE TË PLANIFIKUARA ME POLITIKAT DHE MASAT EKZISTUESE</w:t>
      </w:r>
      <w:bookmarkEnd w:id="502"/>
    </w:p>
    <w:p w14:paraId="329684C4" w14:textId="7272976A" w:rsidR="00FD3BFB" w:rsidRPr="00976D33" w:rsidRDefault="00FD3BFB" w:rsidP="006E6E51">
      <w:pPr>
        <w:pStyle w:val="Heading2"/>
      </w:pPr>
      <w:bookmarkStart w:id="503" w:name="_Toc182302347"/>
      <w:r>
        <w:t>Ndikimet e politikave dhe masave në sistemin energjetik dhe emetimet dhe largimet e GS-ve, duke përfshirë krahasimin e projeksioneve me politikat dhe masat ekzistuese</w:t>
      </w:r>
      <w:bookmarkEnd w:id="503"/>
      <w:r>
        <w:t xml:space="preserve"> </w:t>
      </w:r>
    </w:p>
    <w:p w14:paraId="0DF0908B" w14:textId="63A390E9" w:rsidR="00FD3BFB" w:rsidRPr="00976D33" w:rsidRDefault="00FD3BFB" w:rsidP="00FD3BFB">
      <w:r>
        <w:t xml:space="preserve">Ky kapitull përshkruan ndikimet e politikave dhe masave të planifikuara të përfshira në skenar me masa shtesë (WAM) në sistemin energjetik dhe emetimet e GS-ve, duke përfshirë gjithashtu një krahasim me projeksionet për skenarin WEM. Në skenarin WAM, parashikohen masa shtesë dhe versione më ambicioze të masave WEM, siç përshkruhet më në detaje në kapitullin 3. </w:t>
      </w:r>
    </w:p>
    <w:p w14:paraId="6ADDB12C" w14:textId="7CED608F" w:rsidR="00FD3BFB" w:rsidRPr="00976D33" w:rsidRDefault="00FD3BFB" w:rsidP="00AF7BBF">
      <w:pPr>
        <w:pStyle w:val="Heading3"/>
        <w:numPr>
          <w:ilvl w:val="0"/>
          <w:numId w:val="63"/>
        </w:numPr>
      </w:pPr>
      <w:bookmarkStart w:id="504" w:name="_Toc182302348"/>
      <w:r>
        <w:t>Projeksionet e zhvillimit të sistemit energjetik dhe emetimet dhe largimet e GS-ve</w:t>
      </w:r>
      <w:bookmarkEnd w:id="504"/>
    </w:p>
    <w:p w14:paraId="55E2D753" w14:textId="77777777" w:rsidR="00FD3BFB" w:rsidRPr="00976D33" w:rsidRDefault="00FD3BFB" w:rsidP="00FD3BFB">
      <w:pPr>
        <w:pStyle w:val="Heading3"/>
        <w:numPr>
          <w:ilvl w:val="0"/>
          <w:numId w:val="0"/>
        </w:numPr>
        <w:ind w:left="720" w:hanging="720"/>
        <w:rPr>
          <w:b/>
          <w:i/>
          <w:szCs w:val="22"/>
        </w:rPr>
      </w:pPr>
      <w:bookmarkStart w:id="505" w:name="_Toc137677738"/>
      <w:bookmarkStart w:id="506" w:name="_Toc182302349"/>
      <w:r>
        <w:rPr>
          <w:b/>
          <w:i/>
        </w:rPr>
        <w:t>Dimensioni i dekarbonizimit</w:t>
      </w:r>
      <w:bookmarkEnd w:id="505"/>
      <w:bookmarkEnd w:id="506"/>
    </w:p>
    <w:p w14:paraId="7A6B6C2E" w14:textId="131327C5" w:rsidR="00FD3BFB" w:rsidRPr="00976D33" w:rsidRDefault="00FD3BFB" w:rsidP="00FD3BFB">
      <w:r>
        <w:t xml:space="preserve">Në skenarin WAM parashikohet që Kosova të reduktojë emetimet e saj të GS-ve për </w:t>
      </w:r>
      <w:r>
        <w:rPr>
          <w:rFonts w:ascii="Calibri" w:hAnsi="Calibri"/>
          <w:color w:val="000000"/>
          <w:sz w:val="22"/>
        </w:rPr>
        <w:t>43</w:t>
      </w:r>
      <w:r>
        <w:t>% në vitin 2030, krahasuar me nivelet e vitit 2016 (</w:t>
      </w:r>
      <w:r w:rsidR="001027CA" w:rsidRPr="00976D33">
        <w:fldChar w:fldCharType="begin"/>
      </w:r>
      <w:r w:rsidR="001027CA" w:rsidRPr="00976D33">
        <w:instrText xml:space="preserve"> REF _Ref69821724 \h </w:instrText>
      </w:r>
      <w:r w:rsidR="004A7007" w:rsidRPr="00976D33">
        <w:instrText xml:space="preserve"> \* MERGEFORMAT </w:instrText>
      </w:r>
      <w:r w:rsidR="001027CA" w:rsidRPr="00976D33">
        <w:fldChar w:fldCharType="separate"/>
      </w:r>
      <w:r w:rsidR="003B7FFA">
        <w:t>Figura 9</w:t>
      </w:r>
      <w:r w:rsidR="001027CA" w:rsidRPr="00976D33">
        <w:fldChar w:fldCharType="end"/>
      </w:r>
      <w:r>
        <w:t>). Në fakt, sipas projeksioneve në skenarin WAM, vlerësohet se emetimet në Kosovë do të ulen në 6,225 ktCO</w:t>
      </w:r>
      <w:r>
        <w:rPr>
          <w:vertAlign w:val="subscript"/>
        </w:rPr>
        <w:t>2</w:t>
      </w:r>
      <w:r>
        <w:t>-eq në vitin 2030 (</w:t>
      </w:r>
      <w:r w:rsidRPr="00976D33">
        <w:fldChar w:fldCharType="begin"/>
      </w:r>
      <w:r w:rsidRPr="00976D33">
        <w:instrText xml:space="preserve"> REF _Ref138120344 \h  \* MERGEFORMAT </w:instrText>
      </w:r>
      <w:r w:rsidRPr="00976D33">
        <w:fldChar w:fldCharType="separate"/>
      </w:r>
      <w:r w:rsidR="003B7FFA">
        <w:t>Figura 65</w:t>
      </w:r>
      <w:r w:rsidRPr="00976D33">
        <w:fldChar w:fldCharType="end"/>
      </w:r>
      <w:r>
        <w:t>). Krahasuar me nivelet e WEM, kjo korrespondon me 1,462 ktCO</w:t>
      </w:r>
      <w:r>
        <w:rPr>
          <w:vertAlign w:val="subscript"/>
        </w:rPr>
        <w:t>2</w:t>
      </w:r>
      <w:r>
        <w:t>eq ose 19% ulje të emetimeve në vitin 2030, ndërsa në vitin 2040 ulja e emetimeve është 2,241 ktCO</w:t>
      </w:r>
      <w:r>
        <w:rPr>
          <w:vertAlign w:val="subscript"/>
        </w:rPr>
        <w:t>2</w:t>
      </w:r>
      <w:r>
        <w:t>-eq (-32% kundrejt WEM).</w:t>
      </w:r>
    </w:p>
    <w:p w14:paraId="67A013F4" w14:textId="30524EBF" w:rsidR="00FD3BFB" w:rsidRPr="00E30342" w:rsidRDefault="00FD3BFB" w:rsidP="00E30342">
      <w:pPr>
        <w:pStyle w:val="Caption"/>
      </w:pPr>
      <w:bookmarkStart w:id="507" w:name="_Ref138120344"/>
      <w:bookmarkStart w:id="508" w:name="_Toc181867268"/>
      <w:r>
        <w:t xml:space="preserve">Figura </w:t>
      </w:r>
      <w:r w:rsidRPr="008C14F9">
        <w:fldChar w:fldCharType="begin"/>
      </w:r>
      <w:r w:rsidRPr="008C14F9">
        <w:instrText>SEQ Figure \* ARABIC</w:instrText>
      </w:r>
      <w:r w:rsidRPr="008C14F9">
        <w:fldChar w:fldCharType="separate"/>
      </w:r>
      <w:r w:rsidR="003B7FFA">
        <w:rPr>
          <w:noProof/>
        </w:rPr>
        <w:t>65</w:t>
      </w:r>
      <w:r w:rsidRPr="008C14F9">
        <w:fldChar w:fldCharType="end"/>
      </w:r>
      <w:bookmarkEnd w:id="507"/>
      <w:r>
        <w:t>. Emetimet e GS-ve (në pikën e shkarkimeve) – Krahasimi ndërmjet skenarëve WAM dhe WEM</w:t>
      </w:r>
      <w:bookmarkEnd w:id="508"/>
      <w:r>
        <w:t xml:space="preserve"> </w:t>
      </w:r>
    </w:p>
    <w:p w14:paraId="5D599A90" w14:textId="64975F88" w:rsidR="00437AA9" w:rsidRPr="00976D33" w:rsidRDefault="00437AA9" w:rsidP="006E6E51">
      <w:pPr>
        <w:spacing w:after="0"/>
      </w:pPr>
      <w:r>
        <w:rPr>
          <w:noProof/>
          <w:lang w:val="en-US"/>
        </w:rPr>
        <w:drawing>
          <wp:inline distT="0" distB="0" distL="0" distR="0" wp14:anchorId="2D37CA3C" wp14:editId="6BC230C1">
            <wp:extent cx="5470497" cy="2560403"/>
            <wp:effectExtent l="0" t="0" r="0" b="0"/>
            <wp:docPr id="778842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74343" cy="2562203"/>
                    </a:xfrm>
                    <a:prstGeom prst="rect">
                      <a:avLst/>
                    </a:prstGeom>
                    <a:noFill/>
                    <a:ln>
                      <a:noFill/>
                    </a:ln>
                  </pic:spPr>
                </pic:pic>
              </a:graphicData>
            </a:graphic>
          </wp:inline>
        </w:drawing>
      </w:r>
    </w:p>
    <w:p w14:paraId="032A77C6" w14:textId="77777777" w:rsidR="00FD3BFB" w:rsidRPr="00976D33" w:rsidRDefault="00FD3BFB" w:rsidP="00FD3BFB">
      <w:pPr>
        <w:spacing w:before="0"/>
        <w:rPr>
          <w:i/>
          <w:sz w:val="16"/>
          <w:szCs w:val="16"/>
        </w:rPr>
      </w:pPr>
      <w:r>
        <w:rPr>
          <w:i/>
          <w:sz w:val="16"/>
        </w:rPr>
        <w:t>Burimi: llogaritjet dhe modelimi vetanak</w:t>
      </w:r>
    </w:p>
    <w:p w14:paraId="1DFB033C" w14:textId="23F51886" w:rsidR="002227DE" w:rsidRPr="00976D33" w:rsidRDefault="00FD3BFB" w:rsidP="00FD3BFB">
      <w:r>
        <w:t>Pavarësisht shtrirjes fillestare, trajektoret zbritëse të emetimeve të të dy skenarëve WEM dhe WAM parashikohen të ndryshojnë në mënyrë progresive deri në vitin 2040. Ndikimet e politikave dhe masave në skenarin WAM pritet të rezultojnë në reduktim të konsiderueshëm të emetimeve në sektorin e prodhimit të energjisë dhe rritje të konsiderueshme të kapacitetit të sekuestrimit të karbonit në sektorin e BPPTT-së. Në fakt, në vitin 2030, politika dhe masa shtesë në këta sektorë parashikohen të reduktojnë emetimet në 630 përkatësisht 713 ktCO</w:t>
      </w:r>
      <w:r>
        <w:rPr>
          <w:vertAlign w:val="subscript"/>
        </w:rPr>
        <w:t>2</w:t>
      </w:r>
      <w:r>
        <w:t>eq (</w:t>
      </w:r>
      <w:r w:rsidRPr="00976D33">
        <w:fldChar w:fldCharType="begin"/>
      </w:r>
      <w:r w:rsidRPr="00976D33">
        <w:instrText xml:space="preserve"> REF _Ref138120954 \h </w:instrText>
      </w:r>
      <w:r w:rsidR="004A7007" w:rsidRPr="00976D33">
        <w:instrText xml:space="preserve"> \* MERGEFORMAT </w:instrText>
      </w:r>
      <w:r w:rsidRPr="00976D33">
        <w:fldChar w:fldCharType="separate"/>
      </w:r>
      <w:r w:rsidR="003B7FFA">
        <w:t>Figura 66</w:t>
      </w:r>
      <w:r w:rsidRPr="00976D33">
        <w:fldChar w:fldCharType="end"/>
      </w:r>
      <w:r>
        <w:t>). Reduktimi i emetimeve në sektorin e prodhimit të energjisë elektrike duke filluar nga viti 2025/2026 mund t’i atribuohet më së shumti instalimit të BRE-ve dhe përfitimeve të efiçiencës së njësive të termocentraleve me linjitit që vijnë nga punimet e rinovimit.</w:t>
      </w:r>
    </w:p>
    <w:p w14:paraId="7E009FDA" w14:textId="77777777" w:rsidR="005969E0" w:rsidRPr="00976D33" w:rsidRDefault="005969E0" w:rsidP="00FD3BFB">
      <w:pPr>
        <w:rPr>
          <w:lang w:eastAsia="en-GB"/>
        </w:rPr>
      </w:pPr>
    </w:p>
    <w:p w14:paraId="6088B394" w14:textId="6F1A578F" w:rsidR="00FD3BFB" w:rsidRPr="00976D33" w:rsidRDefault="00FD3BFB" w:rsidP="00FD3BFB">
      <w:pPr>
        <w:pStyle w:val="Caption"/>
      </w:pPr>
      <w:bookmarkStart w:id="509" w:name="_Ref138120954"/>
      <w:bookmarkStart w:id="510" w:name="_Toc181867269"/>
      <w:r>
        <w:lastRenderedPageBreak/>
        <w:t xml:space="preserve">Figura </w:t>
      </w:r>
      <w:r w:rsidRPr="00976D33">
        <w:fldChar w:fldCharType="begin"/>
      </w:r>
      <w:r w:rsidRPr="00976D33">
        <w:instrText>SEQ Figure \* ARABIC</w:instrText>
      </w:r>
      <w:r w:rsidRPr="00976D33">
        <w:fldChar w:fldCharType="separate"/>
      </w:r>
      <w:r w:rsidR="003B7FFA">
        <w:rPr>
          <w:noProof/>
        </w:rPr>
        <w:t>66</w:t>
      </w:r>
      <w:r w:rsidRPr="00976D33">
        <w:fldChar w:fldCharType="end"/>
      </w:r>
      <w:bookmarkEnd w:id="509"/>
      <w:r>
        <w:t>. Emetimet e GS-ve (në pikën e shkarkimeve) – Skenari WAM sipas sektorit dhe ndryshimet me skenarin WEM</w:t>
      </w:r>
      <w:bookmarkEnd w:id="510"/>
    </w:p>
    <w:p w14:paraId="0DF456C1" w14:textId="307691AC" w:rsidR="00DA37BB" w:rsidRPr="008C14F9" w:rsidRDefault="00DA37BB" w:rsidP="00FD3BFB">
      <w:pPr>
        <w:rPr>
          <w:iCs/>
        </w:rPr>
      </w:pPr>
      <w:r>
        <w:rPr>
          <w:noProof/>
          <w:lang w:val="en-US"/>
        </w:rPr>
        <w:drawing>
          <wp:inline distT="0" distB="0" distL="0" distR="0" wp14:anchorId="632B172D" wp14:editId="665D5D8F">
            <wp:extent cx="6079490" cy="2753360"/>
            <wp:effectExtent l="0" t="0" r="0" b="0"/>
            <wp:docPr id="12288810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079490" cy="2753360"/>
                    </a:xfrm>
                    <a:prstGeom prst="rect">
                      <a:avLst/>
                    </a:prstGeom>
                    <a:noFill/>
                    <a:ln>
                      <a:noFill/>
                    </a:ln>
                  </pic:spPr>
                </pic:pic>
              </a:graphicData>
            </a:graphic>
          </wp:inline>
        </w:drawing>
      </w:r>
    </w:p>
    <w:p w14:paraId="7009AEF8" w14:textId="0DB38850" w:rsidR="00FD3BFB" w:rsidRPr="00976D33" w:rsidRDefault="00FD3BFB" w:rsidP="00FD3BFB">
      <w:pPr>
        <w:spacing w:before="0"/>
        <w:rPr>
          <w:i/>
          <w:sz w:val="16"/>
          <w:szCs w:val="16"/>
        </w:rPr>
      </w:pPr>
      <w:r>
        <w:rPr>
          <w:i/>
          <w:sz w:val="16"/>
        </w:rPr>
        <w:t>Burimi: llogaritjet dhe modelimi vetanak</w:t>
      </w:r>
    </w:p>
    <w:p w14:paraId="3E8A4193" w14:textId="22064583" w:rsidR="00FD3BFB" w:rsidRPr="00976D33" w:rsidRDefault="00FD3BFB" w:rsidP="00FD3BFB">
      <w:pPr>
        <w:rPr>
          <w:rFonts w:eastAsia="Times New Roman" w:cs="Calibri"/>
        </w:rPr>
      </w:pPr>
      <w:r>
        <w:t>Sektori i bujqësisë është emetues neto pozitiv, ndërsa sektori i pylltarisë dhe i përdorimit të tokës (FOLU) emetues neto negativ. Në vitin 2030, në skenarin WAM, me një sekuestrim prej 995 ktCO</w:t>
      </w:r>
      <w:r>
        <w:rPr>
          <w:vertAlign w:val="subscript"/>
        </w:rPr>
        <w:t>2</w:t>
      </w:r>
      <w:r>
        <w:t>eq (</w:t>
      </w:r>
      <w:r w:rsidRPr="00976D33">
        <w:rPr>
          <w:rFonts w:eastAsia="Times New Roman" w:cs="Calibri"/>
        </w:rPr>
        <w:fldChar w:fldCharType="begin"/>
      </w:r>
      <w:r w:rsidRPr="00976D33">
        <w:rPr>
          <w:rFonts w:eastAsia="Times New Roman" w:cs="Calibri"/>
        </w:rPr>
        <w:instrText xml:space="preserve"> REF _Ref138120954 \h </w:instrText>
      </w:r>
      <w:r w:rsidR="004A7007" w:rsidRPr="00976D33">
        <w:rPr>
          <w:rFonts w:eastAsia="Times New Roman" w:cs="Calibri"/>
        </w:rPr>
        <w:instrText xml:space="preserve"> \* MERGEFORMAT </w:instrText>
      </w:r>
      <w:r w:rsidRPr="00976D33">
        <w:rPr>
          <w:rFonts w:eastAsia="Times New Roman" w:cs="Calibri"/>
        </w:rPr>
      </w:r>
      <w:r w:rsidRPr="00976D33">
        <w:rPr>
          <w:rFonts w:eastAsia="Times New Roman" w:cs="Calibri"/>
        </w:rPr>
        <w:fldChar w:fldCharType="separate"/>
      </w:r>
      <w:r w:rsidR="003B7FFA">
        <w:t>Figura 66</w:t>
      </w:r>
      <w:r w:rsidRPr="00976D33">
        <w:rPr>
          <w:rFonts w:eastAsia="Times New Roman" w:cs="Calibri"/>
        </w:rPr>
        <w:fldChar w:fldCharType="end"/>
      </w:r>
      <w:r>
        <w:t xml:space="preserve">), sektori i BPPTT-së parashikohet të bëhet një rezervuar i rëndësishëm i karbonit. </w:t>
      </w:r>
    </w:p>
    <w:p w14:paraId="0EA11433" w14:textId="18301ACC" w:rsidR="00AA7CDF" w:rsidRPr="00976D33" w:rsidRDefault="00FD3BFB" w:rsidP="00FD3BFB">
      <w:pPr>
        <w:rPr>
          <w:rFonts w:eastAsia="Times New Roman" w:cs="Calibri"/>
        </w:rPr>
      </w:pPr>
      <w:r>
        <w:t>Zëvendësimi i stufave të biomasës me ato më efiçiente dhe zëvendësimi me pompa termike kanë ndikim thelbësor në heqjen e emetimeve të karbonit. Në skenarin WAM vlerësohet se këto masa do të çojnë në një ulje prej 20% të nxjerrjes së drurit për qëllime të ngrohjes. Për më tepër, zbutja e emetimeve në skenarin WAM do të arrihet duke rritur produktivitetin primar neto të biomasës pyjore për 10% krahasuar me skenarin WEM. Masat shtesë në sektorin e FOLU-së vlerësohet të çojnë në 595 ktCO</w:t>
      </w:r>
      <w:r>
        <w:rPr>
          <w:vertAlign w:val="subscript"/>
        </w:rPr>
        <w:t>2</w:t>
      </w:r>
      <w:r>
        <w:t>eq të absorbimit të emetimeve në vitin 2030 (</w:t>
      </w:r>
      <w:r w:rsidRPr="00976D33">
        <w:fldChar w:fldCharType="begin"/>
      </w:r>
      <w:r w:rsidRPr="00976D33">
        <w:instrText xml:space="preserve"> REF _Ref138121451 \h </w:instrText>
      </w:r>
      <w:r w:rsidR="004A7007" w:rsidRPr="00976D33">
        <w:instrText xml:space="preserve"> \* MERGEFORMAT </w:instrText>
      </w:r>
      <w:r w:rsidRPr="00976D33">
        <w:fldChar w:fldCharType="separate"/>
      </w:r>
      <w:r w:rsidR="003B7FFA">
        <w:t>Figura 67</w:t>
      </w:r>
      <w:r w:rsidRPr="00976D33">
        <w:fldChar w:fldCharType="end"/>
      </w:r>
      <w:r>
        <w:t>). Për më tepër, zvogëlimi i numrit të bagëtive për 20% në skenarin WAM parashikohet të çojë në një ulje të emetimeve në sektorin e bujqësisë për rreth 100 ktCO</w:t>
      </w:r>
      <w:r>
        <w:rPr>
          <w:vertAlign w:val="subscript"/>
        </w:rPr>
        <w:t>2</w:t>
      </w:r>
      <w:r>
        <w:t>eq në vitin 2030. Masat tjera që ndikojnë në burimet e agreguara dhe emetimet jo-CO</w:t>
      </w:r>
      <w:r>
        <w:rPr>
          <w:vertAlign w:val="subscript"/>
        </w:rPr>
        <w:t xml:space="preserve">2 </w:t>
      </w:r>
      <w:r>
        <w:t>në sektorin bujqësor çojnë në një ulje të emetimeve të gazrave serrë në 18 ktCO</w:t>
      </w:r>
      <w:r>
        <w:rPr>
          <w:vertAlign w:val="subscript"/>
        </w:rPr>
        <w:t>2</w:t>
      </w:r>
      <w:r>
        <w:t>e deri në vitin 2030.</w:t>
      </w:r>
    </w:p>
    <w:p w14:paraId="51838D3E" w14:textId="5F5C1718" w:rsidR="00FD3BFB" w:rsidRPr="00976D33" w:rsidRDefault="00FD3BFB" w:rsidP="00FD3BFB">
      <w:pPr>
        <w:pStyle w:val="Caption"/>
      </w:pPr>
      <w:bookmarkStart w:id="511" w:name="_Ref138121451"/>
      <w:bookmarkStart w:id="512" w:name="_Toc181867270"/>
      <w:r>
        <w:t xml:space="preserve">Figura </w:t>
      </w:r>
      <w:r w:rsidRPr="00976D33">
        <w:fldChar w:fldCharType="begin"/>
      </w:r>
      <w:r w:rsidRPr="00976D33">
        <w:instrText>SEQ Figure \* ARABIC</w:instrText>
      </w:r>
      <w:r w:rsidRPr="00976D33">
        <w:fldChar w:fldCharType="separate"/>
      </w:r>
      <w:r w:rsidR="003B7FFA">
        <w:rPr>
          <w:noProof/>
        </w:rPr>
        <w:t>67</w:t>
      </w:r>
      <w:r w:rsidRPr="00976D33">
        <w:fldChar w:fldCharType="end"/>
      </w:r>
      <w:bookmarkEnd w:id="511"/>
      <w:r>
        <w:t>. Ndryshimet e emetimeve të GS-ve ndërmjet WAM dhe WEM - Sektori i BPPTT-së (GWP 100 vjeçare)</w:t>
      </w:r>
      <w:bookmarkEnd w:id="512"/>
    </w:p>
    <w:p w14:paraId="3ECE73D7" w14:textId="4CF8128C" w:rsidR="00FD3BFB" w:rsidRPr="00976D33" w:rsidRDefault="00FD3BFB" w:rsidP="00FD3BFB">
      <w:pPr>
        <w:spacing w:before="0" w:after="0" w:line="240" w:lineRule="auto"/>
        <w:jc w:val="left"/>
      </w:pPr>
    </w:p>
    <w:p w14:paraId="11BA3ED2" w14:textId="1E0A8EC9" w:rsidR="001027CA" w:rsidRPr="00976D33" w:rsidRDefault="001027CA" w:rsidP="00FD3BFB">
      <w:pPr>
        <w:spacing w:before="0" w:after="0" w:line="240" w:lineRule="auto"/>
        <w:jc w:val="left"/>
      </w:pPr>
      <w:r>
        <w:rPr>
          <w:noProof/>
          <w:lang w:val="en-US"/>
        </w:rPr>
        <w:drawing>
          <wp:inline distT="0" distB="0" distL="0" distR="0" wp14:anchorId="21810608" wp14:editId="325490BB">
            <wp:extent cx="5537200" cy="2148600"/>
            <wp:effectExtent l="0" t="0" r="0" b="0"/>
            <wp:docPr id="9553922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545020" cy="2151635"/>
                    </a:xfrm>
                    <a:prstGeom prst="rect">
                      <a:avLst/>
                    </a:prstGeom>
                    <a:noFill/>
                    <a:ln>
                      <a:noFill/>
                    </a:ln>
                  </pic:spPr>
                </pic:pic>
              </a:graphicData>
            </a:graphic>
          </wp:inline>
        </w:drawing>
      </w:r>
    </w:p>
    <w:p w14:paraId="113EE3AA" w14:textId="77777777" w:rsidR="00FD3BFB" w:rsidRPr="00976D33" w:rsidRDefault="00FD3BFB" w:rsidP="00FD3BFB">
      <w:pPr>
        <w:spacing w:before="0" w:after="0" w:line="240" w:lineRule="auto"/>
        <w:jc w:val="left"/>
        <w:rPr>
          <w:i/>
        </w:rPr>
      </w:pPr>
      <w:r>
        <w:rPr>
          <w:i/>
          <w:sz w:val="16"/>
        </w:rPr>
        <w:t>Burimi: llogaritjet dhe modelimi vetanak</w:t>
      </w:r>
    </w:p>
    <w:p w14:paraId="12FEF3D8" w14:textId="77777777" w:rsidR="00CD2BCE" w:rsidRDefault="00CD2BCE" w:rsidP="00FD3BFB">
      <w:pPr>
        <w:rPr>
          <w:rFonts w:eastAsia="Times New Roman" w:cs="Calibri"/>
          <w:lang w:eastAsia="en-GB"/>
        </w:rPr>
      </w:pPr>
    </w:p>
    <w:p w14:paraId="538B984A" w14:textId="2D5E3AB5" w:rsidR="00CD2BCE" w:rsidRDefault="00FD3BFB" w:rsidP="00FD3BFB">
      <w:pPr>
        <w:rPr>
          <w:rFonts w:eastAsia="Times New Roman" w:cs="Calibri"/>
        </w:rPr>
      </w:pPr>
      <w:r>
        <w:t>Nga ana e prodhimit të energjisë elektrike dhe ngrohjes qendrore, një pjesë e madhe e reduktimit të emetimeve vjen nga rënia e përdorimit të linjitit në termocentrale. Në përgjithësi, rënia e prodhimit të energjisë elektrike nga lëndët djegëse fosile, në skenarin WAM, duhet t’i atribuohet kërkesës më të ulët për energji elektrike dhe marrjes më të shpejtë të BRE-ve në krahasim me skenarin WEM.</w:t>
      </w:r>
    </w:p>
    <w:p w14:paraId="34B09B18" w14:textId="628065B0" w:rsidR="00FD3BFB" w:rsidRPr="00976D33" w:rsidRDefault="00FD3BFB" w:rsidP="00FD3BFB">
      <w:r>
        <w:lastRenderedPageBreak/>
        <w:t>Kjo dëshmon sinergjitë pozitive mes dimensioneve të efiçiencës së energjisë dhe dekarbonizimit. Në vitin 2030, emetimet e shmangura të GS-ve për shkak të uljes së konsumit të linjitit në skenarin WAM arrijnë në 642 ktCO</w:t>
      </w:r>
      <w:r>
        <w:rPr>
          <w:vertAlign w:val="subscript"/>
        </w:rPr>
        <w:t>2</w:t>
      </w:r>
      <w:r>
        <w:t>eq (</w:t>
      </w:r>
      <w:r w:rsidRPr="00976D33">
        <w:fldChar w:fldCharType="begin"/>
      </w:r>
      <w:r w:rsidRPr="00976D33">
        <w:instrText xml:space="preserve"> REF _Ref139004471 \h </w:instrText>
      </w:r>
      <w:r w:rsidR="004A7007" w:rsidRPr="00976D33">
        <w:instrText xml:space="preserve"> \* MERGEFORMAT </w:instrText>
      </w:r>
      <w:r w:rsidRPr="00976D33">
        <w:fldChar w:fldCharType="separate"/>
      </w:r>
      <w:r w:rsidR="003B7FFA">
        <w:t>Figura 68</w:t>
      </w:r>
      <w:r w:rsidRPr="00976D33">
        <w:fldChar w:fldCharType="end"/>
      </w:r>
      <w:r>
        <w:t>).</w:t>
      </w:r>
    </w:p>
    <w:p w14:paraId="44FB5553" w14:textId="06303771" w:rsidR="00FD3BFB" w:rsidRPr="00976D33" w:rsidRDefault="00FD3BFB" w:rsidP="005969E0">
      <w:pPr>
        <w:pStyle w:val="Caption"/>
      </w:pPr>
      <w:bookmarkStart w:id="513" w:name="_Ref139004471"/>
      <w:bookmarkStart w:id="514" w:name="_Toc181867271"/>
      <w:r>
        <w:t xml:space="preserve">Figura </w:t>
      </w:r>
      <w:r w:rsidRPr="00976D33">
        <w:fldChar w:fldCharType="begin"/>
      </w:r>
      <w:r w:rsidRPr="00976D33">
        <w:instrText>SEQ Figure \* ARABIC</w:instrText>
      </w:r>
      <w:r w:rsidRPr="00976D33">
        <w:fldChar w:fldCharType="separate"/>
      </w:r>
      <w:r w:rsidR="003B7FFA">
        <w:rPr>
          <w:noProof/>
        </w:rPr>
        <w:t>68</w:t>
      </w:r>
      <w:r w:rsidRPr="00976D33">
        <w:fldChar w:fldCharType="end"/>
      </w:r>
      <w:bookmarkEnd w:id="513"/>
      <w:r>
        <w:t>. Emetimet e GS-ve (CO2eq) në sektorin e transformimit të energjisë (WAM) dhe emetimet e shmangura të GS-ve kundrejt skenarit WEM</w:t>
      </w:r>
      <w:bookmarkEnd w:id="514"/>
    </w:p>
    <w:p w14:paraId="58E14C44" w14:textId="18351FFA" w:rsidR="001027CA" w:rsidRPr="00976D33" w:rsidRDefault="005E2404" w:rsidP="00FD3BFB">
      <w:pPr>
        <w:jc w:val="center"/>
        <w:rPr>
          <w:rFonts w:eastAsia="Times New Roman" w:cs="Calibri"/>
          <w:color w:val="000000"/>
        </w:rPr>
      </w:pPr>
      <w:r>
        <w:rPr>
          <w:noProof/>
          <w:lang w:val="en-US"/>
        </w:rPr>
        <w:drawing>
          <wp:inline distT="0" distB="0" distL="0" distR="0" wp14:anchorId="4E9A768F" wp14:editId="2255F869">
            <wp:extent cx="6079490" cy="2487930"/>
            <wp:effectExtent l="0" t="0" r="0" b="0"/>
            <wp:docPr id="1419577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079490" cy="2487930"/>
                    </a:xfrm>
                    <a:prstGeom prst="rect">
                      <a:avLst/>
                    </a:prstGeom>
                    <a:noFill/>
                    <a:ln>
                      <a:noFill/>
                    </a:ln>
                  </pic:spPr>
                </pic:pic>
              </a:graphicData>
            </a:graphic>
          </wp:inline>
        </w:drawing>
      </w:r>
    </w:p>
    <w:p w14:paraId="7905181B" w14:textId="7830FC25" w:rsidR="00FD3BFB" w:rsidRPr="00976D33" w:rsidRDefault="00FD3BFB" w:rsidP="00FD3BFB">
      <w:pPr>
        <w:jc w:val="left"/>
        <w:rPr>
          <w:i/>
          <w:sz w:val="16"/>
          <w:szCs w:val="16"/>
        </w:rPr>
      </w:pPr>
      <w:r>
        <w:rPr>
          <w:i/>
          <w:sz w:val="16"/>
        </w:rPr>
        <w:t xml:space="preserve">Burimi: modelimi i skenarit të llogaritjes vetanake Shënim: </w:t>
      </w:r>
      <w:r>
        <w:rPr>
          <w:i/>
          <w:sz w:val="16"/>
        </w:rPr>
        <w:tab/>
        <w:t>Emetimet nga ngrohja qendrore në vitin 2021 përfshijnë gjithashtu emetimet e naftës. Pas vitit 2021, vetëm emetimet nga linjiti.</w:t>
      </w:r>
    </w:p>
    <w:p w14:paraId="537AC489" w14:textId="4ADFDF03" w:rsidR="00FD3BFB" w:rsidRPr="00976D33" w:rsidRDefault="00FD3BFB" w:rsidP="00AA7CDF">
      <w:pPr>
        <w:rPr>
          <w:rFonts w:eastAsia="Times New Roman" w:cs="Calibri"/>
          <w:color w:val="000000"/>
        </w:rPr>
      </w:pPr>
      <w:r>
        <w:rPr>
          <w:color w:val="000000"/>
        </w:rPr>
        <w:t>Ndryshe nga reduktimi i emetimeve të GS-ve me origjinë nga linjiti dhe sektori joenergjetik, është e mundur të vihet re ende një rritje e ndjeshme e emetimeve të GS-ve nga djegia e naftës, në periudhën deri në vitin 2040. Në atë vit, pjesëmarrja e emetimeve nga konsumi i naftës (kryesisht në sektorin e transportit), parashikohet të arrijë në 53% të totalit të emetimeve neto të GS-ve (</w:t>
      </w:r>
      <w:r w:rsidR="00AA7CDF" w:rsidRPr="00976D33">
        <w:rPr>
          <w:rFonts w:eastAsia="Times New Roman" w:cs="Calibri"/>
          <w:color w:val="000000"/>
        </w:rPr>
        <w:fldChar w:fldCharType="begin"/>
      </w:r>
      <w:r w:rsidR="00AA7CDF" w:rsidRPr="00976D33">
        <w:rPr>
          <w:rFonts w:eastAsia="Times New Roman" w:cs="Calibri"/>
          <w:color w:val="000000"/>
        </w:rPr>
        <w:instrText xml:space="preserve"> REF _Ref164909302 \h </w:instrText>
      </w:r>
      <w:r w:rsidR="004A7007" w:rsidRPr="00976D33">
        <w:rPr>
          <w:rFonts w:eastAsia="Times New Roman" w:cs="Calibri"/>
          <w:color w:val="000000"/>
        </w:rPr>
        <w:instrText xml:space="preserve"> \* MERGEFORMAT </w:instrText>
      </w:r>
      <w:r w:rsidR="00AA7CDF" w:rsidRPr="00976D33">
        <w:rPr>
          <w:rFonts w:eastAsia="Times New Roman" w:cs="Calibri"/>
          <w:color w:val="000000"/>
        </w:rPr>
      </w:r>
      <w:r w:rsidR="00AA7CDF" w:rsidRPr="00976D33">
        <w:rPr>
          <w:rFonts w:eastAsia="Times New Roman" w:cs="Calibri"/>
          <w:color w:val="000000"/>
        </w:rPr>
        <w:fldChar w:fldCharType="separate"/>
      </w:r>
      <w:r w:rsidR="003B7FFA">
        <w:t>Figura 69</w:t>
      </w:r>
      <w:r w:rsidR="00AA7CDF" w:rsidRPr="00976D33">
        <w:rPr>
          <w:rFonts w:eastAsia="Times New Roman" w:cs="Calibri"/>
          <w:color w:val="000000"/>
        </w:rPr>
        <w:fldChar w:fldCharType="end"/>
      </w:r>
      <w:r>
        <w:rPr>
          <w:color w:val="000000"/>
        </w:rPr>
        <w:t>).</w:t>
      </w:r>
    </w:p>
    <w:p w14:paraId="27D29802" w14:textId="34121E60" w:rsidR="00FD3BFB" w:rsidRPr="00976D33" w:rsidRDefault="00FD3BFB" w:rsidP="00FD3BFB">
      <w:pPr>
        <w:rPr>
          <w:rFonts w:eastAsia="Times New Roman" w:cs="Calibri"/>
          <w:color w:val="000000"/>
        </w:rPr>
      </w:pPr>
      <w:r>
        <w:rPr>
          <w:color w:val="000000"/>
        </w:rPr>
        <w:t>Masat shtesë</w:t>
      </w:r>
      <w:r>
        <w:t xml:space="preserve"> në sektorin e transportit janë në gjendje të reduktojnë emetimet nga ky sektor vetëm për </w:t>
      </w:r>
      <w:r>
        <w:rPr>
          <w:color w:val="000000"/>
        </w:rPr>
        <w:t>7.4% në vitin 2040 (krahasuar me skenarin WEM).</w:t>
      </w:r>
    </w:p>
    <w:p w14:paraId="39FF636F" w14:textId="703AB717" w:rsidR="00FD3BFB" w:rsidRPr="00976D33" w:rsidRDefault="00FD3BFB" w:rsidP="00FD3BFB">
      <w:pPr>
        <w:pStyle w:val="Caption"/>
      </w:pPr>
      <w:bookmarkStart w:id="515" w:name="_Ref138122210"/>
      <w:bookmarkStart w:id="516" w:name="_Ref164909302"/>
      <w:bookmarkStart w:id="517" w:name="_Toc181867272"/>
      <w:r>
        <w:t xml:space="preserve">Figura </w:t>
      </w:r>
      <w:r w:rsidRPr="00976D33">
        <w:fldChar w:fldCharType="begin"/>
      </w:r>
      <w:r w:rsidRPr="00976D33">
        <w:instrText>SEQ Figure \* ARABIC</w:instrText>
      </w:r>
      <w:r w:rsidRPr="00976D33">
        <w:fldChar w:fldCharType="separate"/>
      </w:r>
      <w:r w:rsidR="003B7FFA">
        <w:rPr>
          <w:noProof/>
        </w:rPr>
        <w:t>69</w:t>
      </w:r>
      <w:r w:rsidRPr="00976D33">
        <w:fldChar w:fldCharType="end"/>
      </w:r>
      <w:bookmarkEnd w:id="515"/>
      <w:bookmarkEnd w:id="516"/>
      <w:r>
        <w:t>. Emetimet e GS-ve (në pikën e shkarkimeve) – Skenari WAM sipas lëndës djegëse dhe ndryshimet me WEM</w:t>
      </w:r>
      <w:bookmarkEnd w:id="517"/>
    </w:p>
    <w:p w14:paraId="7C63BCFD" w14:textId="5255132A" w:rsidR="004B52CC" w:rsidRPr="008C14F9" w:rsidRDefault="004B52CC" w:rsidP="00FD3BFB">
      <w:pPr>
        <w:rPr>
          <w:rFonts w:cs="calibri light (Überschriften)"/>
          <w:iCs/>
        </w:rPr>
      </w:pPr>
      <w:r>
        <w:rPr>
          <w:noProof/>
          <w:lang w:val="en-US"/>
        </w:rPr>
        <w:drawing>
          <wp:inline distT="0" distB="0" distL="0" distR="0" wp14:anchorId="0141F9C2" wp14:editId="7A87C102">
            <wp:extent cx="6079490" cy="2398395"/>
            <wp:effectExtent l="0" t="0" r="0" b="0"/>
            <wp:docPr id="6760544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079490" cy="2398395"/>
                    </a:xfrm>
                    <a:prstGeom prst="rect">
                      <a:avLst/>
                    </a:prstGeom>
                    <a:noFill/>
                    <a:ln>
                      <a:noFill/>
                    </a:ln>
                  </pic:spPr>
                </pic:pic>
              </a:graphicData>
            </a:graphic>
          </wp:inline>
        </w:drawing>
      </w:r>
    </w:p>
    <w:p w14:paraId="1A8F3511" w14:textId="77777777" w:rsidR="00FD3BFB" w:rsidRPr="00976D33" w:rsidRDefault="00FD3BFB" w:rsidP="00FD3BFB">
      <w:pPr>
        <w:rPr>
          <w:rFonts w:eastAsia="Times New Roman" w:cs="Calibri"/>
          <w:color w:val="000000"/>
          <w:sz w:val="16"/>
          <w:szCs w:val="16"/>
        </w:rPr>
      </w:pPr>
      <w:r>
        <w:rPr>
          <w:i/>
          <w:sz w:val="16"/>
        </w:rPr>
        <w:t>Burimi: llogaritjet dhe modelimi vetanak</w:t>
      </w:r>
      <w:r>
        <w:rPr>
          <w:color w:val="000000"/>
          <w:sz w:val="16"/>
        </w:rPr>
        <w:tab/>
      </w:r>
    </w:p>
    <w:p w14:paraId="75BB18CB" w14:textId="009CE625" w:rsidR="005D52ED" w:rsidRPr="00976D33" w:rsidRDefault="007C7595" w:rsidP="00FD3BFB">
      <w:r w:rsidRPr="00F44B6E">
        <w:fldChar w:fldCharType="begin"/>
      </w:r>
      <w:r w:rsidRPr="00F44B6E">
        <w:instrText xml:space="preserve"> REF _Ref173777080 \h  \* MERGEFORMAT </w:instrText>
      </w:r>
      <w:r w:rsidRPr="00F44B6E">
        <w:fldChar w:fldCharType="separate"/>
      </w:r>
      <w:r w:rsidR="003B7FFA">
        <w:t>Figura 70</w:t>
      </w:r>
      <w:r w:rsidRPr="00F44B6E">
        <w:fldChar w:fldCharType="end"/>
      </w:r>
      <w:r>
        <w:t xml:space="preserve"> përfaqëson evoluimin e emetimeve të WAM të ndara sipas GS-ve të ndryshme gjatë periudhës 2021-2040. Ndër të gjitha GS, CO</w:t>
      </w:r>
      <w:r>
        <w:rPr>
          <w:vertAlign w:val="subscript"/>
        </w:rPr>
        <w:t>2</w:t>
      </w:r>
      <w:r>
        <w:t xml:space="preserve"> përjeton reduktimin më të madh prej -38% në vitin 2030 krahasuar me </w:t>
      </w:r>
      <w:r>
        <w:lastRenderedPageBreak/>
        <w:t>nivelet e vitit 2021, ndërsa metani ka një ulje prej -13% në vitin 2030 krahasuar me nivelet e vitit 2021</w:t>
      </w:r>
      <w:r w:rsidR="00C21D92" w:rsidRPr="00F44B6E">
        <w:rPr>
          <w:rStyle w:val="FootnoteReference"/>
        </w:rPr>
        <w:footnoteReference w:id="46"/>
      </w:r>
      <w:r>
        <w:t>, duke mos arritur cakun e reduktimit prej 30% të Paktit Global për Metanin. Në të dy skenarët, një kontribut i madh në reduktimin e CH</w:t>
      </w:r>
      <w:r>
        <w:rPr>
          <w:vertAlign w:val="subscript"/>
        </w:rPr>
        <w:t>4</w:t>
      </w:r>
      <w:r>
        <w:t xml:space="preserve"> mund t’i atribuohet rënies së emetimeve nga fermentimi enterik për shkak të rritjes së efikasitetit të blegtorisë dhe zvogëlimit të numrit të bagëtive, veçanërisht gjedhëve.</w:t>
      </w:r>
    </w:p>
    <w:p w14:paraId="27C04FF9" w14:textId="71BCF862" w:rsidR="009E0E0E" w:rsidRPr="00976D33" w:rsidRDefault="009E0E0E" w:rsidP="009E0E0E">
      <w:pPr>
        <w:pStyle w:val="Caption"/>
      </w:pPr>
      <w:bookmarkStart w:id="518" w:name="_Ref173777080"/>
      <w:bookmarkStart w:id="519" w:name="_Toc181867273"/>
      <w:r>
        <w:t xml:space="preserve">Figura </w:t>
      </w:r>
      <w:r w:rsidR="00062E07">
        <w:fldChar w:fldCharType="begin"/>
      </w:r>
      <w:r w:rsidR="00062E07">
        <w:instrText xml:space="preserve"> SEQ Figure \* ARABIC </w:instrText>
      </w:r>
      <w:r w:rsidR="00062E07">
        <w:fldChar w:fldCharType="separate"/>
      </w:r>
      <w:r w:rsidR="003B7FFA">
        <w:rPr>
          <w:noProof/>
        </w:rPr>
        <w:t>70</w:t>
      </w:r>
      <w:r w:rsidR="00062E07">
        <w:rPr>
          <w:noProof/>
        </w:rPr>
        <w:fldChar w:fldCharType="end"/>
      </w:r>
      <w:bookmarkEnd w:id="518"/>
      <w:r>
        <w:t>. Emetimet e GS-ve në Kosovë sipas gazrave, 2021 - 2040 (Mt CO</w:t>
      </w:r>
      <w:r>
        <w:rPr>
          <w:vertAlign w:val="subscript"/>
        </w:rPr>
        <w:t>2</w:t>
      </w:r>
      <w:r>
        <w:t>-eq) skenari WAM dhe ndryshimet me WEM</w:t>
      </w:r>
      <w:bookmarkEnd w:id="519"/>
    </w:p>
    <w:p w14:paraId="571E6191" w14:textId="5B1CB7D3" w:rsidR="00CC7951" w:rsidRPr="00976D33" w:rsidRDefault="00CC7951" w:rsidP="00FD3BFB">
      <w:r>
        <w:rPr>
          <w:noProof/>
          <w:lang w:val="en-US"/>
        </w:rPr>
        <w:drawing>
          <wp:inline distT="0" distB="0" distL="0" distR="0" wp14:anchorId="6492CD81" wp14:editId="5E0C683B">
            <wp:extent cx="6079490" cy="2562860"/>
            <wp:effectExtent l="0" t="0" r="0" b="0"/>
            <wp:docPr id="11158346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079490" cy="2562860"/>
                    </a:xfrm>
                    <a:prstGeom prst="rect">
                      <a:avLst/>
                    </a:prstGeom>
                    <a:noFill/>
                    <a:ln>
                      <a:noFill/>
                    </a:ln>
                  </pic:spPr>
                </pic:pic>
              </a:graphicData>
            </a:graphic>
          </wp:inline>
        </w:drawing>
      </w:r>
    </w:p>
    <w:p w14:paraId="0158A180" w14:textId="7320CE6A" w:rsidR="00E147EB" w:rsidRPr="00976D33" w:rsidRDefault="00633354" w:rsidP="00FD3BFB">
      <w:r>
        <w:rPr>
          <w:i/>
          <w:sz w:val="16"/>
        </w:rPr>
        <w:t>Burimi: llogaritjet dhe modelimi vetanak</w:t>
      </w:r>
    </w:p>
    <w:p w14:paraId="02F39111" w14:textId="5493D63F" w:rsidR="00FD3BFB" w:rsidRPr="00976D33" w:rsidRDefault="00FD3BFB" w:rsidP="00FD3BFB">
      <w:pPr>
        <w:pStyle w:val="Heading3"/>
        <w:numPr>
          <w:ilvl w:val="0"/>
          <w:numId w:val="0"/>
        </w:numPr>
        <w:ind w:left="720" w:hanging="720"/>
        <w:rPr>
          <w:b/>
        </w:rPr>
      </w:pPr>
      <w:bookmarkStart w:id="520" w:name="_Toc137677739"/>
      <w:bookmarkStart w:id="521" w:name="_Toc182302350"/>
      <w:r>
        <w:rPr>
          <w:b/>
        </w:rPr>
        <w:t>Energjia e ripërtëritshme</w:t>
      </w:r>
      <w:bookmarkEnd w:id="520"/>
      <w:bookmarkEnd w:id="521"/>
    </w:p>
    <w:p w14:paraId="5510DC04" w14:textId="0E2B9DBC" w:rsidR="00FD3BFB" w:rsidRPr="00976D33" w:rsidRDefault="00FD3BFB" w:rsidP="00FD3BFB">
      <w:pPr>
        <w:pStyle w:val="Fliesstext"/>
        <w:rPr>
          <w:rFonts w:ascii="Arial" w:eastAsiaTheme="minorEastAsia" w:hAnsi="Arial" w:cstheme="minorBidi"/>
          <w:color w:val="0F0D29" w:themeColor="text1"/>
          <w:sz w:val="20"/>
          <w:szCs w:val="22"/>
        </w:rPr>
      </w:pPr>
      <w:r>
        <w:rPr>
          <w:rFonts w:ascii="Arial" w:hAnsi="Arial"/>
          <w:color w:val="0F0D29" w:themeColor="text1"/>
          <w:sz w:val="20"/>
        </w:rPr>
        <w:t>Pjesa e përgjithshme e energjisë së ripërtëritshme në bruto konsumin final në skenarin WAM arrin 35.2% në vitin 2030 dhe 41,0% në vitin 2040. Krahasuar me skenarin WEM, pjesa e bruto konsumit final të energjisë së ripërtëritshme është 3 pikë përqindjeje më e lartë në vitin 2030 (</w:t>
      </w:r>
      <w:r w:rsidR="00395080" w:rsidRPr="00F44B6E">
        <w:rPr>
          <w:rFonts w:ascii="Arial" w:eastAsiaTheme="minorEastAsia" w:hAnsi="Arial" w:cstheme="minorBidi"/>
          <w:color w:val="0F0D29" w:themeColor="text1"/>
          <w:sz w:val="20"/>
        </w:rPr>
        <w:fldChar w:fldCharType="begin"/>
      </w:r>
      <w:r w:rsidR="00395080" w:rsidRPr="00F44B6E">
        <w:rPr>
          <w:rFonts w:ascii="Arial" w:eastAsiaTheme="minorEastAsia" w:hAnsi="Arial" w:cstheme="minorBidi"/>
          <w:color w:val="0F0D29" w:themeColor="text1"/>
          <w:sz w:val="20"/>
        </w:rPr>
        <w:instrText xml:space="preserve"> REF _Ref180752468 \h </w:instrText>
      </w:r>
      <w:r w:rsidR="00F44B6E" w:rsidRPr="00F44B6E">
        <w:rPr>
          <w:rFonts w:ascii="Arial" w:eastAsiaTheme="minorEastAsia" w:hAnsi="Arial" w:cstheme="minorBidi"/>
          <w:color w:val="0F0D29" w:themeColor="text1"/>
          <w:sz w:val="20"/>
        </w:rPr>
        <w:instrText xml:space="preserve"> \* MERGEFORMAT </w:instrText>
      </w:r>
      <w:r w:rsidR="00395080" w:rsidRPr="00F44B6E">
        <w:rPr>
          <w:rFonts w:ascii="Arial" w:eastAsiaTheme="minorEastAsia" w:hAnsi="Arial" w:cstheme="minorBidi"/>
          <w:color w:val="0F0D29" w:themeColor="text1"/>
          <w:sz w:val="20"/>
        </w:rPr>
      </w:r>
      <w:r w:rsidR="00395080" w:rsidRPr="00F44B6E">
        <w:rPr>
          <w:rFonts w:ascii="Arial" w:eastAsiaTheme="minorEastAsia" w:hAnsi="Arial" w:cstheme="minorBidi"/>
          <w:color w:val="0F0D29" w:themeColor="text1"/>
          <w:sz w:val="20"/>
        </w:rPr>
        <w:fldChar w:fldCharType="separate"/>
      </w:r>
      <w:r w:rsidR="003B7FFA" w:rsidRPr="003B7FFA">
        <w:rPr>
          <w:color w:val="0F0D29" w:themeColor="text1"/>
        </w:rPr>
        <w:t>Figura 71</w:t>
      </w:r>
      <w:r w:rsidR="00395080" w:rsidRPr="00F44B6E">
        <w:rPr>
          <w:rFonts w:ascii="Arial" w:eastAsiaTheme="minorEastAsia" w:hAnsi="Arial" w:cstheme="minorBidi"/>
          <w:color w:val="0F0D29" w:themeColor="text1"/>
          <w:sz w:val="20"/>
        </w:rPr>
        <w:fldChar w:fldCharType="end"/>
      </w:r>
      <w:r>
        <w:rPr>
          <w:rFonts w:ascii="Arial" w:hAnsi="Arial"/>
          <w:color w:val="0F0D29" w:themeColor="text1"/>
          <w:sz w:val="20"/>
        </w:rPr>
        <w:t xml:space="preserve">). </w:t>
      </w:r>
    </w:p>
    <w:p w14:paraId="515EEA45" w14:textId="30E8FD82" w:rsidR="00FD3BFB" w:rsidRPr="00976D33" w:rsidRDefault="00FD3BFB" w:rsidP="00FD3BFB">
      <w:pPr>
        <w:pStyle w:val="Caption"/>
      </w:pPr>
      <w:bookmarkStart w:id="522" w:name="_Ref180752468"/>
      <w:bookmarkStart w:id="523" w:name="_Toc181867274"/>
      <w:r>
        <w:t xml:space="preserve">Figura </w:t>
      </w:r>
      <w:r w:rsidRPr="00976D33">
        <w:fldChar w:fldCharType="begin"/>
      </w:r>
      <w:r w:rsidRPr="00976D33">
        <w:instrText>SEQ Figure \* ARABIC</w:instrText>
      </w:r>
      <w:r w:rsidRPr="00976D33">
        <w:fldChar w:fldCharType="separate"/>
      </w:r>
      <w:r w:rsidR="003B7FFA">
        <w:rPr>
          <w:noProof/>
        </w:rPr>
        <w:t>71</w:t>
      </w:r>
      <w:r w:rsidRPr="00976D33">
        <w:fldChar w:fldCharType="end"/>
      </w:r>
      <w:bookmarkEnd w:id="522"/>
      <w:r>
        <w:t>. Pjesëmarrja e BRE-ve në bruto konsumin final të energjisë – Krahasimi ndërmjet skenarëve WAM dhe WEM</w:t>
      </w:r>
      <w:bookmarkEnd w:id="523"/>
    </w:p>
    <w:p w14:paraId="1389CEE1" w14:textId="17904CF5" w:rsidR="00311B2A" w:rsidRPr="00976D33" w:rsidRDefault="008827CF" w:rsidP="00FD3BFB">
      <w:pPr>
        <w:pStyle w:val="Fliesstext"/>
        <w:rPr>
          <w:color w:val="auto"/>
        </w:rPr>
      </w:pPr>
      <w:r>
        <w:rPr>
          <w:noProof/>
          <w:lang w:val="en-US"/>
        </w:rPr>
        <w:drawing>
          <wp:inline distT="0" distB="0" distL="0" distR="0" wp14:anchorId="273C9E63" wp14:editId="088A4ECF">
            <wp:extent cx="6079490" cy="2663825"/>
            <wp:effectExtent l="0" t="0" r="0" b="0"/>
            <wp:docPr id="2139709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079490" cy="2663825"/>
                    </a:xfrm>
                    <a:prstGeom prst="rect">
                      <a:avLst/>
                    </a:prstGeom>
                    <a:noFill/>
                    <a:ln>
                      <a:noFill/>
                    </a:ln>
                  </pic:spPr>
                </pic:pic>
              </a:graphicData>
            </a:graphic>
          </wp:inline>
        </w:drawing>
      </w:r>
    </w:p>
    <w:p w14:paraId="7B9C50EC" w14:textId="77777777" w:rsidR="00FD3BFB" w:rsidRPr="00976D33" w:rsidRDefault="00FD3BFB" w:rsidP="00FD3BFB">
      <w:pPr>
        <w:rPr>
          <w:rFonts w:cs="calibri light (Überschriften)"/>
          <w:i/>
          <w:sz w:val="16"/>
          <w:szCs w:val="16"/>
        </w:rPr>
      </w:pPr>
      <w:r>
        <w:rPr>
          <w:i/>
          <w:sz w:val="16"/>
        </w:rPr>
        <w:t>Burimi: llogaritjet dhe modelimi vetanak</w:t>
      </w:r>
      <w:r>
        <w:rPr>
          <w:i/>
          <w:sz w:val="16"/>
        </w:rPr>
        <w:tab/>
      </w:r>
    </w:p>
    <w:p w14:paraId="0559C2CB" w14:textId="3EE80622" w:rsidR="00E83214" w:rsidRPr="00976D33" w:rsidRDefault="00FD3BFB" w:rsidP="001027CA">
      <w:r>
        <w:lastRenderedPageBreak/>
        <w:t xml:space="preserve">Ndërsa skenari WAM paraqet pjesë më të larta të burimeve të ripërtëritshme në bruto konsumin final të energjisë elektrike (51% në vitin 2030 dhe 83.2% në vitin 2040; WEM: 42.8%% në vitin 2030 dhe 66.5% në vitin 2040, </w:t>
      </w:r>
      <w:r w:rsidRPr="00F44B6E">
        <w:fldChar w:fldCharType="begin"/>
      </w:r>
      <w:r w:rsidRPr="00F44B6E">
        <w:instrText xml:space="preserve"> REF _Ref138209449 \h  \* MERGEFORMAT </w:instrText>
      </w:r>
      <w:r w:rsidRPr="00F44B6E">
        <w:fldChar w:fldCharType="separate"/>
      </w:r>
      <w:r w:rsidR="003B7FFA">
        <w:t>Figura 72</w:t>
      </w:r>
      <w:r w:rsidRPr="00F44B6E">
        <w:fldChar w:fldCharType="end"/>
      </w:r>
      <w:r>
        <w:t>), pjesa e energjisë së ripërtëritshme në ngrohje dhe ftohje në WAM në vitin 2030 është afër nivelit të skenarit WEM (</w:t>
      </w:r>
      <w:r w:rsidR="001027CA" w:rsidRPr="00F44B6E">
        <w:fldChar w:fldCharType="begin"/>
      </w:r>
      <w:r w:rsidR="001027CA" w:rsidRPr="00F44B6E">
        <w:instrText xml:space="preserve"> REF _Ref164774233 \h </w:instrText>
      </w:r>
      <w:r w:rsidR="004A7007" w:rsidRPr="00F44B6E">
        <w:instrText xml:space="preserve"> \* MERGEFORMAT </w:instrText>
      </w:r>
      <w:r w:rsidR="001027CA" w:rsidRPr="00F44B6E">
        <w:fldChar w:fldCharType="separate"/>
      </w:r>
      <w:r w:rsidR="003B7FFA">
        <w:t>Figura 73</w:t>
      </w:r>
      <w:r w:rsidR="001027CA" w:rsidRPr="00F44B6E">
        <w:fldChar w:fldCharType="end"/>
      </w:r>
      <w:r>
        <w:t>). Rënia pak më e madhe e pjesëmarrjes së BRE-ve në ngrohje dhe ftohje pas vitit 2030 duhet t’i atribuohet një rënieje më të madhe të konsumit të biomasës pyjore, e cila kompensohet vetëm pjesërisht nga masat e efiçiencës së energjisë, siç janë vënia në përdorim e pompave të nxehtësisë dhe stufave efiçiente me biomasë në sektorin rezidencial</w:t>
      </w:r>
    </w:p>
    <w:p w14:paraId="6C86804E" w14:textId="27BEA103" w:rsidR="00FD3BFB" w:rsidRPr="00976D33" w:rsidRDefault="00FD3BFB" w:rsidP="00FD3BFB">
      <w:pPr>
        <w:pStyle w:val="Caption"/>
      </w:pPr>
      <w:bookmarkStart w:id="524" w:name="_Ref138209449"/>
      <w:bookmarkStart w:id="525" w:name="_Toc181867275"/>
      <w:r>
        <w:t xml:space="preserve">Figura </w:t>
      </w:r>
      <w:r w:rsidRPr="00976D33">
        <w:fldChar w:fldCharType="begin"/>
      </w:r>
      <w:r w:rsidRPr="00976D33">
        <w:instrText>SEQ Figure \* ARABIC</w:instrText>
      </w:r>
      <w:r w:rsidRPr="00976D33">
        <w:fldChar w:fldCharType="separate"/>
      </w:r>
      <w:r w:rsidR="003B7FFA">
        <w:rPr>
          <w:noProof/>
        </w:rPr>
        <w:t>72</w:t>
      </w:r>
      <w:r w:rsidRPr="00976D33">
        <w:fldChar w:fldCharType="end"/>
      </w:r>
      <w:bookmarkEnd w:id="524"/>
      <w:r>
        <w:t>: Pjesëmarrja e BRE-ve në bruto konsumin final të energjisë elektrike</w:t>
      </w:r>
      <w:bookmarkEnd w:id="525"/>
    </w:p>
    <w:p w14:paraId="7EF52B11" w14:textId="601780FE" w:rsidR="00FD3BFB" w:rsidRPr="00976D33" w:rsidRDefault="008827CF" w:rsidP="00FD3BFB">
      <w:pPr>
        <w:rPr>
          <w:rFonts w:eastAsia="Times New Roman" w:cs="Calibri"/>
          <w:color w:val="000000"/>
        </w:rPr>
      </w:pPr>
      <w:r>
        <w:rPr>
          <w:noProof/>
          <w:lang w:val="en-US"/>
        </w:rPr>
        <w:drawing>
          <wp:inline distT="0" distB="0" distL="0" distR="0" wp14:anchorId="286F011A" wp14:editId="74D2F193">
            <wp:extent cx="6079490" cy="2849880"/>
            <wp:effectExtent l="0" t="0" r="0" b="0"/>
            <wp:docPr id="8610234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079490" cy="2849880"/>
                    </a:xfrm>
                    <a:prstGeom prst="rect">
                      <a:avLst/>
                    </a:prstGeom>
                    <a:noFill/>
                    <a:ln>
                      <a:noFill/>
                    </a:ln>
                  </pic:spPr>
                </pic:pic>
              </a:graphicData>
            </a:graphic>
          </wp:inline>
        </w:drawing>
      </w:r>
    </w:p>
    <w:p w14:paraId="1E821966" w14:textId="77777777" w:rsidR="00FD3BFB" w:rsidRPr="00976D33" w:rsidRDefault="00FD3BFB" w:rsidP="00FD3BFB">
      <w:pPr>
        <w:rPr>
          <w:rFonts w:cs="calibri light (Überschriften)"/>
          <w:i/>
          <w:sz w:val="16"/>
          <w:szCs w:val="16"/>
        </w:rPr>
      </w:pPr>
      <w:r>
        <w:rPr>
          <w:i/>
          <w:sz w:val="16"/>
        </w:rPr>
        <w:t>Burimi: llogaritjet dhe modelimi vetanak</w:t>
      </w:r>
      <w:r>
        <w:rPr>
          <w:i/>
          <w:sz w:val="16"/>
        </w:rPr>
        <w:tab/>
      </w:r>
    </w:p>
    <w:p w14:paraId="00151907" w14:textId="77777777" w:rsidR="00FD3BFB" w:rsidRPr="00976D33" w:rsidRDefault="00FD3BFB" w:rsidP="00FD3BFB">
      <w:pPr>
        <w:pStyle w:val="Caption"/>
      </w:pPr>
      <w:bookmarkStart w:id="526" w:name="_Ref138209622"/>
    </w:p>
    <w:p w14:paraId="444A15B9" w14:textId="46E81452" w:rsidR="00FD3BFB" w:rsidRPr="00976D33" w:rsidRDefault="00FD3BFB" w:rsidP="00FD3BFB">
      <w:pPr>
        <w:pStyle w:val="Caption"/>
      </w:pPr>
      <w:bookmarkStart w:id="527" w:name="_Ref164774233"/>
      <w:bookmarkStart w:id="528" w:name="_Toc181867276"/>
      <w:r>
        <w:t xml:space="preserve">Figura </w:t>
      </w:r>
      <w:r w:rsidRPr="00976D33">
        <w:fldChar w:fldCharType="begin"/>
      </w:r>
      <w:r w:rsidRPr="00976D33">
        <w:instrText>SEQ Figure \* ARABIC</w:instrText>
      </w:r>
      <w:r w:rsidRPr="00976D33">
        <w:fldChar w:fldCharType="separate"/>
      </w:r>
      <w:r w:rsidR="003B7FFA">
        <w:rPr>
          <w:noProof/>
        </w:rPr>
        <w:t>73</w:t>
      </w:r>
      <w:r w:rsidRPr="00976D33">
        <w:fldChar w:fldCharType="end"/>
      </w:r>
      <w:bookmarkEnd w:id="526"/>
      <w:bookmarkEnd w:id="527"/>
      <w:r>
        <w:t>. Pjesa e energjisë së ripërtëritshme në ngrohje dhe ftohje</w:t>
      </w:r>
      <w:bookmarkEnd w:id="528"/>
    </w:p>
    <w:p w14:paraId="32EFB541" w14:textId="7AA3C529" w:rsidR="00D60F59" w:rsidRPr="00976D33" w:rsidRDefault="008827CF" w:rsidP="00FD3BFB">
      <w:pPr>
        <w:rPr>
          <w:rFonts w:eastAsia="Times New Roman" w:cs="Calibri"/>
          <w:color w:val="000000"/>
        </w:rPr>
      </w:pPr>
      <w:r>
        <w:rPr>
          <w:noProof/>
          <w:lang w:val="en-US"/>
        </w:rPr>
        <w:drawing>
          <wp:inline distT="0" distB="0" distL="0" distR="0" wp14:anchorId="7DF446F9" wp14:editId="207B7E89">
            <wp:extent cx="6079490" cy="2762250"/>
            <wp:effectExtent l="0" t="0" r="0" b="0"/>
            <wp:docPr id="16153173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079490" cy="2762250"/>
                    </a:xfrm>
                    <a:prstGeom prst="rect">
                      <a:avLst/>
                    </a:prstGeom>
                    <a:noFill/>
                    <a:ln>
                      <a:noFill/>
                    </a:ln>
                  </pic:spPr>
                </pic:pic>
              </a:graphicData>
            </a:graphic>
          </wp:inline>
        </w:drawing>
      </w:r>
    </w:p>
    <w:p w14:paraId="0A2E7AA9" w14:textId="70F77827" w:rsidR="00FD3BFB" w:rsidRPr="00976D33" w:rsidRDefault="00FD3BFB" w:rsidP="00FD3BFB">
      <w:pPr>
        <w:rPr>
          <w:rFonts w:cs="calibri light (Überschriften)"/>
          <w:i/>
          <w:sz w:val="16"/>
          <w:szCs w:val="16"/>
        </w:rPr>
      </w:pPr>
      <w:r>
        <w:rPr>
          <w:i/>
          <w:sz w:val="16"/>
        </w:rPr>
        <w:t>Burimi: llogaritjet dhe modelimi vetanak</w:t>
      </w:r>
      <w:r>
        <w:rPr>
          <w:i/>
          <w:sz w:val="16"/>
        </w:rPr>
        <w:tab/>
      </w:r>
    </w:p>
    <w:p w14:paraId="342452E1" w14:textId="77777777" w:rsidR="00FD3BFB" w:rsidRPr="00976D33" w:rsidRDefault="00FD3BFB" w:rsidP="00FD3BFB">
      <w:pPr>
        <w:rPr>
          <w:lang w:eastAsia="de-DE"/>
        </w:rPr>
      </w:pPr>
    </w:p>
    <w:p w14:paraId="4F5ADFB6" w14:textId="4F1C0AFF" w:rsidR="00FD3BFB" w:rsidRDefault="00FD3BFB" w:rsidP="00FD3BFB">
      <w:r>
        <w:t>Në sektorin e transportit, pjesëmarrje më e lartë e energjisë së ripërtëritshme është arritur në WAM në vitin 2040 prej 10% (</w:t>
      </w:r>
      <w:r w:rsidR="008827CF">
        <w:fldChar w:fldCharType="begin"/>
      </w:r>
      <w:r w:rsidR="008827CF">
        <w:instrText xml:space="preserve"> REF _Ref127744926 \h </w:instrText>
      </w:r>
      <w:r w:rsidR="008827CF">
        <w:fldChar w:fldCharType="separate"/>
      </w:r>
      <w:r w:rsidR="003B7FFA">
        <w:t xml:space="preserve">Figura </w:t>
      </w:r>
      <w:r w:rsidR="003B7FFA">
        <w:rPr>
          <w:noProof/>
        </w:rPr>
        <w:t>1</w:t>
      </w:r>
      <w:r w:rsidR="008827CF">
        <w:fldChar w:fldCharType="end"/>
      </w:r>
      <w:r>
        <w:t>) për shkak të një përqindje më të lartë të automjeteve me bateri elektrike, zhvendosjes modale në transportin hekurudhor, si dhe normës më të lartë të elektrifikimit hekurudhor.</w:t>
      </w:r>
    </w:p>
    <w:p w14:paraId="7F1F9D8F" w14:textId="77777777" w:rsidR="00CB6B89" w:rsidRDefault="00CB6B89" w:rsidP="00FD3BFB">
      <w:pPr>
        <w:rPr>
          <w:lang w:eastAsia="de-DE"/>
        </w:rPr>
      </w:pPr>
    </w:p>
    <w:p w14:paraId="32E2281C" w14:textId="4C7360A0" w:rsidR="00FD3BFB" w:rsidRPr="00976D33" w:rsidRDefault="00FD3BFB" w:rsidP="00FD3BFB">
      <w:pPr>
        <w:pStyle w:val="Caption"/>
      </w:pPr>
      <w:bookmarkStart w:id="529" w:name="_Ref138209863"/>
      <w:bookmarkStart w:id="530" w:name="_Toc181867277"/>
      <w:r>
        <w:lastRenderedPageBreak/>
        <w:t xml:space="preserve">Figura </w:t>
      </w:r>
      <w:r w:rsidRPr="00976D33">
        <w:fldChar w:fldCharType="begin"/>
      </w:r>
      <w:r w:rsidRPr="00976D33">
        <w:instrText>SEQ Figure \* ARABIC</w:instrText>
      </w:r>
      <w:r w:rsidRPr="00976D33">
        <w:fldChar w:fldCharType="separate"/>
      </w:r>
      <w:r w:rsidR="003B7FFA">
        <w:rPr>
          <w:noProof/>
        </w:rPr>
        <w:t>74</w:t>
      </w:r>
      <w:r w:rsidRPr="00976D33">
        <w:fldChar w:fldCharType="end"/>
      </w:r>
      <w:bookmarkEnd w:id="529"/>
      <w:r>
        <w:t>: Pjesëmarrja e energjisë së ripërtëritshme në sektorin e transportit</w:t>
      </w:r>
      <w:bookmarkEnd w:id="530"/>
    </w:p>
    <w:p w14:paraId="1A6BA0FB" w14:textId="09026FFA" w:rsidR="00900CCE" w:rsidRDefault="008827CF" w:rsidP="00FD3BFB">
      <w:pPr>
        <w:rPr>
          <w:rFonts w:eastAsia="Times New Roman" w:cs="Calibri"/>
          <w:color w:val="000000"/>
        </w:rPr>
      </w:pPr>
      <w:r>
        <w:rPr>
          <w:noProof/>
          <w:lang w:val="en-US"/>
        </w:rPr>
        <w:drawing>
          <wp:inline distT="0" distB="0" distL="0" distR="0" wp14:anchorId="5D4D364C" wp14:editId="4F571892">
            <wp:extent cx="6079490" cy="2641600"/>
            <wp:effectExtent l="0" t="0" r="0" b="0"/>
            <wp:docPr id="16723722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079490" cy="2641600"/>
                    </a:xfrm>
                    <a:prstGeom prst="rect">
                      <a:avLst/>
                    </a:prstGeom>
                    <a:noFill/>
                    <a:ln>
                      <a:noFill/>
                    </a:ln>
                  </pic:spPr>
                </pic:pic>
              </a:graphicData>
            </a:graphic>
          </wp:inline>
        </w:drawing>
      </w:r>
    </w:p>
    <w:p w14:paraId="10931639" w14:textId="77777777" w:rsidR="00FD3BFB" w:rsidRPr="00976D33" w:rsidRDefault="00FD3BFB" w:rsidP="00FD3BFB">
      <w:pPr>
        <w:rPr>
          <w:rFonts w:cs="calibri light (Überschriften)"/>
          <w:i/>
          <w:sz w:val="16"/>
          <w:szCs w:val="16"/>
        </w:rPr>
      </w:pPr>
      <w:r>
        <w:rPr>
          <w:i/>
          <w:sz w:val="16"/>
        </w:rPr>
        <w:t>Burimi: llogaritjet dhe modelimi vetanak</w:t>
      </w:r>
      <w:r>
        <w:rPr>
          <w:i/>
          <w:sz w:val="16"/>
        </w:rPr>
        <w:tab/>
      </w:r>
    </w:p>
    <w:p w14:paraId="785347CE" w14:textId="77777777" w:rsidR="00FD3BFB" w:rsidRPr="00976D33" w:rsidRDefault="00FD3BFB" w:rsidP="00FD3BFB">
      <w:pPr>
        <w:pStyle w:val="Heading3"/>
        <w:numPr>
          <w:ilvl w:val="0"/>
          <w:numId w:val="0"/>
        </w:numPr>
        <w:ind w:left="720" w:hanging="720"/>
        <w:rPr>
          <w:b/>
          <w:i/>
          <w:szCs w:val="22"/>
        </w:rPr>
      </w:pPr>
      <w:bookmarkStart w:id="531" w:name="_Toc137677740"/>
      <w:bookmarkStart w:id="532" w:name="_Toc182302351"/>
      <w:r>
        <w:rPr>
          <w:b/>
          <w:i/>
        </w:rPr>
        <w:t>Dimensioni i efiçiencës së energjisë</w:t>
      </w:r>
      <w:bookmarkEnd w:id="531"/>
      <w:bookmarkEnd w:id="532"/>
      <w:r>
        <w:rPr>
          <w:b/>
          <w:i/>
        </w:rPr>
        <w:t xml:space="preserve"> </w:t>
      </w:r>
    </w:p>
    <w:p w14:paraId="2DF6A4DF" w14:textId="12BA3DFA" w:rsidR="00FD3BFB" w:rsidRPr="00976D33" w:rsidRDefault="11DF53D4" w:rsidP="00FD3BFB">
      <w:r>
        <w:t>Konsumi primar i energjisë (KPE) në skenarin WAM është reduktuar për me 11% në vitin 2030 krahasuar me skenarin WEM, ndërsa në vitin 2040, reduktimi do të rritet në 17% (</w:t>
      </w:r>
      <w:r w:rsidR="00FD3BFB" w:rsidRPr="00976D33">
        <w:fldChar w:fldCharType="begin"/>
      </w:r>
      <w:r w:rsidR="00FD3BFB" w:rsidRPr="00976D33">
        <w:instrText xml:space="preserve"> REF _Ref138122330 \h  \* MERGEFORMAT </w:instrText>
      </w:r>
      <w:r w:rsidR="00FD3BFB" w:rsidRPr="00976D33">
        <w:fldChar w:fldCharType="separate"/>
      </w:r>
      <w:r w:rsidR="003B7FFA">
        <w:t>Figura 75</w:t>
      </w:r>
      <w:r w:rsidR="00FD3BFB" w:rsidRPr="00976D33">
        <w:fldChar w:fldCharType="end"/>
      </w:r>
      <w:r>
        <w:t xml:space="preserve">). Modeli i KPE-së i ngjan trajektores së emetimeve të GS-ve të përshkruar në seksionin e mëparshëm. Korrelacioni i lartë ndërmjet trajektoreve tregon intensitetin e lartë të emetimeve të prodhimit të energjisë elektrike në vitet fillestare. Ai gjithashtu thekson ndërlidhjet e forta ndërmjet dimensioneve të efiçiencës së energjisë dhe dekarbonizimit në sistemin energjetik të Kosovës. </w:t>
      </w:r>
    </w:p>
    <w:p w14:paraId="6A1FBC60" w14:textId="6830A9B0" w:rsidR="00FD3BFB" w:rsidRPr="00976D33" w:rsidRDefault="00FD3BFB" w:rsidP="00FD3BFB">
      <w:pPr>
        <w:pStyle w:val="Caption"/>
      </w:pPr>
      <w:bookmarkStart w:id="533" w:name="_Ref138122330"/>
      <w:bookmarkStart w:id="534" w:name="_Toc181867278"/>
      <w:r>
        <w:t xml:space="preserve">Figura </w:t>
      </w:r>
      <w:r w:rsidRPr="00976D33">
        <w:fldChar w:fldCharType="begin"/>
      </w:r>
      <w:r w:rsidRPr="00976D33">
        <w:instrText>SEQ Figure \* ARABIC</w:instrText>
      </w:r>
      <w:r w:rsidRPr="00976D33">
        <w:fldChar w:fldCharType="separate"/>
      </w:r>
      <w:r w:rsidR="003B7FFA">
        <w:rPr>
          <w:noProof/>
        </w:rPr>
        <w:t>75</w:t>
      </w:r>
      <w:r w:rsidRPr="00976D33">
        <w:fldChar w:fldCharType="end"/>
      </w:r>
      <w:bookmarkEnd w:id="533"/>
      <w:r>
        <w:t>. Konsumi primar i energjisë, krahasimi ndërmjet  skenarëve WAM dhe WEM</w:t>
      </w:r>
      <w:bookmarkEnd w:id="534"/>
    </w:p>
    <w:p w14:paraId="7E97C970" w14:textId="21109712" w:rsidR="00973E25" w:rsidRPr="00976D33" w:rsidRDefault="00973E25" w:rsidP="00FD3BFB">
      <w:pPr>
        <w:rPr>
          <w:rFonts w:eastAsia="Times New Roman" w:cs="Calibri"/>
          <w:color w:val="000000"/>
        </w:rPr>
      </w:pPr>
      <w:r>
        <w:rPr>
          <w:noProof/>
          <w:lang w:val="en-US"/>
        </w:rPr>
        <w:drawing>
          <wp:inline distT="0" distB="0" distL="0" distR="0" wp14:anchorId="6092D894" wp14:editId="4617F907">
            <wp:extent cx="6079490" cy="2741295"/>
            <wp:effectExtent l="0" t="0" r="0" b="0"/>
            <wp:docPr id="4146664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079490" cy="2741295"/>
                    </a:xfrm>
                    <a:prstGeom prst="rect">
                      <a:avLst/>
                    </a:prstGeom>
                    <a:noFill/>
                    <a:ln>
                      <a:noFill/>
                    </a:ln>
                  </pic:spPr>
                </pic:pic>
              </a:graphicData>
            </a:graphic>
          </wp:inline>
        </w:drawing>
      </w:r>
    </w:p>
    <w:p w14:paraId="080F9397" w14:textId="77777777" w:rsidR="00FD3BFB" w:rsidRPr="00976D33" w:rsidRDefault="00FD3BFB" w:rsidP="00FD3BFB">
      <w:pPr>
        <w:jc w:val="left"/>
        <w:rPr>
          <w:i/>
          <w:sz w:val="16"/>
          <w:szCs w:val="16"/>
        </w:rPr>
      </w:pPr>
      <w:r>
        <w:rPr>
          <w:i/>
          <w:sz w:val="16"/>
        </w:rPr>
        <w:t>Burimi: llogaritjet dhe modelimi vetanak</w:t>
      </w:r>
    </w:p>
    <w:p w14:paraId="7837017B" w14:textId="453DA940" w:rsidR="00FE486A" w:rsidRDefault="00FD3BFB" w:rsidP="00FD3BFB">
      <w:r>
        <w:t>Sipas projeksioneve të WAM, KPE do të arrijë vlerën prej 2,300 ktoe në vitin 2030 (</w:t>
      </w:r>
      <w:r w:rsidR="00706654" w:rsidRPr="00976D33">
        <w:fldChar w:fldCharType="begin"/>
      </w:r>
      <w:r w:rsidR="00706654" w:rsidRPr="00976D33">
        <w:instrText xml:space="preserve"> REF _Ref138122703 \h  \* MERGEFORMAT </w:instrText>
      </w:r>
      <w:r w:rsidR="00706654" w:rsidRPr="00976D33">
        <w:fldChar w:fldCharType="separate"/>
      </w:r>
      <w:r w:rsidR="003B7FFA">
        <w:t>Figura 76</w:t>
      </w:r>
      <w:r w:rsidR="00706654" w:rsidRPr="00976D33">
        <w:fldChar w:fldCharType="end"/>
      </w:r>
      <w:r>
        <w:t xml:space="preserve">), duke tejkaluar objektivin e efiçiencës së energjisë prej 2700 ktoe, të përcaktuar në Këshillin Ministror të Komunitetit të Energjisë në vitin 2023. Në skenarin WAM, konsumi primar i energjisë ulet mesatarisht për 2.0% në vit në periudhën 2021-2030, ndërsa në skenarin WEM, me një ulje mesatare në vit prej 0.8%, ulja është më e butë. Divergjenca në trajektore çon në një vlerë prej 11% më të ulët të KPE-së në vitin 2030 krahasuar me skenarin WEM. Për më tepër, grafikët sugjerojnë se, ndryshe nga projeksion në rritje i KPE-së në skenarin WEM, KPE në WAM parashikohet të vazhdojë të bjerë pas vitit 2030. Analiza e grafikut në anën e djathtë thekson se </w:t>
      </w:r>
      <w:r>
        <w:lastRenderedPageBreak/>
        <w:t>kursimet e KPE-së (WAM krahasuar me WEM), kur shpërndahen tërësisht për sektorët e kërkesës, arrihen në pjesën më të madhe në sektorin rezidencial dhe atë të shërbimeve. Disa kursime në KPE janë arritur edhe në sektorin e transportit.</w:t>
      </w:r>
    </w:p>
    <w:p w14:paraId="4D4D8341" w14:textId="7140CFA1" w:rsidR="00CB6B89" w:rsidRDefault="00CB6B89" w:rsidP="00FD3BFB"/>
    <w:p w14:paraId="36145E75" w14:textId="22DE8F15" w:rsidR="00FD3BFB" w:rsidRPr="00976D33" w:rsidRDefault="00FD3BFB" w:rsidP="00FD3BFB">
      <w:pPr>
        <w:pStyle w:val="Caption"/>
      </w:pPr>
      <w:bookmarkStart w:id="535" w:name="_Ref138122703"/>
      <w:bookmarkStart w:id="536" w:name="_Toc181867279"/>
      <w:r>
        <w:t xml:space="preserve">Figura </w:t>
      </w:r>
      <w:r w:rsidRPr="00976D33">
        <w:fldChar w:fldCharType="begin"/>
      </w:r>
      <w:r w:rsidRPr="00976D33">
        <w:instrText>SEQ Figure \* ARABIC</w:instrText>
      </w:r>
      <w:r w:rsidRPr="00976D33">
        <w:fldChar w:fldCharType="separate"/>
      </w:r>
      <w:r w:rsidR="003B7FFA">
        <w:rPr>
          <w:noProof/>
        </w:rPr>
        <w:t>76</w:t>
      </w:r>
      <w:r w:rsidRPr="00976D33">
        <w:fldChar w:fldCharType="end"/>
      </w:r>
      <w:bookmarkEnd w:id="535"/>
      <w:r>
        <w:t>. Konsumi primar i energjisë sipas sektorëve në skenarin WAM, ndryshimet ndërmjet WAM dhe WEM</w:t>
      </w:r>
      <w:bookmarkEnd w:id="536"/>
    </w:p>
    <w:p w14:paraId="049749BB" w14:textId="7A26C7D6" w:rsidR="00A754F9" w:rsidRPr="00976D33" w:rsidRDefault="008C7835" w:rsidP="00FD3BFB">
      <w:pPr>
        <w:pStyle w:val="Tabellenberschrift"/>
        <w:ind w:left="-142" w:right="-1548"/>
        <w:jc w:val="both"/>
      </w:pPr>
      <w:r>
        <w:rPr>
          <w:noProof/>
          <w:lang w:val="en-US" w:eastAsia="en-US"/>
        </w:rPr>
        <w:drawing>
          <wp:inline distT="0" distB="0" distL="0" distR="0" wp14:anchorId="70657848" wp14:editId="60629670">
            <wp:extent cx="6079490" cy="2436495"/>
            <wp:effectExtent l="0" t="0" r="0" b="0"/>
            <wp:docPr id="5996140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079490" cy="2436495"/>
                    </a:xfrm>
                    <a:prstGeom prst="rect">
                      <a:avLst/>
                    </a:prstGeom>
                    <a:noFill/>
                    <a:ln>
                      <a:noFill/>
                    </a:ln>
                  </pic:spPr>
                </pic:pic>
              </a:graphicData>
            </a:graphic>
          </wp:inline>
        </w:drawing>
      </w:r>
    </w:p>
    <w:p w14:paraId="17951AD8" w14:textId="77777777" w:rsidR="00FD3BFB" w:rsidRPr="00976D33" w:rsidRDefault="00FD3BFB" w:rsidP="00FD3BFB">
      <w:pPr>
        <w:jc w:val="left"/>
        <w:rPr>
          <w:i/>
          <w:sz w:val="16"/>
          <w:szCs w:val="16"/>
        </w:rPr>
      </w:pPr>
      <w:r>
        <w:rPr>
          <w:i/>
          <w:sz w:val="16"/>
        </w:rPr>
        <w:t>Burimi: llogaritjet dhe modelimi vetanak</w:t>
      </w:r>
    </w:p>
    <w:p w14:paraId="4E338E82" w14:textId="60C9EF7E" w:rsidR="00FD3BFB" w:rsidRPr="00976D33" w:rsidRDefault="00FD3BFB" w:rsidP="00FD3BFB">
      <w:pPr>
        <w:rPr>
          <w:rFonts w:eastAsia="Times New Roman" w:cs="Calibri"/>
          <w:color w:val="000000"/>
        </w:rPr>
      </w:pPr>
      <w:r>
        <w:t>Kursimet e KPE-së në WAM në sektorët e lartpërmendur rrjedhin kryesisht nga rënia e konsumit të linjitit dhe biomasës  (</w:t>
      </w:r>
      <w:r w:rsidRPr="00976D33">
        <w:fldChar w:fldCharType="begin"/>
      </w:r>
      <w:r w:rsidRPr="00976D33">
        <w:instrText xml:space="preserve"> REF _Ref138123067 \h </w:instrText>
      </w:r>
      <w:r w:rsidR="004A7007" w:rsidRPr="00976D33">
        <w:instrText xml:space="preserve"> \* MERGEFORMAT </w:instrText>
      </w:r>
      <w:r w:rsidRPr="00976D33">
        <w:fldChar w:fldCharType="separate"/>
      </w:r>
      <w:r w:rsidR="003B7FFA">
        <w:t>Figura 77</w:t>
      </w:r>
      <w:r w:rsidRPr="00976D33">
        <w:fldChar w:fldCharType="end"/>
      </w:r>
      <w:r>
        <w:t>). Ulja e linjitit duhet t’i atribuohet kryesisht zëvendësimit të prodhimit të energjisë elektrike me bazë linjiti me BRE. Përveç kësaj, grafikët tregojnë për rritje të konsumit primar të energjisë të naftës si rezultat i rritjes së kërkesës për transport.</w:t>
      </w:r>
    </w:p>
    <w:p w14:paraId="2AEEFA5A" w14:textId="6DAB07BE" w:rsidR="00FD3BFB" w:rsidRPr="00976D33" w:rsidRDefault="00FD3BFB" w:rsidP="00FD3BFB">
      <w:pPr>
        <w:pStyle w:val="Caption"/>
      </w:pPr>
      <w:bookmarkStart w:id="537" w:name="_Ref138123067"/>
      <w:bookmarkStart w:id="538" w:name="_Toc181867280"/>
      <w:r>
        <w:t xml:space="preserve">Figura </w:t>
      </w:r>
      <w:r w:rsidRPr="00976D33">
        <w:fldChar w:fldCharType="begin"/>
      </w:r>
      <w:r w:rsidRPr="00976D33">
        <w:instrText>SEQ Figure \* ARABIC</w:instrText>
      </w:r>
      <w:r w:rsidRPr="00976D33">
        <w:fldChar w:fldCharType="separate"/>
      </w:r>
      <w:r w:rsidR="003B7FFA">
        <w:rPr>
          <w:noProof/>
        </w:rPr>
        <w:t>77</w:t>
      </w:r>
      <w:r w:rsidRPr="00976D33">
        <w:fldChar w:fldCharType="end"/>
      </w:r>
      <w:bookmarkEnd w:id="537"/>
      <w:r>
        <w:t>. Konsumi primar i energjisë, ndryshimet ndërmjet skenarëve WAM dhe WEM sipas lëndës djegëse</w:t>
      </w:r>
      <w:bookmarkEnd w:id="538"/>
    </w:p>
    <w:p w14:paraId="622E18AB" w14:textId="15119D5E" w:rsidR="00DB7E30" w:rsidRPr="008C14F9" w:rsidRDefault="00DB7E30" w:rsidP="00FD3BFB">
      <w:pPr>
        <w:jc w:val="left"/>
        <w:rPr>
          <w:iCs/>
          <w:sz w:val="16"/>
          <w:szCs w:val="16"/>
        </w:rPr>
      </w:pPr>
      <w:r>
        <w:rPr>
          <w:noProof/>
          <w:lang w:val="en-US"/>
        </w:rPr>
        <w:drawing>
          <wp:inline distT="0" distB="0" distL="0" distR="0" wp14:anchorId="463F16E7" wp14:editId="3783D646">
            <wp:extent cx="6079490" cy="2880995"/>
            <wp:effectExtent l="0" t="0" r="0" b="0"/>
            <wp:docPr id="19704113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079490" cy="2880995"/>
                    </a:xfrm>
                    <a:prstGeom prst="rect">
                      <a:avLst/>
                    </a:prstGeom>
                    <a:noFill/>
                    <a:ln>
                      <a:noFill/>
                    </a:ln>
                  </pic:spPr>
                </pic:pic>
              </a:graphicData>
            </a:graphic>
          </wp:inline>
        </w:drawing>
      </w:r>
    </w:p>
    <w:p w14:paraId="05C20BEC" w14:textId="77777777" w:rsidR="00FD3BFB" w:rsidRPr="00976D33" w:rsidRDefault="00FD3BFB" w:rsidP="00FD3BFB">
      <w:pPr>
        <w:jc w:val="left"/>
        <w:rPr>
          <w:i/>
          <w:sz w:val="16"/>
          <w:szCs w:val="16"/>
        </w:rPr>
      </w:pPr>
      <w:r>
        <w:rPr>
          <w:i/>
          <w:sz w:val="16"/>
        </w:rPr>
        <w:t>Burimi: llogaritjet dhe modelimi vetanak</w:t>
      </w:r>
    </w:p>
    <w:p w14:paraId="0050044D" w14:textId="4D453E9B" w:rsidR="00FD3BFB" w:rsidRDefault="00FD3BFB" w:rsidP="00FD3BFB">
      <w:r>
        <w:t>Krahasuar me skenarin WEM, parashikohet që masa shtesë në fushën e efiçiencës së energjisë do të çojnë në 146 ktoe kursime KPE-së deri në vitin 2030 (</w:t>
      </w:r>
      <w:r w:rsidRPr="00976D33">
        <w:fldChar w:fldCharType="begin"/>
      </w:r>
      <w:r w:rsidRPr="00976D33">
        <w:instrText xml:space="preserve"> REF _Ref138123263 \h  \* MERGEFORMAT </w:instrText>
      </w:r>
      <w:r w:rsidRPr="00976D33">
        <w:fldChar w:fldCharType="separate"/>
      </w:r>
      <w:r w:rsidR="003B7FFA">
        <w:t xml:space="preserve">Figura </w:t>
      </w:r>
      <w:r w:rsidR="003B7FFA">
        <w:rPr>
          <w:noProof/>
        </w:rPr>
        <w:t>78</w:t>
      </w:r>
      <w:r w:rsidRPr="00976D33">
        <w:fldChar w:fldCharType="end"/>
      </w:r>
      <w:r>
        <w:t>). Si rezultat, KPE në skenarin WAM pritet të jetë 8% më i ulët në vitin 2030 krahasuar me skenarin WEM. Për më tepër, ndryshe nga skenari WEM, trajektorja WAM pritet të përmbushë objektivin e efiçiencës së energjisë prej 1,800 ktoe në vitin 2030.</w:t>
      </w:r>
    </w:p>
    <w:p w14:paraId="479885F0" w14:textId="77777777" w:rsidR="00F44B6E" w:rsidRDefault="00F44B6E" w:rsidP="00FD3BFB">
      <w:pPr>
        <w:rPr>
          <w:lang w:eastAsia="de-DE"/>
        </w:rPr>
      </w:pPr>
    </w:p>
    <w:p w14:paraId="18C1ADDB" w14:textId="41D22E8E" w:rsidR="00FD3BFB" w:rsidRPr="00976D33" w:rsidRDefault="00FD3BFB" w:rsidP="00FD3BFB">
      <w:pPr>
        <w:pStyle w:val="Caption"/>
      </w:pPr>
      <w:bookmarkStart w:id="539" w:name="_Ref138123263"/>
      <w:bookmarkStart w:id="540" w:name="_Toc181867281"/>
      <w:r>
        <w:t xml:space="preserve">Figura </w:t>
      </w:r>
      <w:r w:rsidR="00062E07">
        <w:fldChar w:fldCharType="begin"/>
      </w:r>
      <w:r w:rsidR="00062E07">
        <w:instrText xml:space="preserve"> SEQ Figure \* ARABIC </w:instrText>
      </w:r>
      <w:r w:rsidR="00062E07">
        <w:fldChar w:fldCharType="separate"/>
      </w:r>
      <w:r w:rsidR="003B7FFA">
        <w:rPr>
          <w:noProof/>
        </w:rPr>
        <w:t>78</w:t>
      </w:r>
      <w:r w:rsidR="00062E07">
        <w:rPr>
          <w:noProof/>
        </w:rPr>
        <w:fldChar w:fldCharType="end"/>
      </w:r>
      <w:bookmarkEnd w:id="539"/>
      <w:r>
        <w:t>. Konsumi final i energjisë – krahasimi ndërmjet skenarëve WEM dhe WAM</w:t>
      </w:r>
      <w:bookmarkEnd w:id="540"/>
    </w:p>
    <w:p w14:paraId="117C6D8A" w14:textId="42B710C2" w:rsidR="00FC65BC" w:rsidRPr="00976D33" w:rsidRDefault="00FC65BC" w:rsidP="00FD3BFB">
      <w:r>
        <w:rPr>
          <w:noProof/>
          <w:lang w:val="en-US"/>
        </w:rPr>
        <w:lastRenderedPageBreak/>
        <w:drawing>
          <wp:inline distT="0" distB="0" distL="0" distR="0" wp14:anchorId="5AC379AB" wp14:editId="595EB138">
            <wp:extent cx="6079490" cy="2680335"/>
            <wp:effectExtent l="0" t="0" r="0" b="0"/>
            <wp:docPr id="20228888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079490" cy="2680335"/>
                    </a:xfrm>
                    <a:prstGeom prst="rect">
                      <a:avLst/>
                    </a:prstGeom>
                    <a:noFill/>
                    <a:ln>
                      <a:noFill/>
                    </a:ln>
                  </pic:spPr>
                </pic:pic>
              </a:graphicData>
            </a:graphic>
          </wp:inline>
        </w:drawing>
      </w:r>
    </w:p>
    <w:p w14:paraId="3C83FAC8" w14:textId="77777777" w:rsidR="00FD3BFB" w:rsidRPr="00976D33" w:rsidRDefault="00FD3BFB" w:rsidP="00FD3BFB">
      <w:pPr>
        <w:jc w:val="left"/>
        <w:rPr>
          <w:i/>
          <w:sz w:val="16"/>
          <w:szCs w:val="16"/>
        </w:rPr>
      </w:pPr>
      <w:r>
        <w:rPr>
          <w:i/>
          <w:sz w:val="16"/>
        </w:rPr>
        <w:t>Burimi: llogaritjet dhe modelimi vetanak</w:t>
      </w:r>
    </w:p>
    <w:p w14:paraId="2E38B056" w14:textId="06A71B25" w:rsidR="00FD3BFB" w:rsidRPr="00976D33" w:rsidRDefault="00FD3BFB" w:rsidP="00FD3BFB">
      <w:pPr>
        <w:rPr>
          <w:rFonts w:eastAsia="Times New Roman" w:cs="Calibri"/>
        </w:rPr>
      </w:pPr>
      <w:r>
        <w:t>KPE parashikohet të rritet mesatarisht për 0.83% në vit në periudhën 2021-2030 dhe të arrijë vlerën prej 1.775 ktoe në vitin 2030 (</w:t>
      </w:r>
      <w:r w:rsidRPr="00976D33">
        <w:rPr>
          <w:rFonts w:eastAsia="Times New Roman" w:cs="Calibri"/>
        </w:rPr>
        <w:fldChar w:fldCharType="begin"/>
      </w:r>
      <w:r w:rsidRPr="00976D33">
        <w:rPr>
          <w:rFonts w:eastAsia="Times New Roman" w:cs="Calibri"/>
        </w:rPr>
        <w:instrText xml:space="preserve"> REF _Ref138123462 \h </w:instrText>
      </w:r>
      <w:r w:rsidR="004A7007" w:rsidRPr="00976D33">
        <w:rPr>
          <w:rFonts w:eastAsia="Times New Roman" w:cs="Calibri"/>
        </w:rPr>
        <w:instrText xml:space="preserve"> \* MERGEFORMAT </w:instrText>
      </w:r>
      <w:r w:rsidRPr="00976D33">
        <w:rPr>
          <w:rFonts w:eastAsia="Times New Roman" w:cs="Calibri"/>
        </w:rPr>
      </w:r>
      <w:r w:rsidRPr="00976D33">
        <w:rPr>
          <w:rFonts w:eastAsia="Times New Roman" w:cs="Calibri"/>
        </w:rPr>
        <w:fldChar w:fldCharType="separate"/>
      </w:r>
      <w:r w:rsidR="003B7FFA">
        <w:t>Figura 79</w:t>
      </w:r>
      <w:r w:rsidRPr="00976D33">
        <w:rPr>
          <w:rFonts w:eastAsia="Times New Roman" w:cs="Calibri"/>
        </w:rPr>
        <w:fldChar w:fldCharType="end"/>
      </w:r>
      <w:r>
        <w:t xml:space="preserve">). Kjo përkthehet në një rritje prej 8% krahasuar me nivelet e vitit 2021. </w:t>
      </w:r>
    </w:p>
    <w:p w14:paraId="4FD19960" w14:textId="6D435104" w:rsidR="00FD3BFB" w:rsidRPr="00976D33" w:rsidRDefault="00FD3BFB" w:rsidP="00FD3BFB">
      <w:pPr>
        <w:rPr>
          <w:rFonts w:eastAsia="Times New Roman" w:cs="Calibri"/>
        </w:rPr>
      </w:pPr>
      <w:r>
        <w:t>Në përgjithësi, trendët pozitive të rritjes së kërkesës finale për energji në periudhën 2021-2040 mund të vërehen në sektorët e industrisë, transportit, bujqësisë dhe pylltarisë. Gjatë periudhës 2021-2030, pavarësisht masave të kursimit të energjisë në degët e transportit dhe industrisë, KPE në këta sektorë parashikohet të rritet për 25% përkatësisht 23%. Kjo mund t’i atribuohet rritjes së vëllimeve të prodhimit industrial dhe kërkesës më të lartë për transport gjatë gjithë periudhës kohore të analizuar.</w:t>
      </w:r>
    </w:p>
    <w:p w14:paraId="31797C9C" w14:textId="466636FD" w:rsidR="00F44B6E" w:rsidRPr="00976D33" w:rsidRDefault="00FD3BFB" w:rsidP="00FD3BFB">
      <w:pPr>
        <w:rPr>
          <w:rFonts w:eastAsia="Times New Roman" w:cs="Calibri"/>
        </w:rPr>
      </w:pPr>
      <w:r>
        <w:t xml:space="preserve">Në të kundërt, për shkak të masave për efiçiencën e energjisë, konsumi final i energjisë në sektorin rezidencial dhe atë të shërbimeve parashikohet të ulet për 10% përkatësisht 4% në vitin 2030 krahasuar me vitin 2021. </w:t>
      </w:r>
      <w:r w:rsidRPr="00976D33">
        <w:rPr>
          <w:rFonts w:eastAsia="Times New Roman" w:cs="Calibri"/>
        </w:rPr>
        <w:fldChar w:fldCharType="begin"/>
      </w:r>
      <w:r w:rsidRPr="00976D33">
        <w:rPr>
          <w:rFonts w:eastAsia="Times New Roman" w:cs="Calibri"/>
        </w:rPr>
        <w:instrText xml:space="preserve"> REF _Ref138123462 \h </w:instrText>
      </w:r>
      <w:r w:rsidR="004A7007" w:rsidRPr="00976D33">
        <w:rPr>
          <w:rFonts w:eastAsia="Times New Roman" w:cs="Calibri"/>
        </w:rPr>
        <w:instrText xml:space="preserve"> \* MERGEFORMAT </w:instrText>
      </w:r>
      <w:r w:rsidRPr="00976D33">
        <w:rPr>
          <w:rFonts w:eastAsia="Times New Roman" w:cs="Calibri"/>
        </w:rPr>
      </w:r>
      <w:r w:rsidRPr="00976D33">
        <w:rPr>
          <w:rFonts w:eastAsia="Times New Roman" w:cs="Calibri"/>
        </w:rPr>
        <w:fldChar w:fldCharType="separate"/>
      </w:r>
      <w:r w:rsidR="003B7FFA">
        <w:t>Figura 79</w:t>
      </w:r>
      <w:r w:rsidRPr="00976D33">
        <w:rPr>
          <w:rFonts w:eastAsia="Times New Roman" w:cs="Calibri"/>
        </w:rPr>
        <w:fldChar w:fldCharType="end"/>
      </w:r>
      <w:r>
        <w:t xml:space="preserve"> (në të djathtë) jep një pasqyrë të kursimeve të energjisë të arritura në secilin prej këtyre sektorëve në skenarin WAM, që rezulton nga përzierja e politikave dhe masave shtesë. Siç sugjeron grafiku, pjesëmarrja më e madhe e kursimit të energjisë është arritur në sektorin rezidencial, e pasuar nga sektori i shërbimeve dhe i transportit. </w:t>
      </w:r>
      <w:r>
        <w:rPr>
          <w:color w:val="000000"/>
        </w:rPr>
        <w:t xml:space="preserve">109,2 ktoe e </w:t>
      </w:r>
      <w:r>
        <w:t>kursime ve të energjisë në sektorin e banesave në vitin 2030 (</w:t>
      </w:r>
      <w:r w:rsidRPr="00976D33">
        <w:rPr>
          <w:rFonts w:eastAsia="Times New Roman" w:cs="Calibri"/>
        </w:rPr>
        <w:fldChar w:fldCharType="begin"/>
      </w:r>
      <w:r w:rsidRPr="00976D33">
        <w:rPr>
          <w:rFonts w:eastAsia="Times New Roman" w:cs="Calibri"/>
        </w:rPr>
        <w:instrText xml:space="preserve"> REF _Ref138123462 \h </w:instrText>
      </w:r>
      <w:r w:rsidR="004A7007" w:rsidRPr="00976D33">
        <w:rPr>
          <w:rFonts w:eastAsia="Times New Roman" w:cs="Calibri"/>
        </w:rPr>
        <w:instrText xml:space="preserve"> \* MERGEFORMAT </w:instrText>
      </w:r>
      <w:r w:rsidRPr="00976D33">
        <w:rPr>
          <w:rFonts w:eastAsia="Times New Roman" w:cs="Calibri"/>
        </w:rPr>
      </w:r>
      <w:r w:rsidRPr="00976D33">
        <w:rPr>
          <w:rFonts w:eastAsia="Times New Roman" w:cs="Calibri"/>
        </w:rPr>
        <w:fldChar w:fldCharType="separate"/>
      </w:r>
      <w:r w:rsidR="003B7FFA">
        <w:t>Figura 79</w:t>
      </w:r>
      <w:r w:rsidRPr="00976D33">
        <w:rPr>
          <w:rFonts w:eastAsia="Times New Roman" w:cs="Calibri"/>
        </w:rPr>
        <w:fldChar w:fldCharType="end"/>
      </w:r>
      <w:r>
        <w:t xml:space="preserve"> (në të djathtë)) janë rezultat i një kombinimi të politikave të përmbledhur në </w:t>
      </w:r>
      <w:r w:rsidRPr="00976D33">
        <w:rPr>
          <w:rFonts w:eastAsia="Times New Roman" w:cs="Calibri"/>
        </w:rPr>
        <w:fldChar w:fldCharType="begin"/>
      </w:r>
      <w:r w:rsidRPr="00976D33">
        <w:rPr>
          <w:rFonts w:eastAsia="Times New Roman" w:cs="Calibri"/>
        </w:rPr>
        <w:instrText xml:space="preserve"> REF _Ref138123914 \h </w:instrText>
      </w:r>
      <w:r w:rsidR="004A7007" w:rsidRPr="00976D33">
        <w:rPr>
          <w:rFonts w:eastAsia="Times New Roman" w:cs="Calibri"/>
        </w:rPr>
        <w:instrText xml:space="preserve"> \* MERGEFORMAT </w:instrText>
      </w:r>
      <w:r w:rsidRPr="00976D33">
        <w:rPr>
          <w:rFonts w:eastAsia="Times New Roman" w:cs="Calibri"/>
        </w:rPr>
      </w:r>
      <w:r w:rsidRPr="00976D33">
        <w:rPr>
          <w:rFonts w:eastAsia="Times New Roman" w:cs="Calibri"/>
        </w:rPr>
        <w:fldChar w:fldCharType="separate"/>
      </w:r>
      <w:r w:rsidR="003B7FFA">
        <w:t>Tabela 19</w:t>
      </w:r>
      <w:r w:rsidRPr="00976D33">
        <w:rPr>
          <w:rFonts w:eastAsia="Times New Roman" w:cs="Calibri"/>
        </w:rPr>
        <w:fldChar w:fldCharType="end"/>
      </w:r>
      <w:r>
        <w:t>, e cili gjithashtu shfaq kursimet kumulative të arritura nga këto masa deri në vitin 2030.</w:t>
      </w:r>
    </w:p>
    <w:p w14:paraId="75669FAE" w14:textId="50FAC85A" w:rsidR="00FD3BFB" w:rsidRPr="00976D33" w:rsidRDefault="00FD3BFB" w:rsidP="00FD3BFB">
      <w:pPr>
        <w:pStyle w:val="Caption"/>
      </w:pPr>
      <w:bookmarkStart w:id="541" w:name="_Ref138123462"/>
      <w:bookmarkStart w:id="542" w:name="_Toc181867282"/>
      <w:r>
        <w:t xml:space="preserve">Figura </w:t>
      </w:r>
      <w:r w:rsidRPr="00976D33">
        <w:fldChar w:fldCharType="begin"/>
      </w:r>
      <w:r w:rsidRPr="00976D33">
        <w:instrText>SEQ Figure \* ARABIC</w:instrText>
      </w:r>
      <w:r w:rsidRPr="00976D33">
        <w:fldChar w:fldCharType="separate"/>
      </w:r>
      <w:r w:rsidR="003B7FFA">
        <w:rPr>
          <w:noProof/>
        </w:rPr>
        <w:t>79</w:t>
      </w:r>
      <w:r w:rsidRPr="00976D33">
        <w:fldChar w:fldCharType="end"/>
      </w:r>
      <w:bookmarkEnd w:id="541"/>
      <w:r>
        <w:t>. Konsumi final i energjisë në skenarin WAM sipas sektorit, ndryshimet ndërmjet skenarëve WAM dhe WEM sipas lëndës djegëse</w:t>
      </w:r>
      <w:bookmarkEnd w:id="542"/>
    </w:p>
    <w:p w14:paraId="1CA539C9" w14:textId="10480964" w:rsidR="000B3874" w:rsidRPr="00976D33" w:rsidRDefault="000B3874" w:rsidP="00FE486A">
      <w:pPr>
        <w:pStyle w:val="Tabellenberschrift"/>
        <w:spacing w:before="0" w:after="0"/>
      </w:pPr>
      <w:r>
        <w:rPr>
          <w:noProof/>
          <w:lang w:val="en-US" w:eastAsia="en-US"/>
        </w:rPr>
        <w:drawing>
          <wp:inline distT="0" distB="0" distL="0" distR="0" wp14:anchorId="4DDBDE18" wp14:editId="42D04095">
            <wp:extent cx="6079490" cy="2724785"/>
            <wp:effectExtent l="0" t="0" r="0" b="0"/>
            <wp:docPr id="15829435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079490" cy="2724785"/>
                    </a:xfrm>
                    <a:prstGeom prst="rect">
                      <a:avLst/>
                    </a:prstGeom>
                    <a:noFill/>
                    <a:ln>
                      <a:noFill/>
                    </a:ln>
                  </pic:spPr>
                </pic:pic>
              </a:graphicData>
            </a:graphic>
          </wp:inline>
        </w:drawing>
      </w:r>
    </w:p>
    <w:p w14:paraId="55CBE10D" w14:textId="77777777" w:rsidR="00FD3BFB" w:rsidRPr="00976D33" w:rsidRDefault="00FD3BFB" w:rsidP="00FD3BFB">
      <w:pPr>
        <w:jc w:val="left"/>
        <w:rPr>
          <w:i/>
          <w:sz w:val="16"/>
          <w:szCs w:val="16"/>
        </w:rPr>
      </w:pPr>
      <w:r>
        <w:rPr>
          <w:i/>
          <w:sz w:val="16"/>
        </w:rPr>
        <w:t>Burimi: llogaritjet dhe modelimi vetanak</w:t>
      </w:r>
    </w:p>
    <w:p w14:paraId="64F51439" w14:textId="6F9E7365" w:rsidR="00FD3BFB" w:rsidRPr="00976D33" w:rsidRDefault="00FD3BFB" w:rsidP="00FD3BFB">
      <w:pPr>
        <w:pStyle w:val="Caption"/>
        <w:rPr>
          <w:rFonts w:eastAsia="Times New Roman" w:cs="Calibri"/>
        </w:rPr>
      </w:pPr>
      <w:bookmarkStart w:id="543" w:name="_Ref138123914"/>
      <w:bookmarkStart w:id="544" w:name="_Toc181867312"/>
      <w:r>
        <w:lastRenderedPageBreak/>
        <w:t xml:space="preserve">Tabela </w:t>
      </w:r>
      <w:r w:rsidRPr="00976D33">
        <w:fldChar w:fldCharType="begin"/>
      </w:r>
      <w:r w:rsidRPr="00976D33">
        <w:instrText>SEQ Table \* ARABIC</w:instrText>
      </w:r>
      <w:r w:rsidRPr="00976D33">
        <w:fldChar w:fldCharType="separate"/>
      </w:r>
      <w:r w:rsidR="003B7FFA">
        <w:rPr>
          <w:noProof/>
        </w:rPr>
        <w:t>19</w:t>
      </w:r>
      <w:r w:rsidRPr="00976D33">
        <w:fldChar w:fldCharType="end"/>
      </w:r>
      <w:bookmarkEnd w:id="543"/>
      <w:r>
        <w:t>. Politika dhe masat e zbatuara në sektorin rezidencial dhe kursimet e parashikuara</w:t>
      </w:r>
      <w:bookmarkEnd w:id="544"/>
    </w:p>
    <w:tbl>
      <w:tblPr>
        <w:tblStyle w:val="GridTable5DarkAccent100"/>
        <w:tblW w:w="5000" w:type="pct"/>
        <w:tblLook w:val="04A0" w:firstRow="1" w:lastRow="0" w:firstColumn="1" w:lastColumn="0" w:noHBand="0" w:noVBand="1"/>
      </w:tblPr>
      <w:tblGrid>
        <w:gridCol w:w="6813"/>
        <w:gridCol w:w="2751"/>
      </w:tblGrid>
      <w:tr w:rsidR="00FD3BFB" w:rsidRPr="00976D33" w14:paraId="29469E35" w14:textId="77777777">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149" w:type="pct"/>
            <w:noWrap/>
            <w:vAlign w:val="center"/>
          </w:tcPr>
          <w:p w14:paraId="2915ABB2" w14:textId="77777777" w:rsidR="00FD3BFB" w:rsidRPr="00976D33" w:rsidRDefault="00FD3BFB">
            <w:pPr>
              <w:spacing w:line="240" w:lineRule="auto"/>
              <w:contextualSpacing/>
              <w:jc w:val="left"/>
              <w:rPr>
                <w:rFonts w:asciiTheme="majorHAnsi" w:eastAsia="Times New Roman" w:hAnsiTheme="majorHAnsi" w:cstheme="majorHAnsi"/>
                <w:b w:val="0"/>
                <w:color w:val="FFFFFF" w:themeColor="background1"/>
                <w:sz w:val="18"/>
                <w:szCs w:val="18"/>
              </w:rPr>
            </w:pPr>
            <w:r>
              <w:rPr>
                <w:rFonts w:asciiTheme="majorHAnsi" w:hAnsiTheme="majorHAnsi"/>
                <w:color w:val="FFFFFF" w:themeColor="background1"/>
                <w:sz w:val="18"/>
              </w:rPr>
              <w:t>Masa e politikës</w:t>
            </w:r>
          </w:p>
        </w:tc>
        <w:tc>
          <w:tcPr>
            <w:tcW w:w="1851" w:type="pct"/>
            <w:noWrap/>
            <w:vAlign w:val="center"/>
          </w:tcPr>
          <w:p w14:paraId="3F688F1A" w14:textId="77777777" w:rsidR="00FD3BFB" w:rsidRPr="00976D33" w:rsidRDefault="00FD3BFB">
            <w:pPr>
              <w:spacing w:line="240" w:lineRule="auto"/>
              <w:ind w:left="-106"/>
              <w:contextualSpacing/>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Bidi"/>
                <w:color w:val="000000"/>
                <w:sz w:val="18"/>
                <w:szCs w:val="18"/>
              </w:rPr>
            </w:pPr>
            <w:r>
              <w:rPr>
                <w:rFonts w:asciiTheme="majorHAnsi" w:hAnsiTheme="majorHAnsi"/>
                <w:color w:val="FFFFFF" w:themeColor="background1"/>
                <w:sz w:val="18"/>
              </w:rPr>
              <w:t>Kursimet kumulative 2030 (ktoe)</w:t>
            </w:r>
          </w:p>
        </w:tc>
      </w:tr>
      <w:tr w:rsidR="00FD3BFB" w:rsidRPr="00976D33" w14:paraId="4A1EC8AF" w14:textId="7777777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149" w:type="pct"/>
            <w:noWrap/>
            <w:vAlign w:val="center"/>
            <w:hideMark/>
          </w:tcPr>
          <w:p w14:paraId="15300EDB" w14:textId="77777777" w:rsidR="00FD3BFB" w:rsidRPr="00976D33" w:rsidRDefault="00FD3BFB">
            <w:pPr>
              <w:spacing w:line="240" w:lineRule="auto"/>
              <w:contextualSpacing/>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Prezantimi i pompave termike</w:t>
            </w:r>
          </w:p>
        </w:tc>
        <w:tc>
          <w:tcPr>
            <w:tcW w:w="1851" w:type="pct"/>
            <w:noWrap/>
            <w:vAlign w:val="center"/>
            <w:hideMark/>
          </w:tcPr>
          <w:p w14:paraId="6FB6927D" w14:textId="77777777" w:rsidR="00FD3BFB" w:rsidRPr="00976D33" w:rsidRDefault="00FD3BF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60.4</w:t>
            </w:r>
          </w:p>
        </w:tc>
      </w:tr>
      <w:tr w:rsidR="00FD3BFB" w:rsidRPr="00976D33" w14:paraId="16C997FC" w14:textId="77777777">
        <w:trPr>
          <w:trHeight w:val="252"/>
        </w:trPr>
        <w:tc>
          <w:tcPr>
            <w:cnfStyle w:val="001000000000" w:firstRow="0" w:lastRow="0" w:firstColumn="1" w:lastColumn="0" w:oddVBand="0" w:evenVBand="0" w:oddHBand="0" w:evenHBand="0" w:firstRowFirstColumn="0" w:firstRowLastColumn="0" w:lastRowFirstColumn="0" w:lastRowLastColumn="0"/>
            <w:tcW w:w="3149" w:type="pct"/>
            <w:noWrap/>
            <w:vAlign w:val="center"/>
            <w:hideMark/>
          </w:tcPr>
          <w:p w14:paraId="1A05C468" w14:textId="77777777" w:rsidR="00FD3BFB" w:rsidRPr="00976D33" w:rsidRDefault="00FD3BFB">
            <w:pPr>
              <w:spacing w:line="240" w:lineRule="auto"/>
              <w:contextualSpacing/>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Stufa më efiçiente me biomasë</w:t>
            </w:r>
          </w:p>
        </w:tc>
        <w:tc>
          <w:tcPr>
            <w:tcW w:w="1851" w:type="pct"/>
            <w:noWrap/>
            <w:vAlign w:val="center"/>
            <w:hideMark/>
          </w:tcPr>
          <w:p w14:paraId="6A4C93A9" w14:textId="77777777" w:rsidR="00FD3BFB" w:rsidRPr="00976D33" w:rsidRDefault="00FD3BF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24.4</w:t>
            </w:r>
          </w:p>
        </w:tc>
      </w:tr>
      <w:tr w:rsidR="00FD3BFB" w:rsidRPr="00976D33" w14:paraId="6647AAE9" w14:textId="7777777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149" w:type="pct"/>
            <w:noWrap/>
            <w:vAlign w:val="center"/>
            <w:hideMark/>
          </w:tcPr>
          <w:p w14:paraId="4ED84D00" w14:textId="77777777" w:rsidR="00FD3BFB" w:rsidRPr="00976D33" w:rsidRDefault="00FD3BFB">
            <w:pPr>
              <w:spacing w:line="240" w:lineRule="auto"/>
              <w:contextualSpacing/>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Rinovim më i thellë i 1.2% të stokut të ndërtesës rezidenciale (përjashtuar AB) në vit</w:t>
            </w:r>
          </w:p>
        </w:tc>
        <w:tc>
          <w:tcPr>
            <w:tcW w:w="1851" w:type="pct"/>
            <w:noWrap/>
            <w:vAlign w:val="center"/>
            <w:hideMark/>
          </w:tcPr>
          <w:p w14:paraId="5B0EEA84" w14:textId="77777777" w:rsidR="00FD3BFB" w:rsidRPr="00976D33" w:rsidRDefault="00FD3BF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12.9</w:t>
            </w:r>
          </w:p>
        </w:tc>
      </w:tr>
      <w:tr w:rsidR="00FD3BFB" w:rsidRPr="00976D33" w14:paraId="0B2CC9D5" w14:textId="77777777">
        <w:trPr>
          <w:trHeight w:val="252"/>
        </w:trPr>
        <w:tc>
          <w:tcPr>
            <w:cnfStyle w:val="001000000000" w:firstRow="0" w:lastRow="0" w:firstColumn="1" w:lastColumn="0" w:oddVBand="0" w:evenVBand="0" w:oddHBand="0" w:evenHBand="0" w:firstRowFirstColumn="0" w:firstRowLastColumn="0" w:lastRowFirstColumn="0" w:lastRowLastColumn="0"/>
            <w:tcW w:w="3149" w:type="pct"/>
            <w:noWrap/>
            <w:vAlign w:val="center"/>
            <w:hideMark/>
          </w:tcPr>
          <w:p w14:paraId="66748821" w14:textId="77777777" w:rsidR="00FD3BFB" w:rsidRPr="00976D33" w:rsidRDefault="00FD3BFB">
            <w:pPr>
              <w:spacing w:line="240" w:lineRule="auto"/>
              <w:contextualSpacing/>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NKAZE në 0.3% të stokut të ndërtesave (përjashtuar AB) në vit</w:t>
            </w:r>
          </w:p>
        </w:tc>
        <w:tc>
          <w:tcPr>
            <w:tcW w:w="1851" w:type="pct"/>
            <w:noWrap/>
            <w:vAlign w:val="center"/>
            <w:hideMark/>
          </w:tcPr>
          <w:p w14:paraId="1F9751E0" w14:textId="77777777" w:rsidR="00FD3BFB" w:rsidRPr="00976D33" w:rsidRDefault="00FD3BF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10.5</w:t>
            </w:r>
          </w:p>
        </w:tc>
      </w:tr>
      <w:tr w:rsidR="00FD3BFB" w:rsidRPr="00976D33" w14:paraId="671145BE" w14:textId="7777777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149" w:type="pct"/>
            <w:noWrap/>
            <w:vAlign w:val="center"/>
            <w:hideMark/>
          </w:tcPr>
          <w:p w14:paraId="5047A07B" w14:textId="77777777" w:rsidR="00FD3BFB" w:rsidRPr="00976D33" w:rsidRDefault="00FD3BFB">
            <w:pPr>
              <w:spacing w:line="240" w:lineRule="auto"/>
              <w:contextualSpacing/>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 xml:space="preserve">Instalimi i kolektorëve termikë solarë shtesë </w:t>
            </w:r>
          </w:p>
        </w:tc>
        <w:tc>
          <w:tcPr>
            <w:tcW w:w="1851" w:type="pct"/>
            <w:noWrap/>
            <w:vAlign w:val="center"/>
            <w:hideMark/>
          </w:tcPr>
          <w:p w14:paraId="66E4800C" w14:textId="77777777" w:rsidR="00FD3BFB" w:rsidRPr="00976D33" w:rsidRDefault="00FD3BF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0.8</w:t>
            </w:r>
          </w:p>
        </w:tc>
      </w:tr>
      <w:tr w:rsidR="00FD3BFB" w:rsidRPr="00976D33" w14:paraId="0BE3B7F7" w14:textId="77777777">
        <w:trPr>
          <w:trHeight w:val="258"/>
        </w:trPr>
        <w:tc>
          <w:tcPr>
            <w:cnfStyle w:val="001000000000" w:firstRow="0" w:lastRow="0" w:firstColumn="1" w:lastColumn="0" w:oddVBand="0" w:evenVBand="0" w:oddHBand="0" w:evenHBand="0" w:firstRowFirstColumn="0" w:firstRowLastColumn="0" w:lastRowFirstColumn="0" w:lastRowLastColumn="0"/>
            <w:tcW w:w="3149" w:type="pct"/>
            <w:noWrap/>
            <w:vAlign w:val="center"/>
            <w:hideMark/>
          </w:tcPr>
          <w:p w14:paraId="1CAD6DC1" w14:textId="77777777" w:rsidR="00FD3BFB" w:rsidRPr="00976D33" w:rsidRDefault="00FD3BFB">
            <w:pPr>
              <w:spacing w:line="240" w:lineRule="auto"/>
              <w:contextualSpacing/>
              <w:jc w:val="left"/>
              <w:rPr>
                <w:rFonts w:asciiTheme="majorHAnsi" w:eastAsia="Times New Roman" w:hAnsiTheme="majorHAnsi" w:cstheme="majorHAnsi"/>
                <w:b w:val="0"/>
                <w:color w:val="FFFFFF" w:themeColor="background1"/>
                <w:sz w:val="18"/>
                <w:szCs w:val="18"/>
              </w:rPr>
            </w:pPr>
            <w:r>
              <w:rPr>
                <w:rFonts w:asciiTheme="majorHAnsi" w:hAnsiTheme="majorHAnsi"/>
                <w:color w:val="FFFFFF" w:themeColor="background1"/>
                <w:sz w:val="18"/>
              </w:rPr>
              <w:t xml:space="preserve">Gjithsej </w:t>
            </w:r>
          </w:p>
        </w:tc>
        <w:tc>
          <w:tcPr>
            <w:tcW w:w="1851" w:type="pct"/>
            <w:noWrap/>
            <w:vAlign w:val="center"/>
            <w:hideMark/>
          </w:tcPr>
          <w:p w14:paraId="445855E3" w14:textId="5DCB197A" w:rsidR="00FD3BFB" w:rsidRPr="00976D33" w:rsidRDefault="00FD3BF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109.2</w:t>
            </w:r>
          </w:p>
        </w:tc>
      </w:tr>
    </w:tbl>
    <w:p w14:paraId="5A1FCDD4" w14:textId="70857FF0" w:rsidR="00FD3BFB" w:rsidRPr="00976D33" w:rsidRDefault="00FD3BFB" w:rsidP="00CB6B89">
      <w:r>
        <w:t>Masat e politikës parashikohen të reduktojnë kërkesën për energji, veçanërisht në sektorin e ngrohjes së hapësirave, dhe të çojnë në kursime të energjisë prej 104,6 ktoe në këtë përdorim përfundimtar deri në vitin 2030 (</w:t>
      </w:r>
      <w:r w:rsidRPr="00976D33">
        <w:fldChar w:fldCharType="begin"/>
      </w:r>
      <w:r w:rsidRPr="00976D33">
        <w:instrText xml:space="preserve"> REF _Ref138123970 \h </w:instrText>
      </w:r>
      <w:r w:rsidR="004A7007" w:rsidRPr="00976D33">
        <w:instrText xml:space="preserve"> \* MERGEFORMAT </w:instrText>
      </w:r>
      <w:r w:rsidRPr="00976D33">
        <w:fldChar w:fldCharType="separate"/>
      </w:r>
      <w:r w:rsidR="003B7FFA">
        <w:t>Figura 80</w:t>
      </w:r>
      <w:r w:rsidRPr="00976D33">
        <w:fldChar w:fldCharType="end"/>
      </w:r>
      <w:r>
        <w:t>).</w:t>
      </w:r>
    </w:p>
    <w:p w14:paraId="4E696D37" w14:textId="55CEAB97" w:rsidR="00FD3BFB" w:rsidRPr="00F44B6E" w:rsidRDefault="00FD3BFB" w:rsidP="006E6E51">
      <w:pPr>
        <w:pStyle w:val="Caption"/>
        <w:rPr>
          <w:rFonts w:eastAsia="Times New Roman" w:cs="Calibri"/>
          <w:bCs/>
          <w:color w:val="000000"/>
        </w:rPr>
      </w:pPr>
      <w:bookmarkStart w:id="545" w:name="_Ref138123970"/>
      <w:bookmarkStart w:id="546" w:name="_Toc181867283"/>
      <w:r>
        <w:t xml:space="preserve">Figura </w:t>
      </w:r>
      <w:r w:rsidRPr="00F44B6E">
        <w:fldChar w:fldCharType="begin"/>
      </w:r>
      <w:r w:rsidRPr="00F44B6E">
        <w:instrText>SEQ Figure \* ARABIC</w:instrText>
      </w:r>
      <w:r w:rsidRPr="00F44B6E">
        <w:fldChar w:fldCharType="separate"/>
      </w:r>
      <w:r w:rsidR="003B7FFA">
        <w:rPr>
          <w:noProof/>
        </w:rPr>
        <w:t>80</w:t>
      </w:r>
      <w:r w:rsidRPr="00F44B6E">
        <w:fldChar w:fldCharType="end"/>
      </w:r>
      <w:bookmarkEnd w:id="545"/>
      <w:r>
        <w:t>. Ndryshimet në konsumin final të energjisë sipas përdorimit përfundimtar të sektorit rezidencial ndërmjet skenarëve WAM dhe WEM</w:t>
      </w:r>
      <w:bookmarkEnd w:id="546"/>
    </w:p>
    <w:p w14:paraId="52187209" w14:textId="5130830B" w:rsidR="00706654" w:rsidRPr="00976D33" w:rsidRDefault="00706654" w:rsidP="00FD3BFB">
      <w:pPr>
        <w:jc w:val="center"/>
        <w:rPr>
          <w:rFonts w:eastAsia="Times New Roman" w:cs="Calibri"/>
          <w:color w:val="000000"/>
        </w:rPr>
      </w:pPr>
      <w:r>
        <w:rPr>
          <w:noProof/>
          <w:lang w:val="en-US"/>
        </w:rPr>
        <w:drawing>
          <wp:inline distT="0" distB="0" distL="0" distR="0" wp14:anchorId="08D99CF0" wp14:editId="79C053A5">
            <wp:extent cx="6079490" cy="2339340"/>
            <wp:effectExtent l="0" t="0" r="0" b="0"/>
            <wp:docPr id="11872330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079490" cy="2339340"/>
                    </a:xfrm>
                    <a:prstGeom prst="rect">
                      <a:avLst/>
                    </a:prstGeom>
                    <a:noFill/>
                    <a:ln>
                      <a:noFill/>
                    </a:ln>
                  </pic:spPr>
                </pic:pic>
              </a:graphicData>
            </a:graphic>
          </wp:inline>
        </w:drawing>
      </w:r>
    </w:p>
    <w:p w14:paraId="3D8FBB63" w14:textId="77777777" w:rsidR="00FD3BFB" w:rsidRPr="00976D33" w:rsidRDefault="00FD3BFB" w:rsidP="00FD3BFB">
      <w:pPr>
        <w:jc w:val="left"/>
        <w:rPr>
          <w:i/>
          <w:sz w:val="16"/>
          <w:szCs w:val="16"/>
        </w:rPr>
      </w:pPr>
      <w:r>
        <w:rPr>
          <w:i/>
          <w:sz w:val="16"/>
        </w:rPr>
        <w:t xml:space="preserve">Burimi: llogaritjet dhe modelimi vetanak </w:t>
      </w:r>
    </w:p>
    <w:p w14:paraId="4E1487BA" w14:textId="16880BAC" w:rsidR="00CB6B89" w:rsidRDefault="00FD3BFB" w:rsidP="00FD3BFB">
      <w:r>
        <w:t>Kursimet në sektorin e transportit lindin nga kalimi i modalitetit rrugor në atë hekurudhor, si në transportin e udhëtarëve ashtu edhe të mallrave, nga rritja e mënyrave të qëndrueshme në transportin e udhëtarëve dhe nga ndryshimi i përqindjeve të karburantit në flotën e automjeteve. Në skenarin WAM, supozohet se do të ketë më shumë automjete elektrike dhe mbushëse benzinë-hibride me efiçiencë energjetike që do të zëvendësojnë automjetet mbushëse me benzinë-hibride dhe mbushëse benzinë-hibride. Në skenarin WAM, deri në vitin 2030, do të ketë 1.6% më shumë automjete elektrike në flotën totale të automjeteve të lehta (LDV) në Kosovë, 1.4% më shumë automjete mbushëse hibride me benzinë, 1.8% më pak automjete hibride me benzinë, 1.1% më pak automjete hibride me nafte dhe 0.04% më pak automjete mbushëse hibride me naftë krahasuar me skenarin WEM.(</w:t>
      </w:r>
      <w:r w:rsidRPr="00976D33">
        <w:rPr>
          <w:rFonts w:eastAsia="Times New Roman" w:cs="Calibri"/>
        </w:rPr>
        <w:fldChar w:fldCharType="begin"/>
      </w:r>
      <w:r w:rsidRPr="00976D33">
        <w:rPr>
          <w:rFonts w:eastAsia="Times New Roman" w:cs="Calibri"/>
        </w:rPr>
        <w:instrText xml:space="preserve"> REF _Ref138124189 \h </w:instrText>
      </w:r>
      <w:r w:rsidR="004A7007" w:rsidRPr="00976D33">
        <w:rPr>
          <w:rFonts w:eastAsia="Times New Roman" w:cs="Calibri"/>
        </w:rPr>
        <w:instrText xml:space="preserve"> \* MERGEFORMAT </w:instrText>
      </w:r>
      <w:r w:rsidRPr="00976D33">
        <w:rPr>
          <w:rFonts w:eastAsia="Times New Roman" w:cs="Calibri"/>
        </w:rPr>
      </w:r>
      <w:r w:rsidRPr="00976D33">
        <w:rPr>
          <w:rFonts w:eastAsia="Times New Roman" w:cs="Calibri"/>
        </w:rPr>
        <w:fldChar w:fldCharType="separate"/>
      </w:r>
      <w:r w:rsidR="003B7FFA">
        <w:t xml:space="preserve">Figura </w:t>
      </w:r>
      <w:r w:rsidR="003B7FFA" w:rsidRPr="003B7FFA">
        <w:t>81</w:t>
      </w:r>
      <w:r w:rsidRPr="00976D33">
        <w:rPr>
          <w:rFonts w:eastAsia="Times New Roman" w:cs="Calibri"/>
        </w:rPr>
        <w:fldChar w:fldCharType="end"/>
      </w:r>
      <w:r>
        <w:t>). Në përgjithësi, masat shtesë të efiçiencës së energjisë në sektorin e transportit çojnë në 20 ktoe kursime të energjisë në vitin 2030 (kundrejt WEM).</w:t>
      </w:r>
    </w:p>
    <w:p w14:paraId="16B780DC" w14:textId="77777777" w:rsidR="0037748E" w:rsidRDefault="0037748E" w:rsidP="00FD3BFB">
      <w:pPr>
        <w:rPr>
          <w:rFonts w:eastAsia="Times New Roman" w:cs="Calibri"/>
        </w:rPr>
      </w:pPr>
    </w:p>
    <w:p w14:paraId="431F18F2" w14:textId="77777777" w:rsidR="00F21CB4" w:rsidRDefault="00F21CB4" w:rsidP="00FD3BFB">
      <w:pPr>
        <w:rPr>
          <w:rFonts w:eastAsia="Times New Roman" w:cs="Calibri"/>
        </w:rPr>
      </w:pPr>
    </w:p>
    <w:p w14:paraId="5118A95E" w14:textId="77777777" w:rsidR="00F21CB4" w:rsidRDefault="00F21CB4" w:rsidP="00FD3BFB">
      <w:pPr>
        <w:rPr>
          <w:rFonts w:eastAsia="Times New Roman" w:cs="Calibri"/>
        </w:rPr>
      </w:pPr>
    </w:p>
    <w:p w14:paraId="2B0DA926" w14:textId="77777777" w:rsidR="00F21CB4" w:rsidRDefault="00F21CB4" w:rsidP="00FD3BFB">
      <w:pPr>
        <w:rPr>
          <w:rFonts w:eastAsia="Times New Roman" w:cs="Calibri"/>
        </w:rPr>
      </w:pPr>
    </w:p>
    <w:p w14:paraId="18810E80" w14:textId="77777777" w:rsidR="00F21CB4" w:rsidRDefault="00F21CB4" w:rsidP="00FD3BFB">
      <w:pPr>
        <w:rPr>
          <w:rFonts w:eastAsia="Times New Roman" w:cs="Calibri"/>
        </w:rPr>
      </w:pPr>
    </w:p>
    <w:p w14:paraId="3C7BB207" w14:textId="77777777" w:rsidR="00F21CB4" w:rsidRDefault="00F21CB4" w:rsidP="00FD3BFB">
      <w:pPr>
        <w:rPr>
          <w:rFonts w:eastAsia="Times New Roman" w:cs="Calibri"/>
        </w:rPr>
      </w:pPr>
    </w:p>
    <w:p w14:paraId="339E986D" w14:textId="77777777" w:rsidR="00F21CB4" w:rsidRDefault="00F21CB4" w:rsidP="00FD3BFB">
      <w:pPr>
        <w:rPr>
          <w:rFonts w:eastAsia="Times New Roman" w:cs="Calibri"/>
        </w:rPr>
      </w:pPr>
    </w:p>
    <w:p w14:paraId="76B53DD3" w14:textId="77777777" w:rsidR="00F21CB4" w:rsidRDefault="00F21CB4" w:rsidP="00FD3BFB">
      <w:pPr>
        <w:rPr>
          <w:rFonts w:eastAsia="Times New Roman" w:cs="Calibri"/>
        </w:rPr>
      </w:pPr>
    </w:p>
    <w:p w14:paraId="5BB03560" w14:textId="77777777" w:rsidR="00FE486A" w:rsidRDefault="00FE486A" w:rsidP="00FD3BFB">
      <w:pPr>
        <w:rPr>
          <w:rFonts w:eastAsia="Times New Roman" w:cs="Calibri"/>
        </w:rPr>
      </w:pPr>
    </w:p>
    <w:p w14:paraId="323DEC4B" w14:textId="108F913B" w:rsidR="00FD3BFB" w:rsidRPr="00976D33" w:rsidRDefault="00FD3BFB" w:rsidP="006E6E51">
      <w:pPr>
        <w:pStyle w:val="Caption"/>
      </w:pPr>
      <w:bookmarkStart w:id="547" w:name="_Ref138124189"/>
      <w:bookmarkStart w:id="548" w:name="_Toc181867284"/>
      <w:r>
        <w:rPr>
          <w:b w:val="0"/>
          <w:i w:val="0"/>
        </w:rPr>
        <w:lastRenderedPageBreak/>
        <w:t xml:space="preserve">Figura </w:t>
      </w:r>
      <w:r w:rsidRPr="00976D33">
        <w:rPr>
          <w:b w:val="0"/>
          <w:i w:val="0"/>
        </w:rPr>
        <w:fldChar w:fldCharType="begin"/>
      </w:r>
      <w:r w:rsidRPr="00976D33">
        <w:rPr>
          <w:b w:val="0"/>
          <w:i w:val="0"/>
        </w:rPr>
        <w:instrText>SEQ Figure \* ARABIC</w:instrText>
      </w:r>
      <w:r w:rsidRPr="00976D33">
        <w:rPr>
          <w:b w:val="0"/>
          <w:i w:val="0"/>
        </w:rPr>
        <w:fldChar w:fldCharType="separate"/>
      </w:r>
      <w:r w:rsidR="003B7FFA">
        <w:rPr>
          <w:b w:val="0"/>
          <w:i w:val="0"/>
          <w:noProof/>
        </w:rPr>
        <w:t>81</w:t>
      </w:r>
      <w:r w:rsidRPr="00976D33">
        <w:rPr>
          <w:b w:val="0"/>
          <w:i w:val="0"/>
        </w:rPr>
        <w:fldChar w:fldCharType="end"/>
      </w:r>
      <w:bookmarkEnd w:id="547"/>
      <w:r>
        <w:rPr>
          <w:b w:val="0"/>
          <w:i w:val="0"/>
        </w:rPr>
        <w:t>. Ndryshimi i llojeve të karburantit për AL sipas WAM krahasuar me WEM</w:t>
      </w:r>
      <w:bookmarkEnd w:id="548"/>
    </w:p>
    <w:p w14:paraId="0FBA8DD8" w14:textId="3BA4DFFB" w:rsidR="00706654" w:rsidRPr="00976D33" w:rsidRDefault="00706654" w:rsidP="00FD3BFB">
      <w:pPr>
        <w:jc w:val="left"/>
        <w:rPr>
          <w:i/>
          <w:sz w:val="16"/>
          <w:szCs w:val="16"/>
        </w:rPr>
      </w:pPr>
      <w:r>
        <w:rPr>
          <w:noProof/>
          <w:lang w:val="en-US"/>
        </w:rPr>
        <w:drawing>
          <wp:inline distT="0" distB="0" distL="0" distR="0" wp14:anchorId="13C15B05" wp14:editId="7A542B63">
            <wp:extent cx="6079490" cy="2343785"/>
            <wp:effectExtent l="0" t="0" r="0" b="0"/>
            <wp:docPr id="4538586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079490" cy="2343785"/>
                    </a:xfrm>
                    <a:prstGeom prst="rect">
                      <a:avLst/>
                    </a:prstGeom>
                    <a:noFill/>
                    <a:ln>
                      <a:noFill/>
                    </a:ln>
                  </pic:spPr>
                </pic:pic>
              </a:graphicData>
            </a:graphic>
          </wp:inline>
        </w:drawing>
      </w:r>
    </w:p>
    <w:p w14:paraId="0C9EC72D" w14:textId="632B5075" w:rsidR="00FD3BFB" w:rsidRPr="00976D33" w:rsidRDefault="00FD3BFB" w:rsidP="00FD3BFB">
      <w:pPr>
        <w:jc w:val="left"/>
        <w:rPr>
          <w:i/>
          <w:sz w:val="16"/>
          <w:szCs w:val="16"/>
        </w:rPr>
      </w:pPr>
      <w:r>
        <w:rPr>
          <w:i/>
          <w:sz w:val="16"/>
        </w:rPr>
        <w:t xml:space="preserve">Burimi: llogaritjet dhe modelimi vetanak </w:t>
      </w:r>
    </w:p>
    <w:p w14:paraId="6E0DC288" w14:textId="5E9EDD60" w:rsidR="00FD3BFB" w:rsidRPr="00976D33" w:rsidRDefault="00FD3BFB" w:rsidP="00CE7CFF">
      <w:r>
        <w:t>Përgjithësisht, masat shtesë për efiçiencë të energjisë nga ana e kërkesës çojnë në kursime në konsumimin energjisë elektrike dhe biomasës prej 74.4 ktoe përkatësisht 43.9 ktoe në vitin 2030 (</w:t>
      </w:r>
      <w:r w:rsidRPr="00976D33">
        <w:fldChar w:fldCharType="begin"/>
      </w:r>
      <w:r w:rsidRPr="00976D33">
        <w:instrText xml:space="preserve"> REF _Ref138124328 \h </w:instrText>
      </w:r>
      <w:r w:rsidR="004A7007" w:rsidRPr="00976D33">
        <w:instrText xml:space="preserve"> \* MERGEFORMAT </w:instrText>
      </w:r>
      <w:r w:rsidRPr="00976D33">
        <w:fldChar w:fldCharType="separate"/>
      </w:r>
      <w:r w:rsidR="003B7FFA">
        <w:t>Figura 82</w:t>
      </w:r>
      <w:r w:rsidRPr="00976D33">
        <w:fldChar w:fldCharType="end"/>
      </w:r>
      <w:r>
        <w:t>). Krahasuar me WEM, këto kursime nënkuptojnë një rënie prej 13% në konsumin e energjisë elektrike dhe të biomasës në vitin 2030.</w:t>
      </w:r>
    </w:p>
    <w:p w14:paraId="20ECBACB" w14:textId="5ECE38E9" w:rsidR="00FD3BFB" w:rsidRPr="00976D33" w:rsidRDefault="00FD3BFB" w:rsidP="00FD3BFB">
      <w:pPr>
        <w:pStyle w:val="Caption"/>
      </w:pPr>
      <w:bookmarkStart w:id="549" w:name="_Ref138124328"/>
      <w:bookmarkStart w:id="550" w:name="_Toc181867285"/>
      <w:r>
        <w:t xml:space="preserve">Figura </w:t>
      </w:r>
      <w:r w:rsidRPr="00976D33">
        <w:fldChar w:fldCharType="begin"/>
      </w:r>
      <w:r w:rsidRPr="00976D33">
        <w:instrText>SEQ Figure \* ARABIC</w:instrText>
      </w:r>
      <w:r w:rsidRPr="00976D33">
        <w:fldChar w:fldCharType="separate"/>
      </w:r>
      <w:r w:rsidR="003B7FFA">
        <w:rPr>
          <w:noProof/>
        </w:rPr>
        <w:t>82</w:t>
      </w:r>
      <w:r w:rsidRPr="00976D33">
        <w:fldChar w:fldCharType="end"/>
      </w:r>
      <w:bookmarkEnd w:id="549"/>
      <w:r>
        <w:t>. Konsumi final i energjisë në skenarin WAM sipas lëndës djegëse dhe ndryshimet me skenarin</w:t>
      </w:r>
      <w:r>
        <w:rPr>
          <w:noProof/>
          <w:lang w:val="en-US"/>
        </w:rPr>
        <w:drawing>
          <wp:anchor distT="0" distB="0" distL="114300" distR="114300" simplePos="0" relativeHeight="251658240" behindDoc="0" locked="0" layoutInCell="1" allowOverlap="1" wp14:anchorId="15480338" wp14:editId="556AE6F7">
            <wp:simplePos x="0" y="0"/>
            <wp:positionH relativeFrom="column">
              <wp:posOffset>11477624</wp:posOffset>
            </wp:positionH>
            <wp:positionV relativeFrom="paragraph">
              <wp:posOffset>108451</wp:posOffset>
            </wp:positionV>
            <wp:extent cx="1371455" cy="2529568"/>
            <wp:effectExtent l="0" t="0" r="635" b="4445"/>
            <wp:wrapNone/>
            <wp:docPr id="16" name="Grafik 16" descr="A picture containing text, screenshot, font&#10;&#10;Description automatically generated">
              <a:extLst xmlns:a="http://schemas.openxmlformats.org/drawingml/2006/main">
                <a:ext uri="{FF2B5EF4-FFF2-40B4-BE49-F238E27FC236}">
                  <a16:creationId xmlns:a16="http://schemas.microsoft.com/office/drawing/2014/main" id="{1813E1A8-ACF3-5107-CBD0-6859457386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picture containing text, screenshot, font&#10;&#10;Description automatically generated">
                      <a:extLst>
                        <a:ext uri="{FF2B5EF4-FFF2-40B4-BE49-F238E27FC236}">
                          <a16:creationId xmlns:a16="http://schemas.microsoft.com/office/drawing/2014/main" id="{1813E1A8-ACF3-5107-CBD0-685945738662}"/>
                        </a:ext>
                      </a:extLst>
                    </pic:cNvPr>
                    <pic:cNvPicPr>
                      <a:picLocks noChangeAspect="1"/>
                    </pic:cNvPicPr>
                  </pic:nvPicPr>
                  <pic:blipFill>
                    <a:blip r:embed="rId117"/>
                    <a:stretch>
                      <a:fillRect/>
                    </a:stretch>
                  </pic:blipFill>
                  <pic:spPr>
                    <a:xfrm>
                      <a:off x="0" y="0"/>
                      <a:ext cx="1371455" cy="2529568"/>
                    </a:xfrm>
                    <a:prstGeom prst="rect">
                      <a:avLst/>
                    </a:prstGeom>
                  </pic:spPr>
                </pic:pic>
              </a:graphicData>
            </a:graphic>
          </wp:anchor>
        </w:drawing>
      </w:r>
      <w:r>
        <w:t xml:space="preserve"> WEB</w:t>
      </w:r>
      <w:bookmarkEnd w:id="550"/>
      <w:r>
        <w:t xml:space="preserve"> </w:t>
      </w:r>
    </w:p>
    <w:p w14:paraId="265F16CF" w14:textId="3B180FC9" w:rsidR="004C73AA" w:rsidRPr="008C14F9" w:rsidRDefault="004C73AA" w:rsidP="006E6E51">
      <w:pPr>
        <w:pStyle w:val="Fliesstext"/>
        <w:jc w:val="both"/>
        <w:rPr>
          <w:iCs/>
          <w:sz w:val="16"/>
          <w:szCs w:val="16"/>
        </w:rPr>
      </w:pPr>
      <w:r>
        <w:rPr>
          <w:noProof/>
          <w:lang w:val="en-US"/>
        </w:rPr>
        <w:drawing>
          <wp:inline distT="0" distB="0" distL="0" distR="0" wp14:anchorId="5D5849E4" wp14:editId="484B4163">
            <wp:extent cx="6079490" cy="2687320"/>
            <wp:effectExtent l="0" t="0" r="0" b="0"/>
            <wp:docPr id="1569471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079490" cy="2687320"/>
                    </a:xfrm>
                    <a:prstGeom prst="rect">
                      <a:avLst/>
                    </a:prstGeom>
                    <a:noFill/>
                    <a:ln>
                      <a:noFill/>
                    </a:ln>
                  </pic:spPr>
                </pic:pic>
              </a:graphicData>
            </a:graphic>
          </wp:inline>
        </w:drawing>
      </w:r>
    </w:p>
    <w:p w14:paraId="21A896BA" w14:textId="30DEF23F" w:rsidR="00FD3BFB" w:rsidRPr="00976D33" w:rsidRDefault="00FD3BFB" w:rsidP="00FD3BFB">
      <w:pPr>
        <w:jc w:val="left"/>
        <w:rPr>
          <w:i/>
          <w:sz w:val="16"/>
          <w:szCs w:val="16"/>
        </w:rPr>
      </w:pPr>
      <w:r>
        <w:rPr>
          <w:i/>
          <w:sz w:val="16"/>
        </w:rPr>
        <w:t>Burimi: llogaritjet dhe modelimi vetanak</w:t>
      </w:r>
    </w:p>
    <w:p w14:paraId="5BAB31A3" w14:textId="77777777" w:rsidR="00FD3BFB" w:rsidRPr="00976D33" w:rsidRDefault="00FD3BFB" w:rsidP="00FD3BFB">
      <w:pPr>
        <w:pStyle w:val="Heading3"/>
        <w:numPr>
          <w:ilvl w:val="0"/>
          <w:numId w:val="0"/>
        </w:numPr>
        <w:ind w:left="720" w:hanging="720"/>
        <w:rPr>
          <w:b/>
          <w:i/>
          <w:szCs w:val="22"/>
        </w:rPr>
      </w:pPr>
      <w:bookmarkStart w:id="551" w:name="_Toc137677741"/>
      <w:bookmarkStart w:id="552" w:name="_Toc182302352"/>
      <w:r>
        <w:rPr>
          <w:b/>
          <w:i/>
        </w:rPr>
        <w:t>Dimensioni i sigurisë energjetike</w:t>
      </w:r>
      <w:bookmarkEnd w:id="551"/>
      <w:bookmarkEnd w:id="552"/>
    </w:p>
    <w:p w14:paraId="519C32C6" w14:textId="0487D01B" w:rsidR="00CB6B89" w:rsidRDefault="00FD3BFB" w:rsidP="00FD3BFB">
      <w:r>
        <w:t xml:space="preserve">Në skenarin WAM, një zgjerim më ambicioz për konsumatorët e energjisë nga panelet solare PV (shih </w:t>
      </w:r>
      <w:r w:rsidRPr="00976D33">
        <w:fldChar w:fldCharType="begin"/>
      </w:r>
      <w:r w:rsidRPr="00976D33">
        <w:instrText xml:space="preserve"> REF _Ref138124429 \h </w:instrText>
      </w:r>
      <w:r w:rsidR="004A7007" w:rsidRPr="00976D33">
        <w:instrText xml:space="preserve"> \* MERGEFORMAT </w:instrText>
      </w:r>
      <w:r w:rsidRPr="00976D33">
        <w:fldChar w:fldCharType="separate"/>
      </w:r>
      <w:r w:rsidR="003B7FFA">
        <w:t>Figura 83</w:t>
      </w:r>
      <w:r w:rsidRPr="00976D33">
        <w:fldChar w:fldCharType="end"/>
      </w:r>
      <w:r>
        <w:t xml:space="preserve">) i kombinuar me kërkesën e reduktuar të energjisë elektrike në vend (shih </w:t>
      </w:r>
      <w:r w:rsidRPr="00976D33">
        <w:fldChar w:fldCharType="begin"/>
      </w:r>
      <w:r w:rsidRPr="00976D33">
        <w:instrText xml:space="preserve"> REF _Ref138124328 \h </w:instrText>
      </w:r>
      <w:r w:rsidR="004A7007" w:rsidRPr="00976D33">
        <w:instrText xml:space="preserve"> \* MERGEFORMAT </w:instrText>
      </w:r>
      <w:r w:rsidRPr="00976D33">
        <w:fldChar w:fldCharType="separate"/>
      </w:r>
      <w:r w:rsidR="003B7FFA">
        <w:t>Figura 82</w:t>
      </w:r>
      <w:r w:rsidRPr="00976D33">
        <w:fldChar w:fldCharType="end"/>
      </w:r>
      <w:r>
        <w:t xml:space="preserve"> në Kapitullin 5.1 ii.) do të zvogëlonte më shumë varësinë e vendit në prodhimin e energjisë elektrike me linjit sesa në skenarin WEM.</w:t>
      </w:r>
    </w:p>
    <w:p w14:paraId="18474401" w14:textId="77777777" w:rsidR="0037748E" w:rsidRDefault="0037748E" w:rsidP="00FD3BFB"/>
    <w:p w14:paraId="5AF88974" w14:textId="77777777" w:rsidR="00F21CB4" w:rsidRDefault="00F21CB4" w:rsidP="00FD3BFB"/>
    <w:p w14:paraId="32E7E4C2" w14:textId="77777777" w:rsidR="00F21CB4" w:rsidRDefault="00F21CB4" w:rsidP="00FD3BFB"/>
    <w:p w14:paraId="7D980087" w14:textId="77777777" w:rsidR="00F21CB4" w:rsidRDefault="00F21CB4" w:rsidP="00FD3BFB"/>
    <w:p w14:paraId="2A0635EF" w14:textId="77777777" w:rsidR="00F21CB4" w:rsidRDefault="00F21CB4" w:rsidP="00FD3BFB"/>
    <w:p w14:paraId="7054B9BB" w14:textId="10FFD674" w:rsidR="00FD3BFB" w:rsidRPr="00976D33" w:rsidRDefault="00FD3BFB" w:rsidP="00FD3BFB">
      <w:pPr>
        <w:pStyle w:val="Caption"/>
        <w:rPr>
          <w:color w:val="104C91"/>
        </w:rPr>
      </w:pPr>
      <w:bookmarkStart w:id="553" w:name="_Ref138124429"/>
      <w:bookmarkStart w:id="554" w:name="_Toc181867286"/>
      <w:r>
        <w:lastRenderedPageBreak/>
        <w:t xml:space="preserve">Figura </w:t>
      </w:r>
      <w:r w:rsidRPr="00976D33">
        <w:fldChar w:fldCharType="begin"/>
      </w:r>
      <w:r w:rsidRPr="00976D33">
        <w:instrText>SEQ Figure \* ARABIC</w:instrText>
      </w:r>
      <w:r w:rsidRPr="00976D33">
        <w:fldChar w:fldCharType="separate"/>
      </w:r>
      <w:r w:rsidR="003B7FFA">
        <w:rPr>
          <w:noProof/>
        </w:rPr>
        <w:t>83</w:t>
      </w:r>
      <w:r w:rsidRPr="00976D33">
        <w:fldChar w:fldCharType="end"/>
      </w:r>
      <w:bookmarkEnd w:id="553"/>
      <w:r>
        <w:t>. Kapacitetet e instaluara të prodhimit të energjisë elektrike në WAM (projeksioni)</w:t>
      </w:r>
      <w:bookmarkEnd w:id="554"/>
    </w:p>
    <w:p w14:paraId="762BA0D6" w14:textId="4D5B43CF" w:rsidR="00706654" w:rsidRPr="00976D33" w:rsidRDefault="00706654" w:rsidP="00FD3BFB">
      <w:pPr>
        <w:jc w:val="left"/>
        <w:rPr>
          <w:i/>
          <w:sz w:val="16"/>
          <w:szCs w:val="16"/>
        </w:rPr>
      </w:pPr>
      <w:r>
        <w:rPr>
          <w:rFonts w:asciiTheme="minorHAnsi" w:hAnsiTheme="minorHAnsi"/>
          <w:noProof/>
          <w:color w:val="C1D9CB" w:themeColor="accent5"/>
          <w:sz w:val="22"/>
          <w:lang w:val="en-US"/>
        </w:rPr>
        <w:drawing>
          <wp:inline distT="0" distB="0" distL="0" distR="0" wp14:anchorId="7F299B1C" wp14:editId="3043EB33">
            <wp:extent cx="6079490" cy="2375535"/>
            <wp:effectExtent l="0" t="0" r="0" b="0"/>
            <wp:docPr id="3322007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079490" cy="2375535"/>
                    </a:xfrm>
                    <a:prstGeom prst="rect">
                      <a:avLst/>
                    </a:prstGeom>
                    <a:noFill/>
                    <a:ln>
                      <a:noFill/>
                    </a:ln>
                  </pic:spPr>
                </pic:pic>
              </a:graphicData>
            </a:graphic>
          </wp:inline>
        </w:drawing>
      </w:r>
    </w:p>
    <w:p w14:paraId="032E1D5E" w14:textId="303B835F" w:rsidR="00FD3BFB" w:rsidRPr="00976D33" w:rsidRDefault="00FD3BFB" w:rsidP="00FD3BFB">
      <w:pPr>
        <w:jc w:val="left"/>
        <w:rPr>
          <w:i/>
          <w:sz w:val="16"/>
          <w:szCs w:val="16"/>
        </w:rPr>
      </w:pPr>
      <w:r>
        <w:rPr>
          <w:i/>
          <w:sz w:val="16"/>
        </w:rPr>
        <w:t>Burimi: Strategjia e Energjisë, Linja e Investimeve në Energji të Ripërtëritshme në Kosovë 2023-2025, ZRRE, KEK, NQ Gjakova nga Ministria e Ekonomisë, llogaritjet vetanake Shënim: Për njësitë e linjitit, tregohen kapacitetet e disponueshme (përfshirë rezervat strategjike), bazuar në planin e siguruar  për përmirësimin teknik të njësisë. Rinovimet e njësive B1 dhe B2 supozohet të bëhen në mesin e vitit përkatës.</w:t>
      </w:r>
    </w:p>
    <w:p w14:paraId="1B293F5F" w14:textId="6155D277" w:rsidR="00FD3BFB" w:rsidRPr="00976D33" w:rsidRDefault="00FD3BFB" w:rsidP="00FD3BFB">
      <w:r>
        <w:t>Rrjedhimisht, prodhimi i reduktuar nga linjiti do të çonte në 15% më pak prodhim vendor të linjitit në vitin 2030 në WAM krahasuar me skenarin WEM (</w:t>
      </w:r>
      <w:r w:rsidRPr="00F44B6E">
        <w:fldChar w:fldCharType="begin"/>
      </w:r>
      <w:r w:rsidRPr="00F44B6E">
        <w:instrText xml:space="preserve"> REF _Ref138124582 \h  \* MERGEFORMAT </w:instrText>
      </w:r>
      <w:r w:rsidRPr="00F44B6E">
        <w:fldChar w:fldCharType="separate"/>
      </w:r>
      <w:r w:rsidR="003B7FFA">
        <w:t>Figura 84</w:t>
      </w:r>
      <w:r w:rsidRPr="00F44B6E">
        <w:fldChar w:fldCharType="end"/>
      </w:r>
      <w:r>
        <w:t>).</w:t>
      </w:r>
    </w:p>
    <w:p w14:paraId="1870D70A" w14:textId="6D1CE278" w:rsidR="00FD3BFB" w:rsidRPr="00976D33" w:rsidRDefault="00FD3BFB" w:rsidP="00FD3BFB">
      <w:pPr>
        <w:pStyle w:val="Caption"/>
      </w:pPr>
      <w:bookmarkStart w:id="555" w:name="_Ref138124582"/>
      <w:bookmarkStart w:id="556" w:name="_Toc181867287"/>
      <w:r>
        <w:t xml:space="preserve">Figura </w:t>
      </w:r>
      <w:r w:rsidRPr="00976D33">
        <w:fldChar w:fldCharType="begin"/>
      </w:r>
      <w:r w:rsidRPr="00976D33">
        <w:instrText>SEQ Figure \* ARABIC</w:instrText>
      </w:r>
      <w:r w:rsidRPr="00976D33">
        <w:fldChar w:fldCharType="separate"/>
      </w:r>
      <w:r w:rsidR="003B7FFA">
        <w:rPr>
          <w:noProof/>
        </w:rPr>
        <w:t>84</w:t>
      </w:r>
      <w:r w:rsidRPr="00976D33">
        <w:fldChar w:fldCharType="end"/>
      </w:r>
      <w:bookmarkEnd w:id="555"/>
      <w:r>
        <w:t>. Prodhimi vendor i linjitit sipas skenarit (projeksioni)</w:t>
      </w:r>
      <w:bookmarkEnd w:id="556"/>
    </w:p>
    <w:p w14:paraId="3BF6559A" w14:textId="4D204695" w:rsidR="00FD3BFB" w:rsidRDefault="00FD3BFB" w:rsidP="00FD3BFB">
      <w:pPr>
        <w:pStyle w:val="Caption"/>
        <w:rPr>
          <w:i w:val="0"/>
        </w:rPr>
      </w:pPr>
    </w:p>
    <w:p w14:paraId="18519B85" w14:textId="53344EAC" w:rsidR="00EC6A46" w:rsidRPr="00EC6A46" w:rsidRDefault="00EC6A46" w:rsidP="008C14F9">
      <w:r>
        <w:rPr>
          <w:noProof/>
          <w:lang w:val="en-US"/>
        </w:rPr>
        <w:drawing>
          <wp:inline distT="0" distB="0" distL="0" distR="0" wp14:anchorId="25E12C02" wp14:editId="7E9B9581">
            <wp:extent cx="6079490" cy="2677160"/>
            <wp:effectExtent l="0" t="0" r="0" b="0"/>
            <wp:docPr id="19123490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079490" cy="2677160"/>
                    </a:xfrm>
                    <a:prstGeom prst="rect">
                      <a:avLst/>
                    </a:prstGeom>
                    <a:noFill/>
                    <a:ln>
                      <a:noFill/>
                    </a:ln>
                  </pic:spPr>
                </pic:pic>
              </a:graphicData>
            </a:graphic>
          </wp:inline>
        </w:drawing>
      </w:r>
    </w:p>
    <w:p w14:paraId="2847E9ED" w14:textId="77777777" w:rsidR="00FD3BFB" w:rsidRPr="00976D33" w:rsidRDefault="00FD3BFB" w:rsidP="00FD3BFB">
      <w:pPr>
        <w:jc w:val="left"/>
        <w:rPr>
          <w:i/>
          <w:sz w:val="16"/>
          <w:szCs w:val="16"/>
        </w:rPr>
      </w:pPr>
      <w:r>
        <w:rPr>
          <w:i/>
          <w:sz w:val="16"/>
        </w:rPr>
        <w:t>Burimi: llogaritjet dhe modelimi vetanak</w:t>
      </w:r>
    </w:p>
    <w:p w14:paraId="0AA7E5B2" w14:textId="77777777" w:rsidR="003B7FFA" w:rsidRDefault="00FD3BFB" w:rsidP="006E6E51">
      <w:r w:rsidRPr="00976D33">
        <w:rPr>
          <w:rFonts w:eastAsiaTheme="minorHAnsi"/>
          <w:b/>
          <w:i/>
          <w:color w:val="082A75" w:themeColor="text2"/>
          <w:sz w:val="18"/>
        </w:rPr>
        <w:fldChar w:fldCharType="begin"/>
      </w:r>
      <w:r w:rsidRPr="00976D33">
        <w:instrText xml:space="preserve"> REF _Ref138124628 \h </w:instrText>
      </w:r>
      <w:r w:rsidR="004A7007" w:rsidRPr="00976D33">
        <w:rPr>
          <w:rFonts w:eastAsiaTheme="minorHAnsi"/>
          <w:b/>
          <w:i/>
          <w:color w:val="082A75" w:themeColor="text2"/>
          <w:sz w:val="18"/>
        </w:rPr>
        <w:instrText xml:space="preserve"> \* MERGEFORMAT </w:instrText>
      </w:r>
      <w:r w:rsidRPr="00976D33">
        <w:rPr>
          <w:rFonts w:eastAsiaTheme="minorHAnsi"/>
          <w:b/>
          <w:i/>
          <w:color w:val="082A75" w:themeColor="text2"/>
          <w:sz w:val="18"/>
        </w:rPr>
      </w:r>
      <w:r w:rsidRPr="00976D33">
        <w:rPr>
          <w:rFonts w:eastAsiaTheme="minorHAnsi"/>
          <w:b/>
          <w:i/>
          <w:color w:val="082A75" w:themeColor="text2"/>
          <w:sz w:val="18"/>
        </w:rPr>
        <w:fldChar w:fldCharType="separate"/>
      </w:r>
    </w:p>
    <w:p w14:paraId="662398A1" w14:textId="77777777" w:rsidR="003B7FFA" w:rsidRDefault="003B7FFA" w:rsidP="006E6E51"/>
    <w:p w14:paraId="2AFF6176" w14:textId="5B467334" w:rsidR="00FD3BFB" w:rsidRPr="00976D33" w:rsidRDefault="003B7FFA" w:rsidP="00FD3BFB">
      <w:r>
        <w:t>Figura</w:t>
      </w:r>
      <w:r>
        <w:rPr>
          <w:noProof/>
        </w:rPr>
        <w:t xml:space="preserve"> 85</w:t>
      </w:r>
      <w:r w:rsidR="00FD3BFB" w:rsidRPr="00976D33">
        <w:fldChar w:fldCharType="end"/>
      </w:r>
      <w:r w:rsidR="00F12774">
        <w:t xml:space="preserve"> ofron një përmbledhje të përzierjes së energjisë elektrike pas zbatimit të masave shtesë në Kosovë. Veçanërisht, në skenarin WAM, energjia solare do të përbënte 16.9% të bruto konsumit final në vitin 2030 (13.0% në WEM) dhe 31.6% në vitin 2040 (23% në WEM), ndërsa era përbën 27.8% në vitin 2030 (24.2% në WEM) dhe 46% në vitin 2040 (38.8% në WEM).</w:t>
      </w:r>
    </w:p>
    <w:p w14:paraId="29FF9D62" w14:textId="01089C28" w:rsidR="00CB6B89" w:rsidRDefault="00FD3BFB" w:rsidP="006E6E51">
      <w:r>
        <w:t>Pjesa e linjitit parashikohet të bjerë në 55% në vitin 2030 dhe 29.8% në vitin 2040 (56.8% dhe 33.2% në WEM). Tregtia neto e energjisë elektrike në skenarin WAM parashikohet jetë pozitive pas vitit 2026 (13% eksporte neto në vitin 2040) pasi importet neto arritën kulmin në 8,4% në vitin 2026 (16,1% në WEM) për shkak të mosdisponueshmërisë së përkohshme të disa blloqeve të linjitit gjatë punimeve të rinovimit.</w:t>
      </w:r>
      <w:bookmarkStart w:id="557" w:name="_Ref138124628"/>
    </w:p>
    <w:p w14:paraId="1E6CC749" w14:textId="77777777" w:rsidR="00FE486A" w:rsidRDefault="00FE486A" w:rsidP="006E6E51"/>
    <w:p w14:paraId="4E458AB9" w14:textId="320EC925" w:rsidR="00FD3BFB" w:rsidRPr="00976D33" w:rsidRDefault="00FD3BFB" w:rsidP="00FD3BFB">
      <w:pPr>
        <w:pStyle w:val="Caption"/>
      </w:pPr>
      <w:bookmarkStart w:id="558" w:name="_Toc181867288"/>
      <w:r>
        <w:t xml:space="preserve">Figura </w:t>
      </w:r>
      <w:r w:rsidRPr="00976D33">
        <w:fldChar w:fldCharType="begin"/>
      </w:r>
      <w:r w:rsidRPr="00976D33">
        <w:instrText>SEQ Figure \* ARABIC</w:instrText>
      </w:r>
      <w:r w:rsidRPr="00976D33">
        <w:fldChar w:fldCharType="separate"/>
      </w:r>
      <w:r w:rsidR="003B7FFA">
        <w:rPr>
          <w:noProof/>
        </w:rPr>
        <w:t>85</w:t>
      </w:r>
      <w:r w:rsidRPr="00976D33">
        <w:fldChar w:fldCharType="end"/>
      </w:r>
      <w:bookmarkEnd w:id="557"/>
      <w:r>
        <w:t>. Përzierja e energjisë elektrike në WAM në bruto konsumin final sipas burimit (projeksioni)</w:t>
      </w:r>
      <w:bookmarkEnd w:id="558"/>
    </w:p>
    <w:p w14:paraId="6761AE3B" w14:textId="22C8507A" w:rsidR="008F54FC" w:rsidRPr="00976D33" w:rsidRDefault="00976B37" w:rsidP="00FD3BFB">
      <w:r>
        <w:t xml:space="preserve"> </w:t>
      </w:r>
      <w:r>
        <w:rPr>
          <w:noProof/>
          <w:lang w:val="en-US"/>
        </w:rPr>
        <w:drawing>
          <wp:inline distT="0" distB="0" distL="0" distR="0" wp14:anchorId="0A976703" wp14:editId="34F04A27">
            <wp:extent cx="6079490" cy="2324100"/>
            <wp:effectExtent l="0" t="0" r="0" b="0"/>
            <wp:docPr id="10036379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079490" cy="2324100"/>
                    </a:xfrm>
                    <a:prstGeom prst="rect">
                      <a:avLst/>
                    </a:prstGeom>
                    <a:noFill/>
                    <a:ln>
                      <a:noFill/>
                    </a:ln>
                  </pic:spPr>
                </pic:pic>
              </a:graphicData>
            </a:graphic>
          </wp:inline>
        </w:drawing>
      </w:r>
    </w:p>
    <w:p w14:paraId="63601AEC" w14:textId="77777777" w:rsidR="00FD3BFB" w:rsidRPr="00976D33" w:rsidRDefault="00FD3BFB" w:rsidP="00FD3BFB">
      <w:pPr>
        <w:jc w:val="left"/>
        <w:rPr>
          <w:i/>
          <w:sz w:val="16"/>
          <w:szCs w:val="16"/>
        </w:rPr>
      </w:pPr>
      <w:r>
        <w:rPr>
          <w:i/>
          <w:sz w:val="16"/>
        </w:rPr>
        <w:t>Burimi: Eurostat, projeksionet dhe modelimi vetanak</w:t>
      </w:r>
    </w:p>
    <w:p w14:paraId="78F5ACF1" w14:textId="0C49970C" w:rsidR="00FD3BFB" w:rsidRPr="00976D33" w:rsidRDefault="00FD3BFB" w:rsidP="00FD3BFB">
      <w:r>
        <w:t>Sa i përket ngrohjes qendrore, zgjerimi i projektit të ngrohjes qendrore termike solare Solar4Kosova II, i cili aktualisht është duke u zhvilluar në Prishtinë, nga 50 MW në 70 MW, do të zvogëlonte pjesëmarrjen e linjitit të Kosovës në prodhimin e ngrohjes qendrore nga 61.1% në 48.2% në vitin 2030 (75.9% në 68.2% në vitin 2040) në skenarin WAM (</w:t>
      </w:r>
      <w:r w:rsidRPr="00976D33">
        <w:fldChar w:fldCharType="begin"/>
      </w:r>
      <w:r w:rsidRPr="00976D33">
        <w:instrText xml:space="preserve"> REF _Ref138124753 \h </w:instrText>
      </w:r>
      <w:r w:rsidR="004A7007" w:rsidRPr="00976D33">
        <w:instrText xml:space="preserve"> \* MERGEFORMAT </w:instrText>
      </w:r>
      <w:r w:rsidRPr="00976D33">
        <w:fldChar w:fldCharType="separate"/>
      </w:r>
      <w:r w:rsidR="003B7FFA">
        <w:t>Figura 86</w:t>
      </w:r>
      <w:r w:rsidRPr="00976D33">
        <w:fldChar w:fldCharType="end"/>
      </w:r>
      <w:r>
        <w:t xml:space="preserve">). </w:t>
      </w:r>
    </w:p>
    <w:p w14:paraId="03F89842" w14:textId="1A543F18" w:rsidR="00FD3BFB" w:rsidRPr="00976D33" w:rsidRDefault="00FD3BFB" w:rsidP="00FD3BFB">
      <w:pPr>
        <w:pStyle w:val="Caption"/>
      </w:pPr>
      <w:bookmarkStart w:id="559" w:name="_Ref138124753"/>
      <w:bookmarkStart w:id="560" w:name="_Toc181867289"/>
      <w:r>
        <w:t xml:space="preserve">Figura </w:t>
      </w:r>
      <w:r w:rsidRPr="00976D33">
        <w:fldChar w:fldCharType="begin"/>
      </w:r>
      <w:r w:rsidRPr="00976D33">
        <w:instrText>SEQ Figure \* ARABIC</w:instrText>
      </w:r>
      <w:r w:rsidRPr="00976D33">
        <w:fldChar w:fldCharType="separate"/>
      </w:r>
      <w:r w:rsidR="003B7FFA">
        <w:rPr>
          <w:noProof/>
        </w:rPr>
        <w:t>86</w:t>
      </w:r>
      <w:r w:rsidRPr="00976D33">
        <w:fldChar w:fldCharType="end"/>
      </w:r>
      <w:bookmarkEnd w:id="559"/>
      <w:r>
        <w:t>. Përzierja e gjenerimit të ngrohjes qendrore në WEM dhe WAM sipas burimit (projeksioni)</w:t>
      </w:r>
      <w:bookmarkEnd w:id="560"/>
    </w:p>
    <w:p w14:paraId="72F5D572" w14:textId="0C4ECF48" w:rsidR="00FD3BFB" w:rsidRPr="00976D33" w:rsidRDefault="00706654" w:rsidP="00FD3BFB">
      <w:r>
        <w:rPr>
          <w:noProof/>
          <w:lang w:val="en-US"/>
        </w:rPr>
        <w:drawing>
          <wp:inline distT="0" distB="0" distL="0" distR="0" wp14:anchorId="10C4327D" wp14:editId="01792D0B">
            <wp:extent cx="6079490" cy="2632710"/>
            <wp:effectExtent l="0" t="0" r="0" b="0"/>
            <wp:docPr id="21045045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079490" cy="2632710"/>
                    </a:xfrm>
                    <a:prstGeom prst="rect">
                      <a:avLst/>
                    </a:prstGeom>
                    <a:noFill/>
                    <a:ln>
                      <a:noFill/>
                    </a:ln>
                  </pic:spPr>
                </pic:pic>
              </a:graphicData>
            </a:graphic>
          </wp:inline>
        </w:drawing>
      </w:r>
    </w:p>
    <w:p w14:paraId="5C0A5C77" w14:textId="77777777" w:rsidR="00FD3BFB" w:rsidRPr="00976D33" w:rsidRDefault="00FD3BFB" w:rsidP="00FD3BFB">
      <w:pPr>
        <w:jc w:val="left"/>
        <w:rPr>
          <w:i/>
          <w:sz w:val="16"/>
          <w:szCs w:val="16"/>
        </w:rPr>
      </w:pPr>
      <w:r>
        <w:rPr>
          <w:i/>
          <w:sz w:val="16"/>
        </w:rPr>
        <w:t>Burimi: projeksionet dhe modelimi vetanak</w:t>
      </w:r>
    </w:p>
    <w:p w14:paraId="1387B8D5" w14:textId="7FEC5615" w:rsidR="00FD3BFB" w:rsidRPr="00976D33" w:rsidRDefault="00FD3BFB" w:rsidP="00FD3BFB">
      <w:r>
        <w:t xml:space="preserve">Masat shtesë ndikojnë gjithashtu në vëllimet e importit dhe eksportit të transportuesve të energjisë. Me kursime shtesë, veçanërisht në sektorin e transportit, importet e produkteve të naftës parashikohen të rriten më pak në WAM krahasuar me skenarin WEM. Në mënyrë të ngjashme, importet e bioenergjisë parashikohen të bien më fuqishëm në WAM pasi politikat shtesë reduktojnë konsumin e bioenergjisë në sektorin rezidencial. Masat shtesë rezultojnë në më pak importe neto të energjisë elektrike deri në vitin 2026, si dhe eksporte neto të energjisë elektrike nga viti 2027 e tutje, siç mund të shihet në </w:t>
      </w:r>
      <w:r w:rsidRPr="00F44B6E">
        <w:fldChar w:fldCharType="begin"/>
      </w:r>
      <w:r w:rsidRPr="00F44B6E">
        <w:instrText xml:space="preserve"> REF _Ref138124879 \h </w:instrText>
      </w:r>
      <w:r w:rsidR="004A7007" w:rsidRPr="00F44B6E">
        <w:instrText xml:space="preserve"> \* MERGEFORMAT </w:instrText>
      </w:r>
      <w:r w:rsidRPr="00F44B6E">
        <w:fldChar w:fldCharType="separate"/>
      </w:r>
      <w:r w:rsidR="003B7FFA">
        <w:t xml:space="preserve">Figura </w:t>
      </w:r>
      <w:r w:rsidR="003B7FFA">
        <w:rPr>
          <w:b/>
          <w:i/>
        </w:rPr>
        <w:t>87</w:t>
      </w:r>
      <w:r w:rsidRPr="00F44B6E">
        <w:fldChar w:fldCharType="end"/>
      </w:r>
      <w:r>
        <w:t>.</w:t>
      </w:r>
    </w:p>
    <w:p w14:paraId="2CF8CC2D" w14:textId="1E27A904" w:rsidR="00306509" w:rsidRPr="00976D33" w:rsidRDefault="00FD3BFB" w:rsidP="00FD3BFB">
      <w:r>
        <w:t xml:space="preserve">Në përgjithësi, politikat dhe masat shtesë përmirësojnë gradualisht sigurinë energjetike, pasi mbështetja në importet, veçanërisht të produkteve të naftës, zvogëlohet dhe disa kapacitete shtesë gjeneruese vendore (energjia përmes paneleve solare PV nga konsumatorët vetë-prodhues dhe energjisë termike solare për ngrohje qendrore) shtohen në skenarin WAM. Kjo zvogëlon varësinë në termocentralet e vjetruara të linjitit të Kosovës, Kosovën A dhe B. Pavarësisht nga masat e planifikuara për zgjatjen e jetëgjatësisë dhe rinovimin, </w:t>
      </w:r>
      <w:r>
        <w:lastRenderedPageBreak/>
        <w:t>termocentralet mund të vazhdojnë të paraqesin rrezik jo të papërfillshëm të sigurisë energjetike në rast të mirëmbajtjes së paplanifikuar ose ndërprerjeve të përkohshme. Në të njëjtën kohë, Kosova nuk planifikon të heqë nga përdorimi njësi shtesë të linjitit në skenarin WAM dhe mban dy njësi nga Kosova A në gjendje rezervë, njësoj si në skenarin WEM. Kështu që, pjesët e reduktuara të prodhimit të linjitit në prodhimin e energjisë elektrike dhe ngrohjes qendrore nuk korrespondojnë me kapacitetin e reduktuar në prodhimin e  energjisë së gatshme për shpërndarje.</w:t>
      </w:r>
    </w:p>
    <w:p w14:paraId="39F0B083" w14:textId="2CB8F5E8" w:rsidR="00976B37" w:rsidRPr="00F44B6E" w:rsidRDefault="00FD3BFB" w:rsidP="006E6E51">
      <w:pPr>
        <w:pStyle w:val="Caption"/>
        <w:rPr>
          <w:sz w:val="20"/>
          <w:szCs w:val="24"/>
        </w:rPr>
      </w:pPr>
      <w:bookmarkStart w:id="561" w:name="_Ref138124879"/>
      <w:bookmarkStart w:id="562" w:name="_Toc181867290"/>
      <w:r>
        <w:rPr>
          <w:b w:val="0"/>
          <w:i w:val="0"/>
          <w:sz w:val="20"/>
        </w:rPr>
        <w:t xml:space="preserve">Figura </w:t>
      </w:r>
      <w:r w:rsidRPr="00F44B6E">
        <w:rPr>
          <w:b w:val="0"/>
          <w:i w:val="0"/>
          <w:sz w:val="20"/>
        </w:rPr>
        <w:fldChar w:fldCharType="begin"/>
      </w:r>
      <w:r w:rsidRPr="00F44B6E">
        <w:rPr>
          <w:b w:val="0"/>
          <w:i w:val="0"/>
          <w:sz w:val="20"/>
        </w:rPr>
        <w:instrText>SEQ Figure \* ARABIC</w:instrText>
      </w:r>
      <w:r w:rsidRPr="00F44B6E">
        <w:rPr>
          <w:b w:val="0"/>
          <w:i w:val="0"/>
          <w:sz w:val="20"/>
        </w:rPr>
        <w:fldChar w:fldCharType="separate"/>
      </w:r>
      <w:r w:rsidR="003B7FFA">
        <w:rPr>
          <w:b w:val="0"/>
          <w:i w:val="0"/>
          <w:noProof/>
          <w:sz w:val="20"/>
        </w:rPr>
        <w:t>87</w:t>
      </w:r>
      <w:r w:rsidRPr="00F44B6E">
        <w:rPr>
          <w:b w:val="0"/>
          <w:i w:val="0"/>
          <w:sz w:val="20"/>
        </w:rPr>
        <w:fldChar w:fldCharType="end"/>
      </w:r>
      <w:bookmarkEnd w:id="561"/>
      <w:r>
        <w:rPr>
          <w:b w:val="0"/>
          <w:i w:val="0"/>
          <w:sz w:val="20"/>
        </w:rPr>
        <w:t>. Dallimi në importet neto nga transportuesit e energjisë ndërmjet skenarëve (projeksioni)</w:t>
      </w:r>
      <w:bookmarkEnd w:id="562"/>
    </w:p>
    <w:p w14:paraId="7B99F7E9" w14:textId="66262CBE" w:rsidR="00292D76" w:rsidRPr="00976D33" w:rsidRDefault="00292D76" w:rsidP="00FD3BFB">
      <w:r>
        <w:rPr>
          <w:noProof/>
          <w:lang w:val="en-US"/>
        </w:rPr>
        <w:drawing>
          <wp:inline distT="0" distB="0" distL="0" distR="0" wp14:anchorId="6E1391D8" wp14:editId="3ED3CF3F">
            <wp:extent cx="6079490" cy="2455545"/>
            <wp:effectExtent l="0" t="0" r="0" b="0"/>
            <wp:docPr id="13537651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079490" cy="2455545"/>
                    </a:xfrm>
                    <a:prstGeom prst="rect">
                      <a:avLst/>
                    </a:prstGeom>
                    <a:noFill/>
                    <a:ln>
                      <a:noFill/>
                    </a:ln>
                  </pic:spPr>
                </pic:pic>
              </a:graphicData>
            </a:graphic>
          </wp:inline>
        </w:drawing>
      </w:r>
    </w:p>
    <w:p w14:paraId="60316C83" w14:textId="77777777" w:rsidR="00FD3BFB" w:rsidRPr="00976D33" w:rsidRDefault="00FD3BFB" w:rsidP="00FD3BFB">
      <w:pPr>
        <w:jc w:val="left"/>
        <w:rPr>
          <w:i/>
          <w:sz w:val="16"/>
          <w:szCs w:val="16"/>
        </w:rPr>
      </w:pPr>
      <w:r>
        <w:rPr>
          <w:i/>
          <w:sz w:val="16"/>
        </w:rPr>
        <w:t>Burimi: projeksionet dhe modelimi vetanak</w:t>
      </w:r>
      <w:r>
        <w:rPr>
          <w:i/>
          <w:sz w:val="16"/>
        </w:rPr>
        <w:br/>
        <w:t>Shënim: Vlerat negative korrespondojnë me importe neto më të ulëta (ose eksporte neto më të larta) në skenarin WAM.</w:t>
      </w:r>
    </w:p>
    <w:p w14:paraId="631CC045" w14:textId="77777777" w:rsidR="00FD3BFB" w:rsidRPr="00976D33" w:rsidRDefault="00FD3BFB" w:rsidP="00FD3BFB">
      <w:pPr>
        <w:pStyle w:val="Heading3"/>
        <w:numPr>
          <w:ilvl w:val="0"/>
          <w:numId w:val="0"/>
        </w:numPr>
        <w:ind w:left="720" w:hanging="720"/>
        <w:rPr>
          <w:b/>
          <w:i/>
          <w:szCs w:val="22"/>
        </w:rPr>
      </w:pPr>
      <w:bookmarkStart w:id="563" w:name="_Toc137677742"/>
      <w:bookmarkStart w:id="564" w:name="_Toc182302353"/>
      <w:r>
        <w:rPr>
          <w:b/>
          <w:i/>
        </w:rPr>
        <w:t>Dimensioni i tregut të brendshëm energjetik</w:t>
      </w:r>
      <w:bookmarkEnd w:id="563"/>
      <w:bookmarkEnd w:id="564"/>
    </w:p>
    <w:p w14:paraId="6108F95F" w14:textId="58D60AEB" w:rsidR="00FD3BFB" w:rsidRPr="00976D33" w:rsidRDefault="001D46F2" w:rsidP="00FD3BFB">
      <w:r>
        <w:t>Krahasuar me WEM, një depërtim më i lartë i energjisë së ripërtëritshme dhe kërkesa më e ulët e brendshme për energji elektrike në Kosovë rezulton në vëllime më të mëdha të tregtisë së energjisë elektrike me vendet fqinje në skenarin WAM. Përderisa Kosova përgjithësisht posedon kapacitete të mëdha të interkoneksionit me fqinjët e saj, rritja e shfrytëzimit të interkonektorëve rezulton në nivele më të larta të kongjestionit, veçanërisht në interkonektorët (më të vegjël) me Maqedoninë e Veriut dhe Malin e Zi (</w:t>
      </w:r>
      <w:r w:rsidR="00FD3BFB" w:rsidRPr="00976D33">
        <w:fldChar w:fldCharType="begin"/>
      </w:r>
      <w:r w:rsidR="00FD3BFB" w:rsidRPr="00976D33">
        <w:instrText xml:space="preserve"> REF _Ref138125061 \h </w:instrText>
      </w:r>
      <w:r w:rsidR="004A7007" w:rsidRPr="00976D33">
        <w:instrText xml:space="preserve"> \* MERGEFORMAT </w:instrText>
      </w:r>
      <w:r w:rsidR="00FD3BFB" w:rsidRPr="00976D33">
        <w:fldChar w:fldCharType="separate"/>
      </w:r>
      <w:r w:rsidR="003B7FFA">
        <w:t>Tabela 20</w:t>
      </w:r>
      <w:r w:rsidR="00FD3BFB" w:rsidRPr="00976D33">
        <w:fldChar w:fldCharType="end"/>
      </w:r>
      <w:r>
        <w:t>).</w:t>
      </w:r>
    </w:p>
    <w:p w14:paraId="30539757" w14:textId="4AD0EA33" w:rsidR="00FD3BFB" w:rsidRPr="00976D33" w:rsidRDefault="00FD3BFB" w:rsidP="00FD3BFB">
      <w:pPr>
        <w:pStyle w:val="Caption"/>
      </w:pPr>
      <w:bookmarkStart w:id="565" w:name="_Ref138125061"/>
      <w:bookmarkStart w:id="566" w:name="_Toc181867313"/>
      <w:r>
        <w:t xml:space="preserve">Tabela </w:t>
      </w:r>
      <w:r w:rsidRPr="00976D33">
        <w:fldChar w:fldCharType="begin"/>
      </w:r>
      <w:r w:rsidRPr="00976D33">
        <w:instrText>SEQ Table \* ARABIC</w:instrText>
      </w:r>
      <w:r w:rsidRPr="00976D33">
        <w:fldChar w:fldCharType="separate"/>
      </w:r>
      <w:r w:rsidR="003B7FFA">
        <w:rPr>
          <w:noProof/>
        </w:rPr>
        <w:t>20</w:t>
      </w:r>
      <w:r w:rsidRPr="00976D33">
        <w:fldChar w:fldCharType="end"/>
      </w:r>
      <w:bookmarkEnd w:id="565"/>
      <w:r>
        <w:t>. Proj. 2030 - Normat e përdorimit dhe nivelet e mbingarkesës së interkonektorëve (sipas vendit)</w:t>
      </w:r>
      <w:bookmarkEnd w:id="566"/>
    </w:p>
    <w:tbl>
      <w:tblPr>
        <w:tblStyle w:val="GridTable5DarkAccent10"/>
        <w:tblW w:w="5000" w:type="pct"/>
        <w:tblLook w:val="04A0" w:firstRow="1" w:lastRow="0" w:firstColumn="1" w:lastColumn="0" w:noHBand="0" w:noVBand="1"/>
      </w:tblPr>
      <w:tblGrid>
        <w:gridCol w:w="2538"/>
        <w:gridCol w:w="1720"/>
        <w:gridCol w:w="77"/>
        <w:gridCol w:w="1645"/>
        <w:gridCol w:w="1796"/>
        <w:gridCol w:w="1788"/>
      </w:tblGrid>
      <w:tr w:rsidR="00FD3BFB" w:rsidRPr="00976D33" w14:paraId="461FE05B" w14:textId="77777777">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327" w:type="pct"/>
            <w:vAlign w:val="center"/>
          </w:tcPr>
          <w:p w14:paraId="11E1B8AE" w14:textId="77777777" w:rsidR="00FD3BFB" w:rsidRPr="00976D33" w:rsidRDefault="00FD3BFB">
            <w:pPr>
              <w:spacing w:before="0" w:after="0" w:line="276" w:lineRule="auto"/>
              <w:jc w:val="left"/>
              <w:rPr>
                <w:sz w:val="18"/>
                <w:szCs w:val="18"/>
              </w:rPr>
            </w:pPr>
          </w:p>
        </w:tc>
        <w:tc>
          <w:tcPr>
            <w:tcW w:w="1799" w:type="pct"/>
            <w:gridSpan w:val="3"/>
            <w:vAlign w:val="center"/>
          </w:tcPr>
          <w:p w14:paraId="1B76970C" w14:textId="77777777" w:rsidR="00FD3BFB" w:rsidRPr="00976D33" w:rsidRDefault="00FD3BFB">
            <w:pPr>
              <w:spacing w:before="0" w:after="0" w:line="276"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color w:val="FFFFFF" w:themeColor="background1"/>
                <w:sz w:val="18"/>
              </w:rPr>
              <w:t>Shkalla e përdorimit (%)</w:t>
            </w:r>
          </w:p>
        </w:tc>
        <w:tc>
          <w:tcPr>
            <w:tcW w:w="1874" w:type="pct"/>
            <w:gridSpan w:val="2"/>
            <w:vAlign w:val="center"/>
          </w:tcPr>
          <w:p w14:paraId="2F8D64CD" w14:textId="77777777" w:rsidR="00FD3BFB" w:rsidRPr="00976D33" w:rsidRDefault="00FD3BFB">
            <w:pPr>
              <w:spacing w:before="0" w:after="0" w:line="276"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color w:val="FFFFFF" w:themeColor="background1"/>
                <w:sz w:val="18"/>
              </w:rPr>
              <w:t>Mbingarkesa (%)</w:t>
            </w:r>
          </w:p>
          <w:p w14:paraId="5E60E436" w14:textId="77777777" w:rsidR="00FD3BFB" w:rsidRPr="00976D33" w:rsidRDefault="00FD3BFB">
            <w:pPr>
              <w:spacing w:before="0" w:after="0" w:line="276"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p>
        </w:tc>
      </w:tr>
      <w:tr w:rsidR="00FD3BFB" w:rsidRPr="00976D33" w14:paraId="413ED81F" w14:textId="7777777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327" w:type="pct"/>
            <w:vAlign w:val="center"/>
          </w:tcPr>
          <w:p w14:paraId="4FEEDCBF" w14:textId="77777777" w:rsidR="00FD3BFB" w:rsidRPr="00976D33" w:rsidRDefault="00FD3BFB">
            <w:pPr>
              <w:spacing w:before="0" w:after="0" w:line="276" w:lineRule="auto"/>
              <w:jc w:val="left"/>
              <w:rPr>
                <w:color w:val="FFFFFF" w:themeColor="background1"/>
                <w:sz w:val="18"/>
                <w:szCs w:val="18"/>
              </w:rPr>
            </w:pPr>
            <w:r>
              <w:rPr>
                <w:color w:val="FFFFFF" w:themeColor="background1"/>
                <w:sz w:val="18"/>
              </w:rPr>
              <w:t>Vendi</w:t>
            </w:r>
          </w:p>
        </w:tc>
        <w:tc>
          <w:tcPr>
            <w:tcW w:w="939" w:type="pct"/>
            <w:gridSpan w:val="2"/>
            <w:vAlign w:val="center"/>
          </w:tcPr>
          <w:p w14:paraId="1997757D" w14:textId="77777777" w:rsidR="00FD3BFB" w:rsidRPr="00976D33" w:rsidRDefault="00FD3BF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rPr>
              <w:t>WEM</w:t>
            </w:r>
          </w:p>
        </w:tc>
        <w:tc>
          <w:tcPr>
            <w:tcW w:w="860" w:type="pct"/>
            <w:vAlign w:val="center"/>
          </w:tcPr>
          <w:p w14:paraId="6282F7AD" w14:textId="77777777" w:rsidR="00FD3BFB" w:rsidRPr="00976D33" w:rsidRDefault="00FD3BF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rPr>
              <w:t>WAM</w:t>
            </w:r>
          </w:p>
        </w:tc>
        <w:tc>
          <w:tcPr>
            <w:tcW w:w="939" w:type="pct"/>
            <w:vAlign w:val="center"/>
          </w:tcPr>
          <w:p w14:paraId="55649BB0" w14:textId="77777777" w:rsidR="00FD3BFB" w:rsidRPr="00976D33" w:rsidRDefault="00FD3BF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rPr>
              <w:t>WEM</w:t>
            </w:r>
          </w:p>
        </w:tc>
        <w:tc>
          <w:tcPr>
            <w:tcW w:w="936" w:type="pct"/>
            <w:vAlign w:val="center"/>
          </w:tcPr>
          <w:p w14:paraId="0FB581BD" w14:textId="77777777" w:rsidR="00FD3BFB" w:rsidRPr="00976D33" w:rsidRDefault="00FD3BF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rPr>
              <w:t>WAM</w:t>
            </w:r>
          </w:p>
        </w:tc>
      </w:tr>
      <w:tr w:rsidR="00FD3BFB" w:rsidRPr="00976D33" w14:paraId="5BC84FF5" w14:textId="77777777">
        <w:trPr>
          <w:trHeight w:hRule="exact" w:val="340"/>
        </w:trPr>
        <w:tc>
          <w:tcPr>
            <w:cnfStyle w:val="001000000000" w:firstRow="0" w:lastRow="0" w:firstColumn="1" w:lastColumn="0" w:oddVBand="0" w:evenVBand="0" w:oddHBand="0" w:evenHBand="0" w:firstRowFirstColumn="0" w:firstRowLastColumn="0" w:lastRowFirstColumn="0" w:lastRowLastColumn="0"/>
            <w:tcW w:w="1327" w:type="pct"/>
            <w:vAlign w:val="center"/>
          </w:tcPr>
          <w:p w14:paraId="22F5FA66" w14:textId="77777777" w:rsidR="00FD3BFB" w:rsidRPr="00976D33" w:rsidRDefault="00FD3BFB">
            <w:pPr>
              <w:spacing w:before="0" w:after="0" w:line="276" w:lineRule="auto"/>
              <w:jc w:val="left"/>
              <w:rPr>
                <w:color w:val="FFFFFF" w:themeColor="background1"/>
                <w:sz w:val="18"/>
                <w:szCs w:val="18"/>
              </w:rPr>
            </w:pPr>
            <w:r>
              <w:rPr>
                <w:color w:val="FFFFFF" w:themeColor="background1"/>
                <w:sz w:val="18"/>
              </w:rPr>
              <w:t>Shqipëria</w:t>
            </w:r>
          </w:p>
        </w:tc>
        <w:tc>
          <w:tcPr>
            <w:tcW w:w="899" w:type="pct"/>
            <w:vAlign w:val="center"/>
          </w:tcPr>
          <w:p w14:paraId="5193EC6D" w14:textId="77777777" w:rsidR="00FD3BFB" w:rsidRPr="00976D33" w:rsidRDefault="00FD3BF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rPr>
              <w:t>21%</w:t>
            </w:r>
          </w:p>
        </w:tc>
        <w:tc>
          <w:tcPr>
            <w:tcW w:w="899" w:type="pct"/>
            <w:gridSpan w:val="2"/>
            <w:vAlign w:val="center"/>
          </w:tcPr>
          <w:p w14:paraId="32E1F57A" w14:textId="77777777" w:rsidR="00FD3BFB" w:rsidRPr="00976D33" w:rsidRDefault="00FD3BF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rPr>
              <w:t>11%</w:t>
            </w:r>
          </w:p>
        </w:tc>
        <w:tc>
          <w:tcPr>
            <w:tcW w:w="939" w:type="pct"/>
            <w:vAlign w:val="center"/>
          </w:tcPr>
          <w:p w14:paraId="21932808" w14:textId="2BB61FC7" w:rsidR="00FD3BFB" w:rsidRPr="00976D33" w:rsidRDefault="00FD3BF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rPr>
              <w:t>0%</w:t>
            </w:r>
          </w:p>
        </w:tc>
        <w:tc>
          <w:tcPr>
            <w:tcW w:w="936" w:type="pct"/>
            <w:vAlign w:val="center"/>
          </w:tcPr>
          <w:p w14:paraId="2573852A" w14:textId="77777777" w:rsidR="00FD3BFB" w:rsidRPr="00976D33" w:rsidRDefault="00FD3BF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rPr>
              <w:t>0%</w:t>
            </w:r>
          </w:p>
        </w:tc>
      </w:tr>
      <w:tr w:rsidR="00FD3BFB" w:rsidRPr="00976D33" w14:paraId="1115D212" w14:textId="7777777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327" w:type="pct"/>
            <w:vAlign w:val="center"/>
          </w:tcPr>
          <w:p w14:paraId="2EB05095" w14:textId="77777777" w:rsidR="00FD3BFB" w:rsidRPr="00976D33" w:rsidRDefault="00FD3BFB">
            <w:pPr>
              <w:spacing w:before="0" w:after="0" w:line="276" w:lineRule="auto"/>
              <w:jc w:val="left"/>
              <w:rPr>
                <w:color w:val="FFFFFF" w:themeColor="background1"/>
                <w:sz w:val="18"/>
                <w:szCs w:val="18"/>
              </w:rPr>
            </w:pPr>
            <w:r>
              <w:rPr>
                <w:color w:val="FFFFFF" w:themeColor="background1"/>
                <w:sz w:val="18"/>
              </w:rPr>
              <w:t>Maqedonia e Veriut</w:t>
            </w:r>
          </w:p>
        </w:tc>
        <w:tc>
          <w:tcPr>
            <w:tcW w:w="899" w:type="pct"/>
            <w:vAlign w:val="center"/>
          </w:tcPr>
          <w:p w14:paraId="3D103128" w14:textId="77777777" w:rsidR="00FD3BFB" w:rsidRPr="00976D33" w:rsidRDefault="00FD3BF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rPr>
              <w:t>27%</w:t>
            </w:r>
          </w:p>
        </w:tc>
        <w:tc>
          <w:tcPr>
            <w:tcW w:w="899" w:type="pct"/>
            <w:gridSpan w:val="2"/>
            <w:vAlign w:val="center"/>
          </w:tcPr>
          <w:p w14:paraId="313A9AE2" w14:textId="77777777" w:rsidR="00FD3BFB" w:rsidRPr="00976D33" w:rsidRDefault="00FD3BF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rPr>
              <w:t>34%</w:t>
            </w:r>
          </w:p>
        </w:tc>
        <w:tc>
          <w:tcPr>
            <w:tcW w:w="939" w:type="pct"/>
            <w:vAlign w:val="center"/>
          </w:tcPr>
          <w:p w14:paraId="3054914A" w14:textId="77777777" w:rsidR="00FD3BFB" w:rsidRPr="00976D33" w:rsidRDefault="00FD3BF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rPr>
              <w:t>16%</w:t>
            </w:r>
          </w:p>
        </w:tc>
        <w:tc>
          <w:tcPr>
            <w:tcW w:w="936" w:type="pct"/>
            <w:vAlign w:val="center"/>
          </w:tcPr>
          <w:p w14:paraId="37569EC6" w14:textId="77777777" w:rsidR="00FD3BFB" w:rsidRPr="00976D33" w:rsidRDefault="00FD3BF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rPr>
              <w:t>21%</w:t>
            </w:r>
          </w:p>
        </w:tc>
      </w:tr>
      <w:tr w:rsidR="00FD3BFB" w:rsidRPr="00976D33" w14:paraId="255BF345" w14:textId="77777777">
        <w:trPr>
          <w:trHeight w:hRule="exact" w:val="340"/>
        </w:trPr>
        <w:tc>
          <w:tcPr>
            <w:cnfStyle w:val="001000000000" w:firstRow="0" w:lastRow="0" w:firstColumn="1" w:lastColumn="0" w:oddVBand="0" w:evenVBand="0" w:oddHBand="0" w:evenHBand="0" w:firstRowFirstColumn="0" w:firstRowLastColumn="0" w:lastRowFirstColumn="0" w:lastRowLastColumn="0"/>
            <w:tcW w:w="1327" w:type="pct"/>
            <w:vAlign w:val="center"/>
          </w:tcPr>
          <w:p w14:paraId="0D28C29A" w14:textId="77777777" w:rsidR="00FD3BFB" w:rsidRPr="00976D33" w:rsidRDefault="00FD3BFB">
            <w:pPr>
              <w:spacing w:before="0" w:after="0" w:line="276" w:lineRule="auto"/>
              <w:jc w:val="left"/>
              <w:rPr>
                <w:color w:val="FFFFFF" w:themeColor="background1"/>
                <w:sz w:val="18"/>
                <w:szCs w:val="18"/>
              </w:rPr>
            </w:pPr>
            <w:r>
              <w:rPr>
                <w:color w:val="FFFFFF" w:themeColor="background1"/>
                <w:sz w:val="18"/>
              </w:rPr>
              <w:t>Mali i Zi</w:t>
            </w:r>
          </w:p>
        </w:tc>
        <w:tc>
          <w:tcPr>
            <w:tcW w:w="899" w:type="pct"/>
            <w:vAlign w:val="center"/>
          </w:tcPr>
          <w:p w14:paraId="6FBE3B0D" w14:textId="77777777" w:rsidR="00FD3BFB" w:rsidRPr="00976D33" w:rsidRDefault="00FD3BF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rPr>
              <w:t>22%</w:t>
            </w:r>
          </w:p>
        </w:tc>
        <w:tc>
          <w:tcPr>
            <w:tcW w:w="899" w:type="pct"/>
            <w:gridSpan w:val="2"/>
            <w:vAlign w:val="center"/>
          </w:tcPr>
          <w:p w14:paraId="6FEC48E5" w14:textId="77777777" w:rsidR="00FD3BFB" w:rsidRPr="00976D33" w:rsidRDefault="00FD3BF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rPr>
              <w:t>40%</w:t>
            </w:r>
          </w:p>
        </w:tc>
        <w:tc>
          <w:tcPr>
            <w:tcW w:w="939" w:type="pct"/>
            <w:vAlign w:val="center"/>
          </w:tcPr>
          <w:p w14:paraId="56B57E0A" w14:textId="77777777" w:rsidR="00FD3BFB" w:rsidRPr="00976D33" w:rsidRDefault="00FD3BF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rPr>
              <w:t>6%</w:t>
            </w:r>
          </w:p>
        </w:tc>
        <w:tc>
          <w:tcPr>
            <w:tcW w:w="936" w:type="pct"/>
            <w:vAlign w:val="center"/>
          </w:tcPr>
          <w:p w14:paraId="0BB1216C" w14:textId="77777777" w:rsidR="00FD3BFB" w:rsidRPr="00976D33" w:rsidRDefault="00FD3BF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rPr>
              <w:t>17%</w:t>
            </w:r>
          </w:p>
        </w:tc>
      </w:tr>
      <w:tr w:rsidR="00FD3BFB" w:rsidRPr="00976D33" w14:paraId="3545A955" w14:textId="7777777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327" w:type="pct"/>
            <w:vAlign w:val="center"/>
          </w:tcPr>
          <w:p w14:paraId="53905909" w14:textId="77777777" w:rsidR="00FD3BFB" w:rsidRPr="00976D33" w:rsidRDefault="00FD3BFB">
            <w:pPr>
              <w:spacing w:before="0" w:after="0" w:line="276" w:lineRule="auto"/>
              <w:jc w:val="left"/>
              <w:rPr>
                <w:color w:val="FFFFFF" w:themeColor="background1"/>
                <w:sz w:val="18"/>
                <w:szCs w:val="18"/>
              </w:rPr>
            </w:pPr>
            <w:r>
              <w:rPr>
                <w:color w:val="FFFFFF" w:themeColor="background1"/>
                <w:sz w:val="18"/>
              </w:rPr>
              <w:t>Serbi</w:t>
            </w:r>
          </w:p>
        </w:tc>
        <w:tc>
          <w:tcPr>
            <w:tcW w:w="899" w:type="pct"/>
            <w:vAlign w:val="center"/>
          </w:tcPr>
          <w:p w14:paraId="63B4863C" w14:textId="77777777" w:rsidR="00FD3BFB" w:rsidRPr="00976D33" w:rsidRDefault="00FD3BF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rPr>
              <w:t>8%</w:t>
            </w:r>
          </w:p>
        </w:tc>
        <w:tc>
          <w:tcPr>
            <w:tcW w:w="899" w:type="pct"/>
            <w:gridSpan w:val="2"/>
            <w:vAlign w:val="center"/>
          </w:tcPr>
          <w:p w14:paraId="1F8E8F14" w14:textId="77777777" w:rsidR="00FD3BFB" w:rsidRPr="00976D33" w:rsidRDefault="00FD3BF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rPr>
              <w:t>5%</w:t>
            </w:r>
          </w:p>
        </w:tc>
        <w:tc>
          <w:tcPr>
            <w:tcW w:w="939" w:type="pct"/>
            <w:vAlign w:val="center"/>
          </w:tcPr>
          <w:p w14:paraId="3B13BF98" w14:textId="77777777" w:rsidR="00FD3BFB" w:rsidRPr="00976D33" w:rsidRDefault="00FD3BF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rPr>
              <w:t>0%</w:t>
            </w:r>
          </w:p>
        </w:tc>
        <w:tc>
          <w:tcPr>
            <w:tcW w:w="936" w:type="pct"/>
            <w:vAlign w:val="center"/>
          </w:tcPr>
          <w:p w14:paraId="7FA9EF13" w14:textId="77777777" w:rsidR="00FD3BFB" w:rsidRPr="00976D33" w:rsidRDefault="00FD3BFB">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rPr>
              <w:t>0%</w:t>
            </w:r>
          </w:p>
        </w:tc>
      </w:tr>
    </w:tbl>
    <w:p w14:paraId="4C7DFE6A" w14:textId="77777777" w:rsidR="00FD3BFB" w:rsidRPr="00976D33" w:rsidRDefault="00FD3BFB" w:rsidP="00FD3BFB">
      <w:pPr>
        <w:jc w:val="left"/>
        <w:rPr>
          <w:i/>
          <w:sz w:val="16"/>
          <w:szCs w:val="16"/>
        </w:rPr>
      </w:pPr>
      <w:r>
        <w:rPr>
          <w:i/>
          <w:sz w:val="16"/>
        </w:rPr>
        <w:t>Burimi: llogaritjet dhe modelimi vetanak</w:t>
      </w:r>
    </w:p>
    <w:p w14:paraId="18960EDD" w14:textId="15395E78" w:rsidR="00FD3BFB" w:rsidRPr="00976D33" w:rsidRDefault="00FD3BFB" w:rsidP="00FD3BFB">
      <w:r>
        <w:t xml:space="preserve">Një përcaktim dinamik i kapaciteteve të interkonektorëve të bazuar në rrjedhje (i pa modeluar këtu) do të lehtësonte një pjesë të kësaj mbingarkese, siç parashikohet nga </w:t>
      </w:r>
      <w:r w:rsidR="00944071" w:rsidRPr="00976D33">
        <w:fldChar w:fldCharType="begin"/>
      </w:r>
      <w:r w:rsidR="00944071" w:rsidRPr="00976D33">
        <w:instrText xml:space="preserve"> REF _Ref164907735 \h </w:instrText>
      </w:r>
      <w:r w:rsidR="004A7007" w:rsidRPr="00976D33">
        <w:instrText xml:space="preserve"> \* MERGEFORMAT </w:instrText>
      </w:r>
      <w:r w:rsidR="00944071" w:rsidRPr="00976D33">
        <w:fldChar w:fldCharType="separate"/>
      </w:r>
      <w:r w:rsidR="003B7FFA" w:rsidRPr="003B7FFA">
        <w:rPr>
          <w:sz w:val="18"/>
        </w:rPr>
        <w:t>PM</w:t>
      </w:r>
      <w:r w:rsidR="00944071" w:rsidRPr="00976D33">
        <w:fldChar w:fldCharType="end"/>
      </w:r>
      <w:r>
        <w:t>. Këto rezultate theksojnë rëndësinë e përmirësimit të përcaktimit të kapaciteteve të interkoneksionit. Për një diskutim të çmimeve të parashikuara të energjisë elektrike, shihni seksionin 5.4 ii.</w:t>
      </w:r>
    </w:p>
    <w:p w14:paraId="6EA58C10" w14:textId="180F6CDF" w:rsidR="00F11F64" w:rsidRPr="00976D33" w:rsidRDefault="00F11F64" w:rsidP="00AF7BBF">
      <w:pPr>
        <w:pStyle w:val="Heading3"/>
        <w:numPr>
          <w:ilvl w:val="0"/>
          <w:numId w:val="63"/>
        </w:numPr>
      </w:pPr>
      <w:bookmarkStart w:id="567" w:name="_Toc182302354"/>
      <w:bookmarkStart w:id="568" w:name="_Hlk167607700"/>
      <w:r>
        <w:t>Vlerësimi i ndërveprimeve të politikave për përmasat e sistemit energjetik dhe reduktimin e rrezikut të investimeve të bllokuara</w:t>
      </w:r>
      <w:bookmarkEnd w:id="567"/>
    </w:p>
    <w:p w14:paraId="71CBD220" w14:textId="5ACFA1E9" w:rsidR="0087031C" w:rsidRPr="00976D33" w:rsidRDefault="00F11F64" w:rsidP="0087031C">
      <w:r>
        <w:t>Ky kapitull ofron një analizë</w:t>
      </w:r>
      <w:bookmarkEnd w:id="568"/>
      <w:r>
        <w:t xml:space="preserve"> ndërmjet politikave dhe masave ekzistuese dhe atyre të planifikuara brenda një dimensioni politik dhe ndërmjet politikave dhe masave ekzistuese dhe atyre të planifikuara në dimensione të ndryshme, të paktën deri në vitin e fundit të periudhës së mbuluar nga plani, veçanërisht për të krijuar një kuptim të fuqishëm të ndikimit të politikave për efiçiencën e energjisë / kursimin e energjisë në përcaktimin e </w:t>
      </w:r>
      <w:r>
        <w:lastRenderedPageBreak/>
        <w:t>madhësisë së sistemit energjetik dhe për të reduktuar rrezikun nga investimet e bllokuara në furnizimin me energji.</w:t>
      </w:r>
    </w:p>
    <w:p w14:paraId="6CBBCC70" w14:textId="60251263" w:rsidR="00FD3BFB" w:rsidRPr="00976D33" w:rsidRDefault="00FD3BFB" w:rsidP="00FD3BFB">
      <w:r>
        <w:t>Masat shtesë të efiçiencës së energjisë në skenarin WAM, veçanërisht në sektorin rezidencial, çojnë në kërkesë të konsiderueshme më të ulët për energji elektrike në krahasim me skenarin WEM (shih seksionin e mëparshëm). Bruto kërkesa finale për energji elektrike në vitin 2030 parashikohet të arrijë në 5,98 TWh në vitin 2030 (kundrejt 6,85 TWh në WEM) dhe 6,90 TWh në vitin 2040 (8,18 TWh në WEM) (</w:t>
      </w:r>
      <w:r w:rsidRPr="00976D33">
        <w:fldChar w:fldCharType="begin"/>
      </w:r>
      <w:r w:rsidRPr="00976D33">
        <w:instrText xml:space="preserve"> REF _Ref139004606 \h  \* MERGEFORMAT </w:instrText>
      </w:r>
      <w:r w:rsidRPr="00976D33">
        <w:fldChar w:fldCharType="separate"/>
      </w:r>
      <w:r w:rsidR="003B7FFA">
        <w:t xml:space="preserve">Figura </w:t>
      </w:r>
      <w:r w:rsidR="003B7FFA" w:rsidRPr="003B7FFA">
        <w:t>88</w:t>
      </w:r>
      <w:r w:rsidRPr="00976D33">
        <w:fldChar w:fldCharType="end"/>
      </w:r>
      <w:r>
        <w:t>).</w:t>
      </w:r>
    </w:p>
    <w:p w14:paraId="50D005C9" w14:textId="2A18149A" w:rsidR="00FD3BFB" w:rsidRPr="00976D33" w:rsidRDefault="00FD3BFB" w:rsidP="006E6E51">
      <w:pPr>
        <w:pStyle w:val="Caption"/>
        <w:rPr>
          <w:szCs w:val="18"/>
        </w:rPr>
      </w:pPr>
      <w:bookmarkStart w:id="569" w:name="_Ref139004606"/>
      <w:bookmarkStart w:id="570" w:name="_Toc181867291"/>
      <w:r>
        <w:rPr>
          <w:b w:val="0"/>
          <w:i w:val="0"/>
        </w:rPr>
        <w:t xml:space="preserve">Figura </w:t>
      </w:r>
      <w:r w:rsidRPr="00976D33">
        <w:rPr>
          <w:b w:val="0"/>
          <w:i w:val="0"/>
        </w:rPr>
        <w:fldChar w:fldCharType="begin"/>
      </w:r>
      <w:r w:rsidRPr="00976D33">
        <w:rPr>
          <w:b w:val="0"/>
          <w:i w:val="0"/>
        </w:rPr>
        <w:instrText>SEQ Figure \* ARABIC</w:instrText>
      </w:r>
      <w:r w:rsidRPr="00976D33">
        <w:rPr>
          <w:b w:val="0"/>
          <w:i w:val="0"/>
        </w:rPr>
        <w:fldChar w:fldCharType="separate"/>
      </w:r>
      <w:r w:rsidR="003B7FFA">
        <w:rPr>
          <w:b w:val="0"/>
          <w:i w:val="0"/>
          <w:noProof/>
        </w:rPr>
        <w:t>88</w:t>
      </w:r>
      <w:r w:rsidRPr="00976D33">
        <w:rPr>
          <w:b w:val="0"/>
          <w:i w:val="0"/>
        </w:rPr>
        <w:fldChar w:fldCharType="end"/>
      </w:r>
      <w:bookmarkEnd w:id="569"/>
      <w:r>
        <w:rPr>
          <w:b w:val="0"/>
          <w:i w:val="0"/>
        </w:rPr>
        <w:t>. Kërkesa për energji elektrike sipas skenarit (projeksioni)</w:t>
      </w:r>
      <w:bookmarkEnd w:id="570"/>
    </w:p>
    <w:p w14:paraId="4D8DB3B9" w14:textId="77D0BEC2" w:rsidR="00BE5BAF" w:rsidRPr="008C14F9" w:rsidRDefault="00BE5BAF" w:rsidP="00FD3BFB">
      <w:pPr>
        <w:spacing w:after="0"/>
        <w:rPr>
          <w:iCs/>
          <w:sz w:val="18"/>
          <w:szCs w:val="18"/>
        </w:rPr>
      </w:pPr>
      <w:r>
        <w:rPr>
          <w:noProof/>
          <w:lang w:val="en-US"/>
        </w:rPr>
        <w:drawing>
          <wp:inline distT="0" distB="0" distL="0" distR="0" wp14:anchorId="5FD97E55" wp14:editId="3A2A1D03">
            <wp:extent cx="5844209" cy="2611398"/>
            <wp:effectExtent l="0" t="0" r="4445" b="0"/>
            <wp:docPr id="2159021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846217" cy="2612295"/>
                    </a:xfrm>
                    <a:prstGeom prst="rect">
                      <a:avLst/>
                    </a:prstGeom>
                    <a:noFill/>
                    <a:ln>
                      <a:noFill/>
                    </a:ln>
                  </pic:spPr>
                </pic:pic>
              </a:graphicData>
            </a:graphic>
          </wp:inline>
        </w:drawing>
      </w:r>
    </w:p>
    <w:p w14:paraId="577AC057" w14:textId="77777777" w:rsidR="00FD3BFB" w:rsidRPr="00976D33" w:rsidRDefault="00FD3BFB" w:rsidP="00FD3BFB">
      <w:pPr>
        <w:spacing w:before="0"/>
        <w:jc w:val="left"/>
        <w:rPr>
          <w:i/>
          <w:sz w:val="16"/>
          <w:szCs w:val="16"/>
        </w:rPr>
      </w:pPr>
      <w:r>
        <w:rPr>
          <w:i/>
          <w:sz w:val="16"/>
        </w:rPr>
        <w:t>Burimi: llogaritjet dhe modelimi vetanak</w:t>
      </w:r>
    </w:p>
    <w:p w14:paraId="1B31BF05" w14:textId="77777777" w:rsidR="00FD3BFB" w:rsidRPr="00976D33" w:rsidRDefault="00FD3BFB" w:rsidP="00FD3BFB">
      <w:pPr>
        <w:rPr>
          <w:lang w:eastAsia="ja-JP"/>
        </w:rPr>
      </w:pPr>
    </w:p>
    <w:p w14:paraId="5E79EE7E" w14:textId="22BB1D89" w:rsidR="00FD3BFB" w:rsidRPr="00976D33" w:rsidRDefault="00FD3BFB" w:rsidP="00FD3BFB">
      <w:r>
        <w:t>Siç përshkruhet në Kapitullin 5.1. i., kërkesa e reduktuar për energji elektrike në WAM (si dhe kapacitetet shtesë të disponueshme të BRE-ve në prodhimin e energjisë elektrike dhe ngrohjes qendrore) çon në shfrytëzimin më të ulët të termocentraleve me linjit. Shkalla mesatare e shfrytëzimit të njësive të linjitit të Kosovës në skenarin WAM është parashikuar në 47% në vitin 2030 (55% në WEM) dhe 29% në vitin 2040 (38% në WEM).</w:t>
      </w:r>
    </w:p>
    <w:p w14:paraId="06BF4326" w14:textId="463D18E5" w:rsidR="00FD3BFB" w:rsidRPr="00976D33" w:rsidRDefault="00FD3BFB" w:rsidP="00FD3BFB">
      <w:r>
        <w:t>Rezultatet e modelimit tregojnë se kërkesa për energji elektrike mund të plotësohet pa Kosovën A në skenarin WAM pas vitit 2031 në kushte normale, pa u mbështetur në importet neto. Me fjalë të tjera, kapacitetet shtesë të energjisë së ripërtëritshme dhe rritja e kapacitetit gjenerues dhe disponueshmëria e përmirësuar e Kosovës B pas rinovimit janë të mjaftueshme për të përmbushur kërkesës e parashikuar në kushte normale. Përderisa mund të argumentohet se investimet në rinovimin dhe zgjatjen e jetëgjatësisë së njësive të Kosovës A përbëjnë investime të bllokuara, veçanërisht në skenarin me masa shtesë (WAM), pasi që njësitë nuk do të ishin në gjendje t’i rifinanconin këto investime në tregun e energjisë elektrike, shpenzimet mund të shihen gjithashtu si një investim në sigurinë energjetike. Me këtë kornizë, rezerva strategjike e njësive të rinovuara të Kosovës A përfaqëson një mbrojtje fizike ndaj ngjarjeve të paparashikuara ose të jashtëzakonshme (p.sh. dështimi i njësisë së Kosovës B ose kërkesa jashtëzakonisht e lartë).</w:t>
      </w:r>
    </w:p>
    <w:p w14:paraId="727FC771" w14:textId="33743EF6" w:rsidR="00FD3BFB" w:rsidRDefault="00FD3BFB" w:rsidP="00FD3BFB">
      <w:r>
        <w:t>Duhet të theksohet se me shkallë më të ulët të shfrytëzimit të njësive të Kosovës B në skenarin WAM, kapaciteti i përbashkët rezervë i kapacitetit të pashfrytëzuar të Kosovës B dhe kapacitetit shtesë rezervë të Kosovës A është më i lartë se në skenarin WEM. Kështu që, skenari WAM përfshin një mbrojtje më të madhe ndaj pasigurive. Ndonëse nuk është marrë parasysh këtu, mund të vlerësohet nëse rinovimi i vetëm një njësie të Kosovës A (ndërsa dy njësi nxjerrën jashtë përdorimit) mund të jetë i mjaftueshëm për qëllime të rezervës strategjike në skenarin WAM.</w:t>
      </w:r>
    </w:p>
    <w:p w14:paraId="314B66A0" w14:textId="77777777" w:rsidR="005D1448" w:rsidRPr="00976D33" w:rsidRDefault="005D1448" w:rsidP="00FD3BFB">
      <w:pPr>
        <w:rPr>
          <w:color w:val="auto"/>
        </w:rPr>
      </w:pPr>
    </w:p>
    <w:p w14:paraId="2B13348F" w14:textId="0A2B844F" w:rsidR="00FD3BFB" w:rsidRPr="00976D33" w:rsidRDefault="00FD3BFB" w:rsidP="00FD3BFB">
      <w:pPr>
        <w:pStyle w:val="Heading3"/>
      </w:pPr>
      <w:bookmarkStart w:id="571" w:name="_Toc182302355"/>
      <w:r>
        <w:lastRenderedPageBreak/>
        <w:t>Vlerësimi i ndërveprimeve ndërmjet politikave dhe masave ekzistuese të Komunitetit të Energjisë dhe politikës klimatike dhe energjetike</w:t>
      </w:r>
      <w:bookmarkEnd w:id="571"/>
    </w:p>
    <w:p w14:paraId="5889B717" w14:textId="5EF8D0B9" w:rsidR="00FD3BFB" w:rsidRPr="00976D33" w:rsidRDefault="00FD3BFB" w:rsidP="00FD3BFB">
      <w:r>
        <w:t>Politikat e miratuara nga Këshilli Ministror i Komunitetit të Energjisë zbatohen në Kosovë përmes politikave dhe masave në nivel kombëtar siç janë paraqitur në Kapitullin 3. Politikat dhe masat në skenarin WAM janë të projektuara në atë mënyrë që të arrihen caqet e vitit 2030 për Kosovën (miratuar në Këshillin Ministror të Komunitetit të Energjisë) në dimensionet e emetimeve të GS-ve, energjisë së ripërtëritshme dhe efiçiencës së energjisë për vitin 2030.</w:t>
      </w:r>
    </w:p>
    <w:p w14:paraId="3641C15A" w14:textId="2A7CA69F" w:rsidR="00FD3BFB" w:rsidRPr="00976D33" w:rsidRDefault="00FD3BFB" w:rsidP="00FD3BFB">
      <w:r>
        <w:t>Kosova parashikohet të arrijë caqet e saj të vitit 2030 për emetimet e GS-ve dhe energjinë e ripërtëritshme në skenarin WEM dhe WAM. Kjo kryesisht nxitet nga planet ambicioze (në WEM dhe WAM) për zgjerimin e kapaciteteve të energjisë së erës dhe asaj solare fotovoltaike, të cilat, nga njëra anë, shtojnë pjesëmarrjen e energjisë së ripërtëritshme në bruto konsumimin final dhe, nga ana tjetër, gradualisht por vazhdimisht reduktojnë shfrytëzimin dhe emetimet e GS-ve nga termocentralet e linjitit të Kosovës.</w:t>
      </w:r>
    </w:p>
    <w:p w14:paraId="13A364ED" w14:textId="728BB00E" w:rsidR="00FD3BFB" w:rsidRDefault="00FD3BFB" w:rsidP="00FD3BFB">
      <w:r>
        <w:t>Caku më kritik për Kosovën është caku i efiçiencës së energjisë për konsumin final të energjisë (1,800 ktoe në vitin 2030). Masat ambicioze të efiçiencës së energjisë në të gjithë sektorët janë instrumentale për arritjen e këtij caku. Në thelb, kjo përfshin përpjekje ambicioze për rinovim në sektorin rezidencial dhe atë të shërbimeve, zgjerimin e ngrohjes qendrore në Prishtinë dhe Gjakovë, si dhe vendosjen e pompave termike dhe stufave më efiçiencë të biomasës në skenarin WAM. Për më tepër, politikat për të rritur pjesën e automjeteve me lëndë djegëse alternative, veçanërisht automjetet efiçiente me bateri elektrike, si dhe politikat dhe masat për të rritur pjesën e transportit hekurudhor, ndihmojnë në arritjen e cakut të efiçiencës së energjisë për konsumin final të energjisë në skenarin WAM. Politikat dhe masat shtesë për të rritur efiçiencën e energjisë në industri nuk janë aktualisht pjesë e skenarit WAM dhe mund të eksplorohen në PKEK-në e përditësuar në të ardhmen.</w:t>
      </w:r>
    </w:p>
    <w:p w14:paraId="634F417A" w14:textId="77777777" w:rsidR="005D1448" w:rsidRPr="00976D33" w:rsidRDefault="005D1448" w:rsidP="00FD3BFB"/>
    <w:p w14:paraId="67A5F2FC" w14:textId="7FF1CBB8" w:rsidR="00FD3BFB" w:rsidRPr="00976D33" w:rsidRDefault="00872243" w:rsidP="006E6E51">
      <w:pPr>
        <w:pStyle w:val="Heading2"/>
        <w:rPr>
          <w:sz w:val="22"/>
          <w:szCs w:val="20"/>
        </w:rPr>
      </w:pPr>
      <w:bookmarkStart w:id="572" w:name="_Toc182302356"/>
      <w:r>
        <w:rPr>
          <w:sz w:val="22"/>
        </w:rPr>
        <w:t>Analiza gjithëpërfshirëse e ndikimit të politikave dhe masave të planifikuara</w:t>
      </w:r>
      <w:bookmarkEnd w:id="572"/>
    </w:p>
    <w:p w14:paraId="0D6B6DE4" w14:textId="0C7AD27A" w:rsidR="00FD3BFB" w:rsidRPr="00976D33" w:rsidRDefault="00FD3BFB" w:rsidP="00FD3BFB">
      <w:r>
        <w:t xml:space="preserve">Politikat dhe masat e përshkruara në kapitullin 3 do të kenë ndikim të rëndësishëm afatshkurtër, afatmesëm dhe afatgjatë në një numër aspektesh joenergjetike, duke përfshirë nivelet e të ardhurave të disponueshme të ekonomive familjare kosovare, buxhetin publik, nivelet e punësimit dhe shëndetësinë. Ky seksion ofron në mënyrë specifike një vlerësim mbi këto ndikime joenergjetike të politikave energjetike dhe klimatike të përfshira në këtë PKEK. </w:t>
      </w:r>
    </w:p>
    <w:p w14:paraId="6467A342" w14:textId="1F7087A4" w:rsidR="00FD3BFB" w:rsidRDefault="00FD3BFB" w:rsidP="00FD3BFB">
      <w:r w:rsidRPr="00976D33">
        <w:fldChar w:fldCharType="begin"/>
      </w:r>
      <w:r w:rsidRPr="00976D33">
        <w:instrText xml:space="preserve"> REF _Ref138125275 \h </w:instrText>
      </w:r>
      <w:r w:rsidR="004A7007" w:rsidRPr="00976D33">
        <w:instrText xml:space="preserve"> \* MERGEFORMAT </w:instrText>
      </w:r>
      <w:r w:rsidRPr="00976D33">
        <w:fldChar w:fldCharType="separate"/>
      </w:r>
      <w:r w:rsidR="003B7FFA">
        <w:t>Tabela 21</w:t>
      </w:r>
      <w:r w:rsidRPr="00976D33">
        <w:fldChar w:fldCharType="end"/>
      </w:r>
      <w:r>
        <w:t xml:space="preserve"> paraqet një vlerësim cilësor të ndikimeve joenergjetike të politikave dhe masave të përzgjedhura, duke trajtuar këto aspekte. Vlerësimet kryhen në një shkallë me tri nivele që varion nga “negativ” mbi “neutral” në “pozitiv’, duke treguar drejtimin e efektit të masës përkatëse në rezultat. Ndërsa vlerësohen sipas seksioneve, është thelbësore të theksohet se efektet makroekonomike janë të ndërlidhura dhe janë të kushtëzuara nga përafrimi i politikave për të siguruar minimizimin e shpenzimeve dhe efektet negative duke maksimizuar përfitimet për qeverinë, sektorin privat dhe konsumatorët. Gjithashtu, duhet theksuar se efektet makroekonomike të ndërhyrjeve janë shumë të ndryshme varësisht nga burimi i financimit të masave të ndryshme të efiçiencës së energjisë dhe të BRE-ve. </w:t>
      </w:r>
    </w:p>
    <w:p w14:paraId="001F9126" w14:textId="77777777" w:rsidR="005D1448" w:rsidRDefault="005D1448" w:rsidP="00FD3BFB"/>
    <w:p w14:paraId="5B4103F0" w14:textId="77777777" w:rsidR="005D1448" w:rsidRDefault="005D1448" w:rsidP="00FD3BFB"/>
    <w:p w14:paraId="4E7A8AE7" w14:textId="77777777" w:rsidR="005D1448" w:rsidRDefault="005D1448" w:rsidP="00FD3BFB"/>
    <w:p w14:paraId="47FCE0D5" w14:textId="77777777" w:rsidR="005D1448" w:rsidRDefault="005D1448" w:rsidP="00FD3BFB"/>
    <w:p w14:paraId="6013BB49" w14:textId="77777777" w:rsidR="005D1448" w:rsidRDefault="005D1448" w:rsidP="00FD3BFB"/>
    <w:p w14:paraId="1B825A72" w14:textId="77777777" w:rsidR="005D1448" w:rsidRDefault="005D1448" w:rsidP="00FD3BFB"/>
    <w:p w14:paraId="477EDD2B" w14:textId="77777777" w:rsidR="005D1448" w:rsidRDefault="005D1448" w:rsidP="00FD3BFB"/>
    <w:p w14:paraId="48F2DCE7" w14:textId="77777777" w:rsidR="005D1448" w:rsidRDefault="005D1448" w:rsidP="00FD3BFB"/>
    <w:p w14:paraId="69CEA272" w14:textId="77777777" w:rsidR="005D1448" w:rsidRPr="00976D33" w:rsidRDefault="005D1448" w:rsidP="00FD3BFB"/>
    <w:p w14:paraId="1B4C63DD" w14:textId="470C33D2" w:rsidR="00FD3BFB" w:rsidRPr="00976D33" w:rsidRDefault="00FD3BFB" w:rsidP="00FD3BFB">
      <w:pPr>
        <w:pStyle w:val="Caption"/>
      </w:pPr>
      <w:bookmarkStart w:id="573" w:name="_Ref138125275"/>
      <w:bookmarkStart w:id="574" w:name="_Ref138125272"/>
      <w:bookmarkStart w:id="575" w:name="_Toc181867314"/>
      <w:r>
        <w:lastRenderedPageBreak/>
        <w:t xml:space="preserve">Tabela </w:t>
      </w:r>
      <w:r w:rsidRPr="00976D33">
        <w:fldChar w:fldCharType="begin"/>
      </w:r>
      <w:r w:rsidRPr="00976D33">
        <w:instrText>SEQ Table \* ARABIC</w:instrText>
      </w:r>
      <w:r w:rsidRPr="00976D33">
        <w:fldChar w:fldCharType="separate"/>
      </w:r>
      <w:r w:rsidR="003B7FFA">
        <w:rPr>
          <w:noProof/>
        </w:rPr>
        <w:t>21</w:t>
      </w:r>
      <w:r w:rsidRPr="00976D33">
        <w:fldChar w:fldCharType="end"/>
      </w:r>
      <w:bookmarkEnd w:id="573"/>
      <w:r>
        <w:t>. Ndikimet joenergjetike të PM-ve të përzgjedhura</w:t>
      </w:r>
      <w:bookmarkEnd w:id="574"/>
      <w:bookmarkEnd w:id="575"/>
    </w:p>
    <w:tbl>
      <w:tblPr>
        <w:tblStyle w:val="GridTable4-Accent11"/>
        <w:tblpPr w:leftFromText="141" w:rightFromText="141" w:vertAnchor="text" w:horzAnchor="margin" w:tblpY="83"/>
        <w:tblW w:w="5000" w:type="pct"/>
        <w:tblLook w:val="04A0" w:firstRow="1" w:lastRow="0" w:firstColumn="1" w:lastColumn="0" w:noHBand="0" w:noVBand="1"/>
      </w:tblPr>
      <w:tblGrid>
        <w:gridCol w:w="3310"/>
        <w:gridCol w:w="1565"/>
        <w:gridCol w:w="1565"/>
        <w:gridCol w:w="1565"/>
        <w:gridCol w:w="1559"/>
      </w:tblGrid>
      <w:tr w:rsidR="00FD3BFB" w:rsidRPr="00976D33" w14:paraId="6342EAB6" w14:textId="77777777">
        <w:trPr>
          <w:cnfStyle w:val="100000000000" w:firstRow="1" w:lastRow="0" w:firstColumn="0" w:lastColumn="0" w:oddVBand="0" w:evenVBand="0" w:oddHBand="0"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1731" w:type="pct"/>
          </w:tcPr>
          <w:p w14:paraId="5C9FE2FC" w14:textId="77777777" w:rsidR="00FD3BFB" w:rsidRPr="00976D33" w:rsidRDefault="00FD3BFB">
            <w:pPr>
              <w:spacing w:before="0" w:after="0" w:line="240" w:lineRule="auto"/>
              <w:contextualSpacing/>
              <w:jc w:val="center"/>
              <w:rPr>
                <w:rFonts w:asciiTheme="majorHAnsi" w:hAnsiTheme="majorHAnsi" w:cstheme="majorBidi"/>
                <w:color w:val="FFFFFF" w:themeColor="background1"/>
                <w:sz w:val="18"/>
                <w:szCs w:val="18"/>
              </w:rPr>
            </w:pPr>
            <w:r>
              <w:rPr>
                <w:rFonts w:asciiTheme="majorHAnsi" w:hAnsiTheme="majorHAnsi"/>
                <w:color w:val="FFFFFF" w:themeColor="background1"/>
                <w:sz w:val="18"/>
              </w:rPr>
              <w:t>PM-të e përzgjedhura</w:t>
            </w:r>
          </w:p>
        </w:tc>
        <w:tc>
          <w:tcPr>
            <w:tcW w:w="3269" w:type="pct"/>
            <w:gridSpan w:val="4"/>
          </w:tcPr>
          <w:p w14:paraId="7CD3C53F" w14:textId="77777777" w:rsidR="00FD3BFB" w:rsidRPr="00976D33" w:rsidRDefault="00FD3BFB">
            <w:pPr>
              <w:spacing w:before="0"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Pr>
                <w:rFonts w:asciiTheme="majorHAnsi" w:hAnsiTheme="majorHAnsi"/>
                <w:color w:val="FFFFFF" w:themeColor="background1"/>
                <w:sz w:val="18"/>
              </w:rPr>
              <w:t>Vlerësimi cilësor i ndikimeve joenergjetike</w:t>
            </w:r>
          </w:p>
        </w:tc>
      </w:tr>
      <w:tr w:rsidR="00FD3BFB" w:rsidRPr="00976D33" w14:paraId="001FFF36" w14:textId="77777777">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731" w:type="pct"/>
          </w:tcPr>
          <w:p w14:paraId="19332674" w14:textId="77777777" w:rsidR="00FD3BFB" w:rsidRPr="00976D33" w:rsidRDefault="00FD3BFB">
            <w:pPr>
              <w:spacing w:before="0" w:after="0" w:line="240" w:lineRule="auto"/>
              <w:contextualSpacing/>
              <w:jc w:val="left"/>
              <w:rPr>
                <w:rFonts w:asciiTheme="majorHAnsi" w:hAnsiTheme="majorHAnsi" w:cstheme="majorHAnsi"/>
                <w:sz w:val="18"/>
                <w:szCs w:val="18"/>
              </w:rPr>
            </w:pPr>
          </w:p>
        </w:tc>
        <w:tc>
          <w:tcPr>
            <w:tcW w:w="818" w:type="pct"/>
          </w:tcPr>
          <w:p w14:paraId="5A56FDEA" w14:textId="77777777" w:rsidR="00FD3BFB" w:rsidRPr="00976D33" w:rsidRDefault="00FD3BFB">
            <w:pPr>
              <w:spacing w:before="0"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Të ardhurat e disponueshme të ekonomive familjare</w:t>
            </w:r>
          </w:p>
        </w:tc>
        <w:tc>
          <w:tcPr>
            <w:tcW w:w="818" w:type="pct"/>
          </w:tcPr>
          <w:p w14:paraId="5657E8AD" w14:textId="77777777" w:rsidR="00FD3BFB" w:rsidRPr="00976D33" w:rsidRDefault="00FD3BFB">
            <w:pPr>
              <w:spacing w:before="0"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Buxheti publik</w:t>
            </w:r>
          </w:p>
        </w:tc>
        <w:tc>
          <w:tcPr>
            <w:tcW w:w="818" w:type="pct"/>
          </w:tcPr>
          <w:p w14:paraId="0586198E" w14:textId="77777777" w:rsidR="00FD3BFB" w:rsidRPr="00976D33" w:rsidRDefault="00FD3BFB">
            <w:pPr>
              <w:spacing w:before="0"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Punësimi</w:t>
            </w:r>
          </w:p>
        </w:tc>
        <w:tc>
          <w:tcPr>
            <w:tcW w:w="816" w:type="pct"/>
          </w:tcPr>
          <w:p w14:paraId="048F14DC" w14:textId="77777777" w:rsidR="00FD3BFB" w:rsidRPr="00976D33" w:rsidRDefault="00FD3BFB">
            <w:pPr>
              <w:spacing w:before="0"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Efektet shëndetësore</w:t>
            </w:r>
          </w:p>
        </w:tc>
      </w:tr>
      <w:tr w:rsidR="00A359BA" w:rsidRPr="00976D33" w14:paraId="2FCE9DF4" w14:textId="77777777">
        <w:trPr>
          <w:trHeight w:val="743"/>
        </w:trPr>
        <w:tc>
          <w:tcPr>
            <w:cnfStyle w:val="001000000000" w:firstRow="0" w:lastRow="0" w:firstColumn="1" w:lastColumn="0" w:oddVBand="0" w:evenVBand="0" w:oddHBand="0" w:evenHBand="0" w:firstRowFirstColumn="0" w:firstRowLastColumn="0" w:lastRowFirstColumn="0" w:lastRowLastColumn="0"/>
            <w:tcW w:w="1731" w:type="pct"/>
            <w:vAlign w:val="center"/>
          </w:tcPr>
          <w:p w14:paraId="1134990F" w14:textId="1667D6A2" w:rsidR="00A359BA" w:rsidRPr="00361116" w:rsidRDefault="00A359BA">
            <w:pPr>
              <w:spacing w:before="0" w:after="0" w:line="240" w:lineRule="auto"/>
              <w:contextualSpacing/>
              <w:jc w:val="left"/>
              <w:rPr>
                <w:rFonts w:asciiTheme="majorHAnsi" w:hAnsiTheme="majorHAnsi" w:cstheme="majorHAnsi"/>
                <w:sz w:val="18"/>
                <w:szCs w:val="18"/>
              </w:rPr>
            </w:pPr>
            <w:r>
              <w:rPr>
                <w:rFonts w:asciiTheme="majorHAnsi" w:hAnsiTheme="majorHAnsi"/>
                <w:sz w:val="18"/>
              </w:rPr>
              <w:t>Largimi nga funksioni i një njësie të TC Kosova A/Rehabilitimi i TC Kosova B</w:t>
            </w:r>
          </w:p>
        </w:tc>
        <w:tc>
          <w:tcPr>
            <w:tcW w:w="818" w:type="pct"/>
            <w:vAlign w:val="center"/>
          </w:tcPr>
          <w:p w14:paraId="29E084A1" w14:textId="47DD7FB1" w:rsidR="00A359BA" w:rsidRPr="00361116" w:rsidRDefault="00A359BA">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negativ</w:t>
            </w:r>
          </w:p>
        </w:tc>
        <w:tc>
          <w:tcPr>
            <w:tcW w:w="818" w:type="pct"/>
            <w:vAlign w:val="center"/>
          </w:tcPr>
          <w:p w14:paraId="254CE676" w14:textId="01560C43" w:rsidR="00A359BA" w:rsidRPr="00361116" w:rsidRDefault="00A359BA">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neutral</w:t>
            </w:r>
          </w:p>
        </w:tc>
        <w:tc>
          <w:tcPr>
            <w:tcW w:w="818" w:type="pct"/>
            <w:vAlign w:val="center"/>
          </w:tcPr>
          <w:p w14:paraId="12320BC5" w14:textId="2CE14819" w:rsidR="00A359BA" w:rsidRPr="00361116" w:rsidRDefault="00A90CAE">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negativ</w:t>
            </w:r>
          </w:p>
        </w:tc>
        <w:tc>
          <w:tcPr>
            <w:tcW w:w="816" w:type="pct"/>
            <w:vAlign w:val="center"/>
          </w:tcPr>
          <w:p w14:paraId="24FA424F" w14:textId="33E10D74" w:rsidR="00A359BA" w:rsidRPr="00361116" w:rsidRDefault="00A90CAE">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pozitiv</w:t>
            </w:r>
          </w:p>
        </w:tc>
      </w:tr>
      <w:tr w:rsidR="00FD3BFB" w:rsidRPr="00976D33" w14:paraId="383B4907" w14:textId="77777777">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1731" w:type="pct"/>
            <w:vAlign w:val="center"/>
          </w:tcPr>
          <w:p w14:paraId="668E7270" w14:textId="77777777" w:rsidR="00FD3BFB" w:rsidRPr="00976D33" w:rsidRDefault="00FD3BFB">
            <w:pPr>
              <w:spacing w:before="0" w:after="0" w:line="240" w:lineRule="auto"/>
              <w:contextualSpacing/>
              <w:jc w:val="left"/>
              <w:rPr>
                <w:rFonts w:asciiTheme="majorHAnsi" w:hAnsiTheme="majorHAnsi" w:cstheme="majorHAnsi"/>
                <w:b w:val="0"/>
                <w:sz w:val="18"/>
                <w:szCs w:val="18"/>
              </w:rPr>
            </w:pPr>
            <w:r>
              <w:rPr>
                <w:rFonts w:asciiTheme="majorHAnsi" w:hAnsiTheme="majorHAnsi"/>
                <w:sz w:val="18"/>
              </w:rPr>
              <w:t xml:space="preserve">Promovimi i shfrytëzimit të transportit hekurudhor duke ristrukturuar dhe modernizuar rrjetin </w:t>
            </w:r>
          </w:p>
        </w:tc>
        <w:tc>
          <w:tcPr>
            <w:tcW w:w="818" w:type="pct"/>
            <w:vAlign w:val="center"/>
          </w:tcPr>
          <w:p w14:paraId="01C918E5" w14:textId="77777777" w:rsidR="00FD3BFB" w:rsidRPr="00976D33" w:rsidRDefault="00FD3BFB">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pozitiv</w:t>
            </w:r>
          </w:p>
        </w:tc>
        <w:tc>
          <w:tcPr>
            <w:tcW w:w="818" w:type="pct"/>
            <w:vAlign w:val="center"/>
          </w:tcPr>
          <w:p w14:paraId="1ACCC1C4" w14:textId="77777777" w:rsidR="00FD3BFB" w:rsidRPr="00976D33" w:rsidRDefault="00FD3BFB">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negativ</w:t>
            </w:r>
          </w:p>
        </w:tc>
        <w:tc>
          <w:tcPr>
            <w:tcW w:w="818" w:type="pct"/>
            <w:vAlign w:val="center"/>
          </w:tcPr>
          <w:p w14:paraId="3C323500" w14:textId="77777777" w:rsidR="00FD3BFB" w:rsidRPr="00976D33" w:rsidRDefault="00FD3BFB">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pozitiv</w:t>
            </w:r>
          </w:p>
        </w:tc>
        <w:tc>
          <w:tcPr>
            <w:tcW w:w="816" w:type="pct"/>
            <w:vAlign w:val="center"/>
          </w:tcPr>
          <w:p w14:paraId="6D2825B4" w14:textId="77777777" w:rsidR="00FD3BFB" w:rsidRPr="00976D33" w:rsidRDefault="00FD3BFB">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pozitiv</w:t>
            </w:r>
          </w:p>
        </w:tc>
      </w:tr>
      <w:tr w:rsidR="00FD3BFB" w:rsidRPr="00976D33" w14:paraId="5549EECC" w14:textId="77777777">
        <w:trPr>
          <w:trHeight w:val="581"/>
        </w:trPr>
        <w:tc>
          <w:tcPr>
            <w:cnfStyle w:val="001000000000" w:firstRow="0" w:lastRow="0" w:firstColumn="1" w:lastColumn="0" w:oddVBand="0" w:evenVBand="0" w:oddHBand="0" w:evenHBand="0" w:firstRowFirstColumn="0" w:firstRowLastColumn="0" w:lastRowFirstColumn="0" w:lastRowLastColumn="0"/>
            <w:tcW w:w="1731" w:type="pct"/>
            <w:vAlign w:val="center"/>
          </w:tcPr>
          <w:p w14:paraId="556D54E7" w14:textId="77777777" w:rsidR="00FD3BFB" w:rsidRPr="00976D33" w:rsidRDefault="00FD3BFB">
            <w:pPr>
              <w:spacing w:before="0" w:after="0" w:line="240" w:lineRule="auto"/>
              <w:contextualSpacing/>
              <w:jc w:val="left"/>
              <w:rPr>
                <w:rFonts w:asciiTheme="majorHAnsi" w:hAnsiTheme="majorHAnsi" w:cstheme="majorHAnsi"/>
                <w:sz w:val="18"/>
                <w:szCs w:val="18"/>
              </w:rPr>
            </w:pPr>
            <w:r>
              <w:rPr>
                <w:rFonts w:asciiTheme="majorHAnsi" w:hAnsiTheme="majorHAnsi"/>
                <w:sz w:val="18"/>
              </w:rPr>
              <w:t>Rritja e përdorimit të biçikletave dhe skuterëve elektrikë për distanca të shkurtra</w:t>
            </w:r>
          </w:p>
        </w:tc>
        <w:tc>
          <w:tcPr>
            <w:tcW w:w="818" w:type="pct"/>
            <w:vAlign w:val="center"/>
          </w:tcPr>
          <w:p w14:paraId="5E5F0712" w14:textId="77777777" w:rsidR="00FD3BFB" w:rsidRPr="00976D33" w:rsidRDefault="00FD3BFB">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pozitiv</w:t>
            </w:r>
          </w:p>
        </w:tc>
        <w:tc>
          <w:tcPr>
            <w:tcW w:w="818" w:type="pct"/>
            <w:vAlign w:val="center"/>
          </w:tcPr>
          <w:p w14:paraId="7E9F1F9E" w14:textId="77777777" w:rsidR="00FD3BFB" w:rsidRPr="00976D33" w:rsidRDefault="00FD3BFB">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negativ</w:t>
            </w:r>
          </w:p>
        </w:tc>
        <w:tc>
          <w:tcPr>
            <w:tcW w:w="818" w:type="pct"/>
            <w:vAlign w:val="center"/>
          </w:tcPr>
          <w:p w14:paraId="398CE7AF" w14:textId="77777777" w:rsidR="00FD3BFB" w:rsidRPr="00976D33" w:rsidRDefault="00FD3BFB">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pozitiv</w:t>
            </w:r>
          </w:p>
        </w:tc>
        <w:tc>
          <w:tcPr>
            <w:tcW w:w="816" w:type="pct"/>
            <w:vAlign w:val="center"/>
          </w:tcPr>
          <w:p w14:paraId="6DA10501" w14:textId="77777777" w:rsidR="00FD3BFB" w:rsidRPr="00976D33" w:rsidRDefault="00FD3BFB">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pozitiv</w:t>
            </w:r>
          </w:p>
        </w:tc>
      </w:tr>
      <w:tr w:rsidR="00FD3BFB" w:rsidRPr="00976D33" w14:paraId="13D7B926" w14:textId="77777777">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1731" w:type="pct"/>
            <w:vAlign w:val="center"/>
          </w:tcPr>
          <w:p w14:paraId="105AF6A2" w14:textId="6CF328E2" w:rsidR="00FD3BFB" w:rsidRPr="00976D33" w:rsidRDefault="007D786C">
            <w:pPr>
              <w:spacing w:before="0" w:after="0" w:line="240" w:lineRule="auto"/>
              <w:contextualSpacing/>
              <w:jc w:val="left"/>
              <w:rPr>
                <w:rFonts w:asciiTheme="majorHAnsi" w:hAnsiTheme="majorHAnsi" w:cstheme="majorHAnsi"/>
                <w:sz w:val="18"/>
                <w:szCs w:val="18"/>
              </w:rPr>
            </w:pPr>
            <w:r>
              <w:rPr>
                <w:rFonts w:asciiTheme="majorHAnsi" w:hAnsiTheme="majorHAnsi"/>
                <w:sz w:val="18"/>
              </w:rPr>
              <w:t xml:space="preserve">Menaxhimi i përmirësuar i pyjeve dhe kullotave për rritjen e biomasës pyjore dhe rritjen e produktivitetit neto </w:t>
            </w:r>
          </w:p>
        </w:tc>
        <w:tc>
          <w:tcPr>
            <w:tcW w:w="818" w:type="pct"/>
            <w:vAlign w:val="center"/>
          </w:tcPr>
          <w:p w14:paraId="0CB45542" w14:textId="77777777" w:rsidR="00FD3BFB" w:rsidRPr="00976D33" w:rsidRDefault="00FD3BFB">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neutral</w:t>
            </w:r>
          </w:p>
        </w:tc>
        <w:tc>
          <w:tcPr>
            <w:tcW w:w="818" w:type="pct"/>
            <w:vAlign w:val="center"/>
          </w:tcPr>
          <w:p w14:paraId="7D37857D" w14:textId="77777777" w:rsidR="00FD3BFB" w:rsidRPr="00976D33" w:rsidRDefault="00FD3BFB">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negativ</w:t>
            </w:r>
          </w:p>
        </w:tc>
        <w:tc>
          <w:tcPr>
            <w:tcW w:w="818" w:type="pct"/>
            <w:vAlign w:val="center"/>
          </w:tcPr>
          <w:p w14:paraId="5608F54F" w14:textId="1DE05F06" w:rsidR="00FD3BFB" w:rsidRPr="00976D33" w:rsidRDefault="00FD3BFB">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negativ</w:t>
            </w:r>
          </w:p>
        </w:tc>
        <w:tc>
          <w:tcPr>
            <w:tcW w:w="816" w:type="pct"/>
            <w:vAlign w:val="center"/>
          </w:tcPr>
          <w:p w14:paraId="30B7BCEE" w14:textId="77777777" w:rsidR="00FD3BFB" w:rsidRPr="00976D33" w:rsidRDefault="00FD3BFB">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neutral</w:t>
            </w:r>
          </w:p>
        </w:tc>
      </w:tr>
      <w:tr w:rsidR="00FD3BFB" w:rsidRPr="00976D33" w14:paraId="791A0009" w14:textId="77777777">
        <w:trPr>
          <w:trHeight w:val="581"/>
        </w:trPr>
        <w:tc>
          <w:tcPr>
            <w:cnfStyle w:val="001000000000" w:firstRow="0" w:lastRow="0" w:firstColumn="1" w:lastColumn="0" w:oddVBand="0" w:evenVBand="0" w:oddHBand="0" w:evenHBand="0" w:firstRowFirstColumn="0" w:firstRowLastColumn="0" w:lastRowFirstColumn="0" w:lastRowLastColumn="0"/>
            <w:tcW w:w="1731" w:type="pct"/>
            <w:vAlign w:val="center"/>
          </w:tcPr>
          <w:p w14:paraId="55E6B39B" w14:textId="77777777" w:rsidR="00FD3BFB" w:rsidRPr="00976D33" w:rsidRDefault="00FD3BFB">
            <w:pPr>
              <w:spacing w:before="0" w:after="0" w:line="240" w:lineRule="auto"/>
              <w:contextualSpacing/>
              <w:jc w:val="left"/>
              <w:rPr>
                <w:rFonts w:asciiTheme="majorHAnsi" w:hAnsiTheme="majorHAnsi" w:cstheme="majorHAnsi"/>
                <w:sz w:val="18"/>
                <w:szCs w:val="18"/>
              </w:rPr>
            </w:pPr>
            <w:r>
              <w:rPr>
                <w:rFonts w:asciiTheme="majorHAnsi" w:hAnsiTheme="majorHAnsi"/>
                <w:sz w:val="18"/>
              </w:rPr>
              <w:t>Rritja e kapaciteteve të instaluara të BRE-ve të shpërndara nga konsumatorët vetë-prodhues</w:t>
            </w:r>
          </w:p>
        </w:tc>
        <w:tc>
          <w:tcPr>
            <w:tcW w:w="818" w:type="pct"/>
            <w:vAlign w:val="center"/>
          </w:tcPr>
          <w:p w14:paraId="0E85221F" w14:textId="77777777" w:rsidR="00FD3BFB" w:rsidRPr="00976D33" w:rsidRDefault="00FD3BFB">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pozitiv</w:t>
            </w:r>
          </w:p>
        </w:tc>
        <w:tc>
          <w:tcPr>
            <w:tcW w:w="818" w:type="pct"/>
            <w:vAlign w:val="center"/>
          </w:tcPr>
          <w:p w14:paraId="247AA674" w14:textId="77777777" w:rsidR="00FD3BFB" w:rsidRPr="00976D33" w:rsidRDefault="00FD3BFB">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negativ</w:t>
            </w:r>
          </w:p>
        </w:tc>
        <w:tc>
          <w:tcPr>
            <w:tcW w:w="818" w:type="pct"/>
            <w:vAlign w:val="center"/>
          </w:tcPr>
          <w:p w14:paraId="1050638B" w14:textId="77777777" w:rsidR="00FD3BFB" w:rsidRPr="00976D33" w:rsidRDefault="00FD3BFB">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pozitiv</w:t>
            </w:r>
          </w:p>
        </w:tc>
        <w:tc>
          <w:tcPr>
            <w:tcW w:w="816" w:type="pct"/>
            <w:vAlign w:val="center"/>
          </w:tcPr>
          <w:p w14:paraId="77079632" w14:textId="77777777" w:rsidR="00FD3BFB" w:rsidRPr="00976D33" w:rsidRDefault="00FD3BFB">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pozitiv</w:t>
            </w:r>
          </w:p>
        </w:tc>
      </w:tr>
      <w:tr w:rsidR="00FD3BFB" w:rsidRPr="00976D33" w14:paraId="3A24FC91" w14:textId="77777777">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1731" w:type="pct"/>
            <w:vAlign w:val="center"/>
          </w:tcPr>
          <w:p w14:paraId="75804D7B" w14:textId="77777777" w:rsidR="00FD3BFB" w:rsidRPr="00976D33" w:rsidRDefault="00FD3BFB">
            <w:pPr>
              <w:spacing w:before="0" w:after="0" w:line="240" w:lineRule="auto"/>
              <w:contextualSpacing/>
              <w:jc w:val="left"/>
              <w:rPr>
                <w:rFonts w:asciiTheme="majorHAnsi" w:hAnsiTheme="majorHAnsi" w:cstheme="majorHAnsi"/>
                <w:sz w:val="18"/>
                <w:szCs w:val="18"/>
              </w:rPr>
            </w:pPr>
            <w:r>
              <w:rPr>
                <w:rFonts w:asciiTheme="majorHAnsi" w:hAnsiTheme="majorHAnsi"/>
                <w:sz w:val="18"/>
              </w:rPr>
              <w:t>Rritja e sasisë së kapacitetit të BRE-ve që rrjeti është në gjendje të trajtojë/integrojë</w:t>
            </w:r>
          </w:p>
        </w:tc>
        <w:tc>
          <w:tcPr>
            <w:tcW w:w="818" w:type="pct"/>
            <w:vAlign w:val="center"/>
          </w:tcPr>
          <w:p w14:paraId="56295D65" w14:textId="77777777" w:rsidR="00FD3BFB" w:rsidRPr="00976D33" w:rsidRDefault="00FD3BFB">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negativ</w:t>
            </w:r>
          </w:p>
        </w:tc>
        <w:tc>
          <w:tcPr>
            <w:tcW w:w="818" w:type="pct"/>
            <w:vAlign w:val="center"/>
          </w:tcPr>
          <w:p w14:paraId="0BF0D352" w14:textId="77777777" w:rsidR="00FD3BFB" w:rsidRPr="00976D33" w:rsidRDefault="00FD3BFB">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negativ</w:t>
            </w:r>
          </w:p>
        </w:tc>
        <w:tc>
          <w:tcPr>
            <w:tcW w:w="818" w:type="pct"/>
            <w:vAlign w:val="center"/>
          </w:tcPr>
          <w:p w14:paraId="30E7AC49" w14:textId="77777777" w:rsidR="00FD3BFB" w:rsidRPr="00976D33" w:rsidRDefault="00FD3BFB">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pozitiv</w:t>
            </w:r>
          </w:p>
        </w:tc>
        <w:tc>
          <w:tcPr>
            <w:tcW w:w="816" w:type="pct"/>
            <w:vAlign w:val="center"/>
          </w:tcPr>
          <w:p w14:paraId="42C9288A" w14:textId="77777777" w:rsidR="00FD3BFB" w:rsidRPr="00976D33" w:rsidRDefault="00FD3BFB">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pozitiv</w:t>
            </w:r>
          </w:p>
        </w:tc>
      </w:tr>
      <w:tr w:rsidR="00FD3BFB" w:rsidRPr="00976D33" w14:paraId="28CA7F8F" w14:textId="77777777">
        <w:trPr>
          <w:trHeight w:val="581"/>
        </w:trPr>
        <w:tc>
          <w:tcPr>
            <w:cnfStyle w:val="001000000000" w:firstRow="0" w:lastRow="0" w:firstColumn="1" w:lastColumn="0" w:oddVBand="0" w:evenVBand="0" w:oddHBand="0" w:evenHBand="0" w:firstRowFirstColumn="0" w:firstRowLastColumn="0" w:lastRowFirstColumn="0" w:lastRowLastColumn="0"/>
            <w:tcW w:w="1731" w:type="pct"/>
            <w:vAlign w:val="center"/>
          </w:tcPr>
          <w:p w14:paraId="37FA16A0" w14:textId="77777777" w:rsidR="00FD3BFB" w:rsidRPr="00976D33" w:rsidRDefault="00FD3BFB">
            <w:pPr>
              <w:spacing w:before="0" w:after="0" w:line="240" w:lineRule="auto"/>
              <w:contextualSpacing/>
              <w:jc w:val="left"/>
              <w:rPr>
                <w:rFonts w:asciiTheme="majorHAnsi" w:hAnsiTheme="majorHAnsi" w:cstheme="majorHAnsi"/>
                <w:sz w:val="18"/>
                <w:szCs w:val="18"/>
              </w:rPr>
            </w:pPr>
            <w:r>
              <w:rPr>
                <w:rFonts w:asciiTheme="majorHAnsi" w:hAnsiTheme="majorHAnsi"/>
                <w:sz w:val="18"/>
              </w:rPr>
              <w:t>Instalimi i sistemeve termike solare në lloje të ndryshme të ndërtimeve në sektorin rezidencial</w:t>
            </w:r>
          </w:p>
        </w:tc>
        <w:tc>
          <w:tcPr>
            <w:tcW w:w="818" w:type="pct"/>
            <w:vAlign w:val="center"/>
          </w:tcPr>
          <w:p w14:paraId="1042CAB3" w14:textId="77777777" w:rsidR="00FD3BFB" w:rsidRPr="00976D33" w:rsidRDefault="00FD3BFB">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pozitiv</w:t>
            </w:r>
          </w:p>
        </w:tc>
        <w:tc>
          <w:tcPr>
            <w:tcW w:w="818" w:type="pct"/>
            <w:vAlign w:val="center"/>
          </w:tcPr>
          <w:p w14:paraId="6D66EEF2" w14:textId="77777777" w:rsidR="00FD3BFB" w:rsidRPr="00976D33" w:rsidRDefault="00FD3BFB">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negativ</w:t>
            </w:r>
          </w:p>
        </w:tc>
        <w:tc>
          <w:tcPr>
            <w:tcW w:w="818" w:type="pct"/>
            <w:vAlign w:val="center"/>
          </w:tcPr>
          <w:p w14:paraId="20E9A36A" w14:textId="77777777" w:rsidR="00FD3BFB" w:rsidRPr="00976D33" w:rsidRDefault="00FD3BFB">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pozitiv</w:t>
            </w:r>
          </w:p>
        </w:tc>
        <w:tc>
          <w:tcPr>
            <w:tcW w:w="816" w:type="pct"/>
            <w:vAlign w:val="center"/>
          </w:tcPr>
          <w:p w14:paraId="3E2EE9C2" w14:textId="77777777" w:rsidR="00FD3BFB" w:rsidRPr="00976D33" w:rsidRDefault="00FD3BFB">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pozitiv</w:t>
            </w:r>
          </w:p>
        </w:tc>
      </w:tr>
      <w:tr w:rsidR="00FD3BFB" w:rsidRPr="00976D33" w14:paraId="568C248C" w14:textId="77777777">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1731" w:type="pct"/>
            <w:vAlign w:val="center"/>
          </w:tcPr>
          <w:p w14:paraId="7B8C60BF" w14:textId="77777777" w:rsidR="00FD3BFB" w:rsidRPr="00976D33" w:rsidRDefault="00FD3BFB">
            <w:pPr>
              <w:spacing w:before="0" w:after="0" w:line="240" w:lineRule="auto"/>
              <w:contextualSpacing/>
              <w:jc w:val="left"/>
              <w:rPr>
                <w:rFonts w:asciiTheme="majorHAnsi" w:hAnsiTheme="majorHAnsi" w:cstheme="majorHAnsi"/>
                <w:sz w:val="18"/>
                <w:szCs w:val="18"/>
              </w:rPr>
            </w:pPr>
            <w:r>
              <w:rPr>
                <w:rFonts w:asciiTheme="majorHAnsi" w:hAnsiTheme="majorHAnsi"/>
                <w:sz w:val="18"/>
              </w:rPr>
              <w:t>Instalimi i kapacitetit të ruajtjes përmes baterive</w:t>
            </w:r>
          </w:p>
        </w:tc>
        <w:tc>
          <w:tcPr>
            <w:tcW w:w="818" w:type="pct"/>
            <w:vAlign w:val="center"/>
          </w:tcPr>
          <w:p w14:paraId="53686A62" w14:textId="77777777" w:rsidR="00FD3BFB" w:rsidRPr="00976D33" w:rsidRDefault="00FD3BFB">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pozitiv</w:t>
            </w:r>
          </w:p>
        </w:tc>
        <w:tc>
          <w:tcPr>
            <w:tcW w:w="818" w:type="pct"/>
            <w:vAlign w:val="center"/>
          </w:tcPr>
          <w:p w14:paraId="67C61A20" w14:textId="77777777" w:rsidR="00FD3BFB" w:rsidRPr="00976D33" w:rsidRDefault="00FD3BFB">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neutral</w:t>
            </w:r>
          </w:p>
        </w:tc>
        <w:tc>
          <w:tcPr>
            <w:tcW w:w="818" w:type="pct"/>
            <w:vAlign w:val="center"/>
          </w:tcPr>
          <w:p w14:paraId="35E52660" w14:textId="77777777" w:rsidR="00FD3BFB" w:rsidRPr="00976D33" w:rsidRDefault="00FD3BFB">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pozitiv</w:t>
            </w:r>
          </w:p>
        </w:tc>
        <w:tc>
          <w:tcPr>
            <w:tcW w:w="816" w:type="pct"/>
            <w:vAlign w:val="center"/>
          </w:tcPr>
          <w:p w14:paraId="32FE082B" w14:textId="77777777" w:rsidR="00FD3BFB" w:rsidRPr="00976D33" w:rsidRDefault="00FD3BFB">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neutral</w:t>
            </w:r>
          </w:p>
        </w:tc>
      </w:tr>
      <w:tr w:rsidR="00FD3BFB" w:rsidRPr="00976D33" w14:paraId="20809009" w14:textId="77777777">
        <w:trPr>
          <w:trHeight w:val="581"/>
        </w:trPr>
        <w:tc>
          <w:tcPr>
            <w:cnfStyle w:val="001000000000" w:firstRow="0" w:lastRow="0" w:firstColumn="1" w:lastColumn="0" w:oddVBand="0" w:evenVBand="0" w:oddHBand="0" w:evenHBand="0" w:firstRowFirstColumn="0" w:firstRowLastColumn="0" w:lastRowFirstColumn="0" w:lastRowLastColumn="0"/>
            <w:tcW w:w="1731" w:type="pct"/>
            <w:vAlign w:val="center"/>
          </w:tcPr>
          <w:p w14:paraId="59630146" w14:textId="77777777" w:rsidR="00FD3BFB" w:rsidRPr="00976D33" w:rsidRDefault="00FD3BFB">
            <w:pPr>
              <w:spacing w:before="0" w:after="0" w:line="240" w:lineRule="auto"/>
              <w:contextualSpacing/>
              <w:jc w:val="left"/>
              <w:rPr>
                <w:rFonts w:asciiTheme="majorHAnsi" w:hAnsiTheme="majorHAnsi" w:cstheme="majorHAnsi"/>
                <w:sz w:val="18"/>
                <w:szCs w:val="18"/>
              </w:rPr>
            </w:pPr>
            <w:r>
              <w:rPr>
                <w:rFonts w:asciiTheme="majorHAnsi" w:hAnsiTheme="majorHAnsi"/>
                <w:sz w:val="18"/>
              </w:rPr>
              <w:t>Promovimi i edukimit të punëtorëve të kualifikuar për rinovimin e ndërtesave, instalimin e ngrohjes qendrore, etj.</w:t>
            </w:r>
          </w:p>
        </w:tc>
        <w:tc>
          <w:tcPr>
            <w:tcW w:w="818" w:type="pct"/>
            <w:vAlign w:val="center"/>
          </w:tcPr>
          <w:p w14:paraId="4634C248" w14:textId="77777777" w:rsidR="00FD3BFB" w:rsidRPr="00976D33" w:rsidRDefault="00FD3BFB">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pozitiv</w:t>
            </w:r>
          </w:p>
        </w:tc>
        <w:tc>
          <w:tcPr>
            <w:tcW w:w="818" w:type="pct"/>
            <w:vAlign w:val="center"/>
          </w:tcPr>
          <w:p w14:paraId="710E148D" w14:textId="77777777" w:rsidR="00FD3BFB" w:rsidRPr="00976D33" w:rsidRDefault="00FD3BFB">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negativ</w:t>
            </w:r>
          </w:p>
        </w:tc>
        <w:tc>
          <w:tcPr>
            <w:tcW w:w="818" w:type="pct"/>
            <w:vAlign w:val="center"/>
          </w:tcPr>
          <w:p w14:paraId="4437619B" w14:textId="77777777" w:rsidR="00FD3BFB" w:rsidRPr="00976D33" w:rsidRDefault="00FD3BFB">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pozitiv</w:t>
            </w:r>
          </w:p>
        </w:tc>
        <w:tc>
          <w:tcPr>
            <w:tcW w:w="816" w:type="pct"/>
            <w:vAlign w:val="center"/>
          </w:tcPr>
          <w:p w14:paraId="1BA83EDE" w14:textId="77777777" w:rsidR="00FD3BFB" w:rsidRPr="00976D33" w:rsidRDefault="00FD3BFB">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neutral</w:t>
            </w:r>
          </w:p>
        </w:tc>
      </w:tr>
      <w:tr w:rsidR="00FD3BFB" w:rsidRPr="00976D33" w14:paraId="2DD8BE4A" w14:textId="77777777">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1731" w:type="pct"/>
            <w:vAlign w:val="center"/>
          </w:tcPr>
          <w:p w14:paraId="7F226462" w14:textId="77777777" w:rsidR="00FD3BFB" w:rsidRPr="00976D33" w:rsidRDefault="00FD3BFB">
            <w:pPr>
              <w:spacing w:before="0" w:after="0" w:line="240" w:lineRule="auto"/>
              <w:contextualSpacing/>
              <w:jc w:val="left"/>
              <w:rPr>
                <w:rFonts w:asciiTheme="majorHAnsi" w:hAnsiTheme="majorHAnsi" w:cstheme="majorHAnsi"/>
                <w:sz w:val="18"/>
                <w:szCs w:val="18"/>
              </w:rPr>
            </w:pPr>
            <w:r>
              <w:rPr>
                <w:rFonts w:asciiTheme="majorHAnsi" w:hAnsiTheme="majorHAnsi"/>
                <w:sz w:val="18"/>
              </w:rPr>
              <w:t>Heqja e plotë nga përdorimi i MFSH/PSV-ve financiare</w:t>
            </w:r>
          </w:p>
        </w:tc>
        <w:tc>
          <w:tcPr>
            <w:tcW w:w="818" w:type="pct"/>
            <w:vAlign w:val="center"/>
          </w:tcPr>
          <w:p w14:paraId="65720FDE" w14:textId="77777777" w:rsidR="00FD3BFB" w:rsidRPr="00976D33" w:rsidRDefault="00FD3BFB">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negativ</w:t>
            </w:r>
          </w:p>
        </w:tc>
        <w:tc>
          <w:tcPr>
            <w:tcW w:w="818" w:type="pct"/>
            <w:vAlign w:val="center"/>
          </w:tcPr>
          <w:p w14:paraId="63D792AF" w14:textId="77777777" w:rsidR="00FD3BFB" w:rsidRPr="00976D33" w:rsidRDefault="00FD3BFB">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pozitiv</w:t>
            </w:r>
          </w:p>
        </w:tc>
        <w:tc>
          <w:tcPr>
            <w:tcW w:w="818" w:type="pct"/>
            <w:vAlign w:val="center"/>
          </w:tcPr>
          <w:p w14:paraId="60233803" w14:textId="77777777" w:rsidR="00FD3BFB" w:rsidRPr="00976D33" w:rsidRDefault="00FD3BFB">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neutral</w:t>
            </w:r>
          </w:p>
        </w:tc>
        <w:tc>
          <w:tcPr>
            <w:tcW w:w="816" w:type="pct"/>
            <w:vAlign w:val="center"/>
          </w:tcPr>
          <w:p w14:paraId="4228AF45" w14:textId="77777777" w:rsidR="00FD3BFB" w:rsidRPr="00976D33" w:rsidRDefault="00FD3BFB">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neutral</w:t>
            </w:r>
          </w:p>
        </w:tc>
      </w:tr>
      <w:tr w:rsidR="00FD3BFB" w:rsidRPr="00976D33" w14:paraId="643CBE76" w14:textId="77777777">
        <w:trPr>
          <w:trHeight w:val="581"/>
        </w:trPr>
        <w:tc>
          <w:tcPr>
            <w:cnfStyle w:val="001000000000" w:firstRow="0" w:lastRow="0" w:firstColumn="1" w:lastColumn="0" w:oddVBand="0" w:evenVBand="0" w:oddHBand="0" w:evenHBand="0" w:firstRowFirstColumn="0" w:firstRowLastColumn="0" w:lastRowFirstColumn="0" w:lastRowLastColumn="0"/>
            <w:tcW w:w="1731" w:type="pct"/>
            <w:vAlign w:val="center"/>
          </w:tcPr>
          <w:p w14:paraId="6F08D6A6" w14:textId="77777777" w:rsidR="00FD3BFB" w:rsidRPr="00976D33" w:rsidRDefault="00FD3BFB">
            <w:pPr>
              <w:spacing w:before="0" w:after="0" w:line="240" w:lineRule="auto"/>
              <w:contextualSpacing/>
              <w:jc w:val="left"/>
              <w:rPr>
                <w:rFonts w:asciiTheme="majorHAnsi" w:hAnsiTheme="majorHAnsi" w:cstheme="majorHAnsi"/>
                <w:sz w:val="18"/>
                <w:szCs w:val="18"/>
              </w:rPr>
            </w:pPr>
            <w:r>
              <w:rPr>
                <w:rFonts w:asciiTheme="majorHAnsi" w:hAnsiTheme="majorHAnsi"/>
                <w:sz w:val="18"/>
              </w:rPr>
              <w:t>Energjia për ngrohje</w:t>
            </w:r>
          </w:p>
        </w:tc>
        <w:tc>
          <w:tcPr>
            <w:tcW w:w="818" w:type="pct"/>
            <w:vAlign w:val="center"/>
          </w:tcPr>
          <w:p w14:paraId="411FA03B" w14:textId="77777777" w:rsidR="00FD3BFB" w:rsidRPr="00976D33" w:rsidRDefault="00FD3BFB">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pozitiv</w:t>
            </w:r>
          </w:p>
        </w:tc>
        <w:tc>
          <w:tcPr>
            <w:tcW w:w="818" w:type="pct"/>
            <w:vAlign w:val="center"/>
          </w:tcPr>
          <w:p w14:paraId="7552D012" w14:textId="77777777" w:rsidR="00FD3BFB" w:rsidRPr="00976D33" w:rsidRDefault="00FD3BFB">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negativ</w:t>
            </w:r>
          </w:p>
        </w:tc>
        <w:tc>
          <w:tcPr>
            <w:tcW w:w="818" w:type="pct"/>
            <w:vAlign w:val="center"/>
          </w:tcPr>
          <w:p w14:paraId="05053E2D" w14:textId="77777777" w:rsidR="00FD3BFB" w:rsidRPr="00976D33" w:rsidRDefault="00FD3BFB">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pozitiv</w:t>
            </w:r>
          </w:p>
        </w:tc>
        <w:tc>
          <w:tcPr>
            <w:tcW w:w="816" w:type="pct"/>
            <w:vAlign w:val="center"/>
          </w:tcPr>
          <w:p w14:paraId="352EECBC" w14:textId="77777777" w:rsidR="00FD3BFB" w:rsidRPr="00976D33" w:rsidRDefault="00FD3BFB">
            <w:pPr>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pozitiv</w:t>
            </w:r>
          </w:p>
        </w:tc>
      </w:tr>
      <w:tr w:rsidR="00FD3BFB" w:rsidRPr="00976D33" w14:paraId="04B4A619" w14:textId="77777777">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1731" w:type="pct"/>
            <w:vAlign w:val="center"/>
          </w:tcPr>
          <w:p w14:paraId="0963B0BA" w14:textId="77777777" w:rsidR="00FD3BFB" w:rsidRPr="00976D33" w:rsidRDefault="00FD3BFB">
            <w:pPr>
              <w:spacing w:before="0" w:after="0" w:line="240" w:lineRule="auto"/>
              <w:contextualSpacing/>
              <w:jc w:val="left"/>
              <w:rPr>
                <w:rFonts w:asciiTheme="majorHAnsi" w:hAnsiTheme="majorHAnsi" w:cstheme="majorHAnsi"/>
                <w:sz w:val="18"/>
                <w:szCs w:val="18"/>
              </w:rPr>
            </w:pPr>
            <w:r>
              <w:rPr>
                <w:rFonts w:asciiTheme="majorHAnsi" w:hAnsiTheme="majorHAnsi"/>
                <w:sz w:val="18"/>
              </w:rPr>
              <w:t>Skema e mbështetjes së pavarur nga konsumi për konsumatorët e cenueshëm bazuar në të dhëna të përmirësuara dhe përkufizimi ligjor</w:t>
            </w:r>
          </w:p>
        </w:tc>
        <w:tc>
          <w:tcPr>
            <w:tcW w:w="818" w:type="pct"/>
            <w:vAlign w:val="center"/>
          </w:tcPr>
          <w:p w14:paraId="507F8CB6" w14:textId="77777777" w:rsidR="00FD3BFB" w:rsidRPr="00976D33" w:rsidRDefault="00FD3BFB">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pozitiv</w:t>
            </w:r>
          </w:p>
        </w:tc>
        <w:tc>
          <w:tcPr>
            <w:tcW w:w="818" w:type="pct"/>
            <w:vAlign w:val="center"/>
          </w:tcPr>
          <w:p w14:paraId="48460459" w14:textId="77777777" w:rsidR="00FD3BFB" w:rsidRPr="00976D33" w:rsidRDefault="00FD3BFB">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negativ</w:t>
            </w:r>
          </w:p>
        </w:tc>
        <w:tc>
          <w:tcPr>
            <w:tcW w:w="818" w:type="pct"/>
            <w:vAlign w:val="center"/>
          </w:tcPr>
          <w:p w14:paraId="4121A931" w14:textId="77777777" w:rsidR="00FD3BFB" w:rsidRPr="00976D33" w:rsidRDefault="00FD3BFB">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neutral</w:t>
            </w:r>
          </w:p>
        </w:tc>
        <w:tc>
          <w:tcPr>
            <w:tcW w:w="816" w:type="pct"/>
            <w:vAlign w:val="center"/>
          </w:tcPr>
          <w:p w14:paraId="436494FE" w14:textId="77777777" w:rsidR="00FD3BFB" w:rsidRPr="00976D33" w:rsidRDefault="00FD3BFB">
            <w:pPr>
              <w:spacing w:before="0"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sz w:val="18"/>
              </w:rPr>
              <w:t>pozitiv</w:t>
            </w:r>
          </w:p>
        </w:tc>
      </w:tr>
    </w:tbl>
    <w:p w14:paraId="2154CE0C" w14:textId="77777777" w:rsidR="00FD3BFB" w:rsidRPr="00976D33" w:rsidRDefault="00FD3BFB" w:rsidP="00FD3BFB">
      <w:pPr>
        <w:jc w:val="left"/>
        <w:rPr>
          <w:i/>
          <w:sz w:val="16"/>
          <w:szCs w:val="16"/>
        </w:rPr>
      </w:pPr>
      <w:r>
        <w:rPr>
          <w:i/>
          <w:sz w:val="16"/>
        </w:rPr>
        <w:t>Burimi: elaborimi vetanak</w:t>
      </w:r>
    </w:p>
    <w:p w14:paraId="4D716858" w14:textId="77777777" w:rsidR="00FD3BFB" w:rsidRPr="00976D33" w:rsidRDefault="00FD3BFB" w:rsidP="00FD3BFB">
      <w:pPr>
        <w:pStyle w:val="Heading3"/>
        <w:numPr>
          <w:ilvl w:val="0"/>
          <w:numId w:val="0"/>
        </w:numPr>
        <w:ind w:left="720" w:hanging="720"/>
        <w:rPr>
          <w:b/>
          <w:i/>
        </w:rPr>
      </w:pPr>
      <w:bookmarkStart w:id="576" w:name="_Toc182302357"/>
      <w:r>
        <w:rPr>
          <w:b/>
          <w:i/>
        </w:rPr>
        <w:t>Të ardhurat e disponueshme të ekonomisë familjare</w:t>
      </w:r>
      <w:bookmarkEnd w:id="576"/>
    </w:p>
    <w:p w14:paraId="12BCC479" w14:textId="77777777" w:rsidR="00FD3BFB" w:rsidRPr="00976D33" w:rsidRDefault="00FD3BFB" w:rsidP="00FD3BFB">
      <w:r>
        <w:t xml:space="preserve">Politikat dhe masat e përshkruara në këtë PKEK mund të kenë ndikime të mëdha në nivelet mesatare të të ardhurave të disponueshme të ekonomive familjare në Kosovë. Nga njëra anë, investimet dhe përmirësimet në efiçiencën e energjisë (EE) kanë potencial për të rritur të ardhurat e disponueshme pasi ekonomitë familjare përfitojnë nga reduktimi i faturave të energjisë dhe kursimi i lëndëve djegëse më gjerësisht. Kjo mund të rritet më tej duke instaluar panele solare PV në shkallë të vogël në ekonomi familjare për të ulur sasinë e energjisë elektrike të nevojshme dhe për të sjellë përfitime financiare për konsumatorët vetë-prodhues që shesin energjinë elektrike përsëri në rrjet. </w:t>
      </w:r>
    </w:p>
    <w:p w14:paraId="6ECA1AE3" w14:textId="77777777" w:rsidR="00FD3BFB" w:rsidRPr="00976D33" w:rsidRDefault="00FD3BFB" w:rsidP="00FD3BFB">
      <w:r>
        <w:t xml:space="preserve">Në planin e mobilitetit, kalimi në biçikleta dhe skuterë elektrikë me dy dhe tre rrota mund të përmirësojë më tej të ardhurat e disponueshme për shkak të kostos më të ulët të energjisë elektrike krahasuar me lëndët djegëse konvencionale dhe kostot edhe më të ulëta të blerjes dhe funksionimit që lidhen me çiklizmin. Sa i </w:t>
      </w:r>
      <w:r>
        <w:lastRenderedPageBreak/>
        <w:t xml:space="preserve">përket automjeteve elektrike të udhëtarëve, mund të regjistrohen kursime sa i përket kostove operacionale, por kostot e larta të investimit mund të kufizojnë përdorimin në kontekstin e Kosovës. </w:t>
      </w:r>
    </w:p>
    <w:p w14:paraId="527301E2" w14:textId="4012C752" w:rsidR="00FD3BFB" w:rsidRPr="00976D33" w:rsidRDefault="00FD3BFB" w:rsidP="00FD3BFB">
      <w:r>
        <w:t>Për më tepër, të ardhurat e ekonomive familjare mund të përfitojnë më shumë në mënyrë indirekte nga përdorimi i EE-së dhe BRE-ve nëpërmjet komoditetit më të lartë të jetesës dhe përmirësimeve të kushteve të jetesës, si për shembull përmes zëvendësimit të stufave shpesh të rrezikshme me biomasë, të cilat mund të përkthehen në produktivitet më të lartë si dhe ulje të shpenzimeve për kujdesin shëndetësor. Politikat dhe masat e përmendura gjithashtu mund të çojnë në punësim më të lartë, duke përfshirë punë më të mira dhe me pagesë më të mirë, të cilat do të kenë ndikim në të ardhurat mesatare të ekonomisë familjare dhe nivelet e të ardhurave të disponueshme (shih seksionin për punësimin më poshtë).</w:t>
      </w:r>
    </w:p>
    <w:p w14:paraId="0C66DF72" w14:textId="48665B27" w:rsidR="00FD3BFB" w:rsidRPr="00976D33" w:rsidRDefault="00FD3BFB" w:rsidP="00FD3BFB">
      <w:r>
        <w:t>Njëkohësisht, përmirësimet e EE-së në sektorin rezidencial, njësitë e ndërtesave individuale ose ndërtesat në bashkëpronësi, kërkojnë financim të konsiderueshëm, i cili mund të ulë në afat të shkurtër të ardhurat e familjeve për shkak të kostos fillestare relativisht të madhe të nevojshme për investimet në EE. Si të tillë, mekanizmat e financimit do të përcaktohen qartë dhe t’i reklamohen popullatës, duke treguar si kostot ashtu edhe përfitimet. Me çmimet e ulëta të energjisë, përmirësimet në EE mund të mos sjellin përfitime financiare, gjë që mund të kërkojë burime shtesë financimi (p.sh. nga burimet ndërkombëtare ose donatorët), si dhe mekanizma (p.sh. Fondi për Efiçiencë të Energjisë). Kjo përfshin vlerësime të kujdesshme të komponentëve të kredisë kundrejt granti, rolit të ekonomive familjare individuale dhe ’ shoqatave të pronarëve të shtëpive, si dhe do të lehtësohet koordinimi i ngushtë me institucionet financiare (p.sh. bankat lokale që ofrojnë produkte të EE-së) si dhe kompanitë ndërtimore. Qëllimi është gjithashtu të parandalohen përkeqësimet në varfërinë energjetike të shkaktuara nga çmimet potencialisht më të larta të energjisë, veçanërisht pasi rregulloret dhe subvencionet janë reduktuar, marrëveshja e furnizimit me shumicë ndërmjet KEK-ut dhe KESCO-s është hequr gradualisht nga përdorimi dhe tregu i shitjes me pakicë është liberalizuar, gjë që mund të kërkojë përdorimin e mekanizmave të kompensimit social për të parandaluar ndikimet e rëndësishme në të ardhurat e disponueshme të ekonomive familjare.</w:t>
      </w:r>
    </w:p>
    <w:p w14:paraId="6196DA80" w14:textId="77777777" w:rsidR="00FD3BFB" w:rsidRPr="00976D33" w:rsidRDefault="00FD3BFB" w:rsidP="00FD3BFB">
      <w:pPr>
        <w:pStyle w:val="Heading3"/>
        <w:numPr>
          <w:ilvl w:val="0"/>
          <w:numId w:val="0"/>
        </w:numPr>
        <w:ind w:left="720" w:hanging="720"/>
        <w:rPr>
          <w:b/>
          <w:i/>
          <w:szCs w:val="22"/>
        </w:rPr>
      </w:pPr>
      <w:bookmarkStart w:id="577" w:name="_Toc182302358"/>
      <w:r>
        <w:rPr>
          <w:b/>
          <w:i/>
        </w:rPr>
        <w:t>Buxhetet publike</w:t>
      </w:r>
      <w:bookmarkEnd w:id="577"/>
    </w:p>
    <w:p w14:paraId="537D8CCB" w14:textId="5DFD69DE" w:rsidR="00FD3BFB" w:rsidRPr="00976D33" w:rsidRDefault="00FD3BFB" w:rsidP="00FD3BFB">
      <w:r>
        <w:t xml:space="preserve">Buxheti publik i Kosovës pritet që të ndikohet dukshëm nga politikat dhe masat e përshkruara në mënyra të shumta. Brenda fushës së efiçiencës së energjisë, përfitimet financiare mund të përfshijnë si rritjen e të ardhurave tatimore, ashtu edhe shpenzimet më të ulëta të qeverisë. Ndërsa fillimisht kostot do të duhet të përballohen nga qeveria, veçanërisht kur përmirësohen masat e EE-së në ndërtesat publike, ndikimi në buxhet zvogëlohet me kalimin e kohës pasi EE sjell shpenzime më të ulëta për ndriçim, ngrohje dhe ftohje. Duke pasur parasysh përmirësimet e EE-së, të hyra më të mëdha mund të priten gjithashtu nga transaksionet më të vlefshme të pasurive të paluajtshme, duke përfshirë ndërtesat publike dhe private, si dhe instalimet industriale. </w:t>
      </w:r>
    </w:p>
    <w:p w14:paraId="072AFB1E" w14:textId="356433CF" w:rsidR="00FD3BFB" w:rsidRPr="00976D33" w:rsidRDefault="00FD3BFB" w:rsidP="00FD3BFB">
      <w:r>
        <w:t>Kur merren parasysh punët më të gjera të EE-së në sektorin privat dhe publik, mund të priten të ardhura më të larta tatimore për shkak të rritjes së aktivitetit ndërtimor. Kjo gjeneron edhe efekte të tjera pozitive direkte dhe indirekte të cilat mund të kenë efekt pozitiv në buxhet. Së pari, punësimi më i madh në kuadër të EE-së dhe industrisë ndërtimore mund të çojë në ulje të shpenzimeve për pagesat e papunësisë, duke rritur njëkohësisht të ardhurat e mbledhura nga taksat mbi të ardhurat. Përmirësimet në EE (ndonëse jo domosdoshmërisht të izoluara) mund të përkthehen gjithashtu në ulje të shpenzimeve për subvencione. Në kuptim afatgjatë, kursimet buxhetore ndodhin gjithashtu për shkak të shpenzimeve më të ulëta që ndërlidhën me shëndetin dhe mirëqenien sociale, pasi standardet e jetesës dhe komoditeti i strehimit përmirësohen.</w:t>
      </w:r>
    </w:p>
    <w:p w14:paraId="6E83238C" w14:textId="6EE44561" w:rsidR="00FD3BFB" w:rsidRPr="00976D33" w:rsidRDefault="00FD3BFB" w:rsidP="00FD3BFB">
      <w:r>
        <w:t>Përfitime të ngjashme mund të shihen kur zgjerohen BRE-të. Meqenëse zgjerimet e BRE-ve janë punë intensive dhe kërkojnë më shumë vende pune, si dhe rrisin aktivitetin ndërtimore, të hyrat nga tatimet qeveritare mund të rriten. Gjithashtu, zvogëlimi në prodhimin e energjisë elektrike dhe të ngrohjes nga linjiti, si dhe nivelet më të ulëta të ndotjes mund të kenë ndikim pozitiv në shpenzimet e ndërlidhura me aspektet shëndetësore dhe sociale, por njëkohësisht do të kërkojë projektimin e rrjeteve sociale të sigurisë, mekanizmave të kompensimit dhe skemave të ri-aftësimit për punonjësit të cilët mund të bëhen të panevojshëm.</w:t>
      </w:r>
    </w:p>
    <w:p w14:paraId="736971BD" w14:textId="1DD6506B" w:rsidR="00FD3BFB" w:rsidRPr="00976D33" w:rsidRDefault="00FD3BFB" w:rsidP="00FD3BFB">
      <w:r>
        <w:t xml:space="preserve">Nga ana tjetër, konsumatorët familjarë mund të kenë nevojë për mbrojtje nëse çmimet e energjisë do të rriten rrënjësisht, për shembull në kontekstin e liberalizimit të çmimeve me pakicë dhe/ose prezantimin e çmimeve </w:t>
      </w:r>
      <w:r>
        <w:lastRenderedPageBreak/>
        <w:t xml:space="preserve">të konsiderueshme të karbonit, që kërkojnë mekanizma kompensues social që mund të shkaktojnë tendosje në financimin publik. Ndërsa këto mund të kompensohen nëpërmjet mekanizmave të ndryshëm, duke përfshirë të ardhurat shtesë të sjella nëpërmjet përfitimeve të sipërpërmendura, duhet të krijohen mekanizma të projektuar mirë dhe funksional për të siguruar barazi dhe respektim të parimeve të tranzicionit. </w:t>
      </w:r>
    </w:p>
    <w:p w14:paraId="5C8E6154" w14:textId="5E0D59CE" w:rsidR="00FD3BFB" w:rsidRPr="00976D33" w:rsidRDefault="00FD3BFB" w:rsidP="00FD3BFB">
      <w:r>
        <w:t>Aspekt</w:t>
      </w:r>
      <w:r w:rsidR="0037748E">
        <w:t>et e tjera</w:t>
      </w:r>
      <w:r>
        <w:t xml:space="preserve"> që mund të ndikojnë në buxhetin publik të Kosovës përfshijnë zvogëlimin e sasisë së linjitit të nevojshëm për termocentralet e Kosovës për shkak të gjenerimit më të madh nga BRE-të që do të çojë në uljen e prodhimit nga linjiti dhe rrjedhimisht edhe të normave të taksave të pranuara nga sektori. Përveç kësaj, të ardhurat tatimore mund të ndikohen në afat të shkurtër, veçanërisht nëse investitorëve në segmentet e EE-së dhe BRE-ve u jepen përfitime fiskale, lehtësime tatimore ose pauza më të gjata tatimore. </w:t>
      </w:r>
    </w:p>
    <w:p w14:paraId="5D38C568" w14:textId="77777777" w:rsidR="00FD3BFB" w:rsidRPr="00976D33" w:rsidRDefault="00FD3BFB" w:rsidP="00FD3BFB">
      <w:pPr>
        <w:pStyle w:val="Heading3"/>
        <w:numPr>
          <w:ilvl w:val="0"/>
          <w:numId w:val="0"/>
        </w:numPr>
        <w:ind w:left="720" w:hanging="720"/>
        <w:rPr>
          <w:b/>
          <w:i/>
        </w:rPr>
      </w:pPr>
      <w:bookmarkStart w:id="578" w:name="_Toc182302359"/>
      <w:r>
        <w:rPr>
          <w:b/>
          <w:i/>
        </w:rPr>
        <w:t>Efektet e punësimit</w:t>
      </w:r>
      <w:bookmarkEnd w:id="578"/>
    </w:p>
    <w:p w14:paraId="65FA0437" w14:textId="5DF95186" w:rsidR="00FD3BFB" w:rsidRPr="00976D33" w:rsidRDefault="00FD3BFB" w:rsidP="00FD3BFB">
      <w:r>
        <w:t>Politikat dhe masat e përshkruara në këtë PKEK priten të  kenë ndikim të rëndësishëm në punën dhe punësimin në Kosovë, të kufizuar jo vetëm në sektorët e ndikuar drejtpërdrejt, por edhe më gjerësisht përmes efekteve të përhapura dhe indirekte. Efektet direkte dhe indirekte në punësim përcaktohen nga një sërë kanalesh duke përfshirë kryesisht (por pa u kufizuar në): i) vendosjen dhe funksionimin e kapaciteteve të reja të prodhimit të energjisë elektrike, ii) zhvillimin e hovshëm të sektorit ndërtimore të krijuar nga instalimet e efiçiencës së energjisë iii) sektorët tjerë që ndërveprojnë me ose ju shërbejnë segmenteve të EE-së dhe BRE-ve dhe iv) krijimin ose zgjerimin e industrive që ofrojnë inpute në segmentet e EE-së dhe BRE-ve.</w:t>
      </w:r>
    </w:p>
    <w:p w14:paraId="38694777" w14:textId="72ABE11F" w:rsidR="00FD3BFB" w:rsidRPr="00976D33" w:rsidRDefault="00FD3BFB" w:rsidP="00FD3BFB">
      <w:r>
        <w:t>Dëshmitë nga studimet e ndryshme kanë treguar se shtimi i kapaciteteve të EE-së dhe BRE-ve krijon mesatarisht vende pune më të mira dhe më të kualifikuara sesa ato që shërbejnë teknologjitë më të vjetra të lëndëve djegëse fosile.</w:t>
      </w:r>
      <w:r w:rsidRPr="00361116">
        <w:rPr>
          <w:rStyle w:val="FootnoteReference"/>
          <w:lang w:eastAsia="ja-JP"/>
        </w:rPr>
        <w:footnoteReference w:id="47"/>
      </w:r>
      <w:r>
        <w:t xml:space="preserve"> Njëkohësisht, lokalizimi i prodhimit të komponentëve të EE-së ose BRE-ve mund të forcojë ndjeshëm punësimin, duke zbutur gjithashtu (në një nivel të përgjithshëm) humbjet e mundshme të vendeve të punës për shkak të heqjes së lëndëve djegëse fosile. Në rastin e Kosovës, kompanitë që tashmë operojnë në këtë sektor mund të përfitojnë nga vendosja e shtuar e paneleve solare PV, me rritje të mundshme të nxitura edhe nga vendosja e energjisë solare nga vendet e tjera të rajonit. Megjithatë, varësia në shkallë të gjerë ekziston si në segmentin e EE-së ashtu edhe në atë të BRE-ve.</w:t>
      </w:r>
    </w:p>
    <w:p w14:paraId="3C81D7B7" w14:textId="3A8AB08B" w:rsidR="00FD3BFB" w:rsidRPr="00976D33" w:rsidRDefault="00FD3BFB" w:rsidP="00FD3BFB">
      <w:r>
        <w:t>Në segmentin e EE-së, politikat e planifikuara do të çojnë në një rritje të aktivitetit ndërtimor, por gjithashtu do të krijojnë vende të tjera pune nëpërmjet kërkesave më të larta për auditimin e energjisë dhe standardeve më të larta të performancës në ndërtesa. Në kuadër të energjisë së ripërtëritshme, do të krijohen vende pune fillimisht përmes procesit të ndërtimit intensiv të punës, veçanërisht në segmentet në rritje të paneleve solare PV dhe të erës. Ndërsa kërkesat për operacionet dhe mirëmbajtjen e punës në projekte të burimeve të energjisë së ripërtëritshme mund të jenë më të ulëta në krahasim me sektorët e tjerë, do të shfaqen vende pune të mira, të gjelbra dhe më të paguara në fushën e shërbimeve dhe operacioneve të burimeve të energjisë së ripërtëritshme dhe aseteve të ruajtjes.</w:t>
      </w:r>
    </w:p>
    <w:p w14:paraId="7122F4C7" w14:textId="77777777" w:rsidR="003B7FFA" w:rsidRPr="003B7FFA" w:rsidRDefault="00FD3BFB" w:rsidP="003B7FFA">
      <w:r>
        <w:t xml:space="preserve">Duke përdorur metodologjinë e vlerësimit të punësimit të zhvilluar nga Wei, Patadia dhe Kammen (2010) dhe të përsëritur nga Kim dhe Mohommad (2022), profilet e prodhimit të energjisë elektrike në skenarët WEM dhe WAM u përdorën së bashku me shumëzuesit specifikë të teknologjisë për të nxjerrë vlerësimin e numrit të viteve direkte dhe indirekte të punësimit për teknologjinë përkatëse. Rezultatet janë paraqitur në </w:t>
      </w:r>
      <w:r w:rsidR="005969E0" w:rsidRPr="00976D33">
        <w:fldChar w:fldCharType="begin"/>
      </w:r>
      <w:r w:rsidR="005969E0" w:rsidRPr="00976D33">
        <w:instrText xml:space="preserve"> REF _Ref170214802 \h  \* MERGEFORMAT </w:instrText>
      </w:r>
      <w:r w:rsidR="005969E0" w:rsidRPr="00976D33">
        <w:fldChar w:fldCharType="separate"/>
      </w:r>
    </w:p>
    <w:p w14:paraId="651567A8" w14:textId="77777777" w:rsidR="003B7FFA" w:rsidRPr="003B7FFA" w:rsidRDefault="003B7FFA" w:rsidP="003B7FFA"/>
    <w:p w14:paraId="0136917F" w14:textId="77777777" w:rsidR="003B7FFA" w:rsidRPr="003B7FFA" w:rsidRDefault="003B7FFA" w:rsidP="003B7FFA"/>
    <w:p w14:paraId="2578531C" w14:textId="77777777" w:rsidR="003B7FFA" w:rsidRDefault="003B7FFA" w:rsidP="005969E0">
      <w:pPr>
        <w:pStyle w:val="Caption"/>
        <w:rPr>
          <w:b w:val="0"/>
          <w:i w:val="0"/>
        </w:rPr>
      </w:pPr>
    </w:p>
    <w:p w14:paraId="141925D4" w14:textId="77777777" w:rsidR="003B7FFA" w:rsidRDefault="003B7FFA" w:rsidP="005969E0">
      <w:pPr>
        <w:pStyle w:val="Caption"/>
        <w:rPr>
          <w:b w:val="0"/>
          <w:i w:val="0"/>
        </w:rPr>
      </w:pPr>
    </w:p>
    <w:p w14:paraId="23CCEE07" w14:textId="77777777" w:rsidR="003B7FFA" w:rsidRDefault="003B7FFA" w:rsidP="005969E0">
      <w:pPr>
        <w:pStyle w:val="Caption"/>
        <w:rPr>
          <w:b w:val="0"/>
          <w:i w:val="0"/>
        </w:rPr>
      </w:pPr>
    </w:p>
    <w:p w14:paraId="07D440A0" w14:textId="77777777" w:rsidR="003B7FFA" w:rsidRDefault="003B7FFA" w:rsidP="005969E0">
      <w:pPr>
        <w:pStyle w:val="Caption"/>
        <w:rPr>
          <w:b w:val="0"/>
          <w:i w:val="0"/>
        </w:rPr>
      </w:pPr>
    </w:p>
    <w:p w14:paraId="74BFED30" w14:textId="77777777" w:rsidR="003B7FFA" w:rsidRDefault="003B7FFA" w:rsidP="005969E0">
      <w:pPr>
        <w:pStyle w:val="Caption"/>
        <w:rPr>
          <w:b w:val="0"/>
          <w:i w:val="0"/>
        </w:rPr>
      </w:pPr>
    </w:p>
    <w:p w14:paraId="01FB2F55" w14:textId="77777777" w:rsidR="003B7FFA" w:rsidRDefault="003B7FFA" w:rsidP="005969E0">
      <w:pPr>
        <w:pStyle w:val="Caption"/>
        <w:rPr>
          <w:b w:val="0"/>
          <w:i w:val="0"/>
        </w:rPr>
      </w:pPr>
    </w:p>
    <w:p w14:paraId="337A12C8" w14:textId="4B5BC64D" w:rsidR="005969E0" w:rsidRPr="00976D33" w:rsidRDefault="003B7FFA" w:rsidP="005969E0">
      <w:pPr>
        <w:rPr>
          <w:b/>
          <w:i/>
          <w:iCs/>
        </w:rPr>
      </w:pPr>
      <w:r>
        <w:lastRenderedPageBreak/>
        <w:t xml:space="preserve">Figura </w:t>
      </w:r>
      <w:r>
        <w:rPr>
          <w:b/>
          <w:i/>
          <w:noProof/>
        </w:rPr>
        <w:t>89</w:t>
      </w:r>
      <w:r w:rsidR="005969E0" w:rsidRPr="00976D33">
        <w:fldChar w:fldCharType="end"/>
      </w:r>
      <w:r w:rsidR="00FD3BFB">
        <w:t xml:space="preserve">: </w:t>
      </w:r>
      <w:bookmarkStart w:id="579" w:name="_Ref138125134"/>
    </w:p>
    <w:p w14:paraId="05F76195" w14:textId="77777777" w:rsidR="005D1448" w:rsidRDefault="005D1448" w:rsidP="005969E0">
      <w:pPr>
        <w:pStyle w:val="Caption"/>
        <w:rPr>
          <w:b w:val="0"/>
          <w:i w:val="0"/>
        </w:rPr>
      </w:pPr>
      <w:bookmarkStart w:id="580" w:name="_Ref170214802"/>
      <w:bookmarkStart w:id="581" w:name="_Toc181867292"/>
    </w:p>
    <w:p w14:paraId="5C550DBE" w14:textId="77777777" w:rsidR="005D1448" w:rsidRDefault="005D1448" w:rsidP="005969E0">
      <w:pPr>
        <w:pStyle w:val="Caption"/>
        <w:rPr>
          <w:b w:val="0"/>
          <w:i w:val="0"/>
        </w:rPr>
      </w:pPr>
    </w:p>
    <w:p w14:paraId="1C96B717" w14:textId="77777777" w:rsidR="005D1448" w:rsidRDefault="005D1448" w:rsidP="005969E0">
      <w:pPr>
        <w:pStyle w:val="Caption"/>
        <w:rPr>
          <w:b w:val="0"/>
          <w:i w:val="0"/>
        </w:rPr>
      </w:pPr>
    </w:p>
    <w:p w14:paraId="19517684" w14:textId="77777777" w:rsidR="005D1448" w:rsidRDefault="005D1448" w:rsidP="005969E0">
      <w:pPr>
        <w:pStyle w:val="Caption"/>
        <w:rPr>
          <w:b w:val="0"/>
          <w:i w:val="0"/>
        </w:rPr>
      </w:pPr>
    </w:p>
    <w:p w14:paraId="571D242F" w14:textId="77777777" w:rsidR="005D1448" w:rsidRDefault="005D1448" w:rsidP="005969E0">
      <w:pPr>
        <w:pStyle w:val="Caption"/>
        <w:rPr>
          <w:b w:val="0"/>
          <w:i w:val="0"/>
        </w:rPr>
      </w:pPr>
    </w:p>
    <w:p w14:paraId="2C4F2851" w14:textId="77777777" w:rsidR="005D1448" w:rsidRDefault="005D1448" w:rsidP="005969E0">
      <w:pPr>
        <w:pStyle w:val="Caption"/>
        <w:rPr>
          <w:b w:val="0"/>
          <w:i w:val="0"/>
        </w:rPr>
      </w:pPr>
    </w:p>
    <w:p w14:paraId="39E064F7" w14:textId="77777777" w:rsidR="005D1448" w:rsidRDefault="005D1448" w:rsidP="005969E0">
      <w:pPr>
        <w:pStyle w:val="Caption"/>
        <w:rPr>
          <w:b w:val="0"/>
          <w:i w:val="0"/>
        </w:rPr>
      </w:pPr>
    </w:p>
    <w:p w14:paraId="17C61A19" w14:textId="77777777" w:rsidR="005D1448" w:rsidRDefault="005D1448" w:rsidP="005969E0">
      <w:pPr>
        <w:pStyle w:val="Caption"/>
        <w:rPr>
          <w:b w:val="0"/>
          <w:i w:val="0"/>
        </w:rPr>
      </w:pPr>
    </w:p>
    <w:p w14:paraId="323A19D4" w14:textId="77777777" w:rsidR="005D1448" w:rsidRDefault="005D1448" w:rsidP="005969E0">
      <w:pPr>
        <w:pStyle w:val="Caption"/>
        <w:rPr>
          <w:b w:val="0"/>
          <w:i w:val="0"/>
        </w:rPr>
      </w:pPr>
    </w:p>
    <w:p w14:paraId="7C5A3EED" w14:textId="7C0D0535" w:rsidR="00463FC6" w:rsidRPr="00976D33" w:rsidRDefault="00FD3BFB" w:rsidP="005969E0">
      <w:pPr>
        <w:pStyle w:val="Caption"/>
        <w:rPr>
          <w:b w:val="0"/>
          <w:i w:val="0"/>
          <w:iCs w:val="0"/>
        </w:rPr>
      </w:pPr>
      <w:r>
        <w:rPr>
          <w:b w:val="0"/>
          <w:i w:val="0"/>
        </w:rPr>
        <w:t xml:space="preserve">Figura </w:t>
      </w:r>
      <w:r w:rsidRPr="00976D33">
        <w:rPr>
          <w:b w:val="0"/>
          <w:i w:val="0"/>
        </w:rPr>
        <w:fldChar w:fldCharType="begin"/>
      </w:r>
      <w:r w:rsidRPr="00976D33">
        <w:rPr>
          <w:b w:val="0"/>
          <w:i w:val="0"/>
        </w:rPr>
        <w:instrText>SEQ Figure \* ARABIC</w:instrText>
      </w:r>
      <w:r w:rsidRPr="00976D33">
        <w:rPr>
          <w:b w:val="0"/>
          <w:i w:val="0"/>
        </w:rPr>
        <w:fldChar w:fldCharType="separate"/>
      </w:r>
      <w:r w:rsidR="003B7FFA">
        <w:rPr>
          <w:b w:val="0"/>
          <w:i w:val="0"/>
          <w:noProof/>
        </w:rPr>
        <w:t>89</w:t>
      </w:r>
      <w:r w:rsidRPr="00976D33">
        <w:rPr>
          <w:b w:val="0"/>
          <w:i w:val="0"/>
        </w:rPr>
        <w:fldChar w:fldCharType="end"/>
      </w:r>
      <w:bookmarkEnd w:id="579"/>
      <w:bookmarkEnd w:id="580"/>
      <w:r>
        <w:rPr>
          <w:b w:val="0"/>
          <w:i w:val="0"/>
        </w:rPr>
        <w:t>. Vitet e punës të gjeneruara në WEM dhe WAM</w:t>
      </w:r>
      <w:bookmarkEnd w:id="581"/>
    </w:p>
    <w:p w14:paraId="0C3532EF" w14:textId="689A91F1" w:rsidR="00FD3BFB" w:rsidRPr="00976D33" w:rsidRDefault="00625724" w:rsidP="006E6E51">
      <w:pPr>
        <w:pStyle w:val="Caption"/>
      </w:pPr>
      <w:r>
        <w:rPr>
          <w:noProof/>
          <w:lang w:val="en-US"/>
        </w:rPr>
        <w:drawing>
          <wp:inline distT="0" distB="0" distL="0" distR="0" wp14:anchorId="51C5DEDD" wp14:editId="3DC3863C">
            <wp:extent cx="6079490" cy="2757170"/>
            <wp:effectExtent l="0" t="0" r="0" b="0"/>
            <wp:docPr id="13035239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079490" cy="2757170"/>
                    </a:xfrm>
                    <a:prstGeom prst="rect">
                      <a:avLst/>
                    </a:prstGeom>
                    <a:noFill/>
                    <a:ln>
                      <a:noFill/>
                    </a:ln>
                  </pic:spPr>
                </pic:pic>
              </a:graphicData>
            </a:graphic>
          </wp:inline>
        </w:drawing>
      </w:r>
      <w:r>
        <w:t xml:space="preserve"> </w:t>
      </w:r>
    </w:p>
    <w:p w14:paraId="6FEFAA67" w14:textId="77777777" w:rsidR="00FD3BFB" w:rsidRPr="00976D33" w:rsidRDefault="00FD3BFB" w:rsidP="00FD3BFB">
      <w:pPr>
        <w:jc w:val="left"/>
        <w:rPr>
          <w:i/>
          <w:sz w:val="16"/>
          <w:szCs w:val="16"/>
        </w:rPr>
      </w:pPr>
      <w:r>
        <w:rPr>
          <w:i/>
          <w:sz w:val="16"/>
        </w:rPr>
        <w:t>Burimi: modelimi dhe llogaritjet vetanake</w:t>
      </w:r>
    </w:p>
    <w:p w14:paraId="6004404D" w14:textId="340242EC" w:rsidR="00FD3BFB" w:rsidRPr="00361116" w:rsidRDefault="00FD3BFB" w:rsidP="00FD3BFB">
      <w:r>
        <w:t xml:space="preserve">Në skenarin WEM, 3,136 vite pune u krijuan deri në vitin 2030, me shumicën e ardhur nga sektori i energjisë solare. Deri në vitin 2040 krijohen 5035 vite pune. Meqenëse prodhimi i energjisë elektrike i bazuar në linjit përbën gjithnjë e më shumë një pjesë më të vogël të totalit të energjisë elektrike të prodhuar, humbjet e vendeve të punës janë më të pranishme në këtë sektor. Ndërsa në WEM, gjenerimi total i energjisë elektrike është 7.66 TWh në vitin 2030 dhe 9.07 TWh në vitin 2040, në WAM këto vlera janë 7.13 TWh përkatësisht 8.66 TWh, për shkak të rritjes së fokusit në efiçiencën e energjisë. Megjithatë, kjo nuk reflektohet në numrin total të viteve të punës të krijuara, pasi një pjesë më e madhe e prodhimit të energjisë elektrike vjen nga sektorët që kërkojnë më shumë punë, siç janë sektori solar, në skenarin WAM. Ndërsa shuma totale e vitit të punës vetëm për teknologjitë e gjenerimit arrin në 3201 vite pune në WAM (kundrejt 3133 në WEM) në 2030 dhe 5378 vite pune në 2040 (kundrejt 5029 në 2040 në WEM), kur llogaritet efikasiteti i energjisë sektori, edhe më shumë vite pune gjenerohen në skenarin WAM. </w:t>
      </w:r>
    </w:p>
    <w:p w14:paraId="1E23AB28" w14:textId="69C70917" w:rsidR="00FD3BFB" w:rsidRPr="00976D33" w:rsidRDefault="00FD3BFB" w:rsidP="00FD3BFB">
      <w:pPr>
        <w:rPr>
          <w:b/>
        </w:rPr>
      </w:pPr>
      <w:r>
        <w:t>Në mënyrë specifike në WAM, sektori paneleve solare PV gjeneron 1703 vite pune në vitin 2030 dhe 3638 në vitin 2040, ndërsa sektori i energjisë së erës gjeneron 602 në vitin 2030 dhe 1139 në vitin 2040. Kjo është kryesisht për shkak të intensitetit relativisht më të lartë të punësimit në sektorin e paneleve solare PV në krahasim me sektorin e erës. Në të gjitha teknologjitë e vlerësuara krijohen më shumë vende pune direkte sesa indirekte, me përjashtim të sektorit të efiçiencës së energjisë, ku punët e nxitura tejkalojnë vitet e punës të krijuara drejtpërdrejt. 370 vite pune krijohen deri në vitin 2030 dhe 540 vite pune krijohen deri në vitin 2040 vetëm në segmentin e efiçiencës së energjisë, duke përbërë më shumë se 9% të të gjitha vendeve të punës në sektorin e energjisë deri në vitin 2040. Punë tjera pritet të krijohen gjithashtu në segmentin e ruajtjes përmes baterive, i cili, krahas transmisionit dhe distribuimit, nuk ishte përfshirë në modelimin e punësimit.</w:t>
      </w:r>
    </w:p>
    <w:p w14:paraId="5969E78F" w14:textId="77777777" w:rsidR="00FD3BFB" w:rsidRPr="00976D33" w:rsidRDefault="00FD3BFB" w:rsidP="00FD3BFB">
      <w:pPr>
        <w:pStyle w:val="Heading3"/>
        <w:numPr>
          <w:ilvl w:val="0"/>
          <w:numId w:val="0"/>
        </w:numPr>
        <w:ind w:left="720" w:hanging="720"/>
        <w:rPr>
          <w:b/>
          <w:i/>
          <w:szCs w:val="22"/>
        </w:rPr>
      </w:pPr>
      <w:bookmarkStart w:id="582" w:name="_Toc182302360"/>
      <w:r>
        <w:rPr>
          <w:b/>
          <w:i/>
        </w:rPr>
        <w:lastRenderedPageBreak/>
        <w:t>Efektet shëndetësore (ndotja lokale e ajrit)</w:t>
      </w:r>
      <w:bookmarkEnd w:id="582"/>
      <w:r>
        <w:rPr>
          <w:b/>
          <w:i/>
        </w:rPr>
        <w:t xml:space="preserve"> </w:t>
      </w:r>
    </w:p>
    <w:p w14:paraId="4EE54479" w14:textId="020546E6" w:rsidR="00FD3BFB" w:rsidRPr="00976D33" w:rsidRDefault="00FD3BFB" w:rsidP="00FD3BFB">
      <w:r>
        <w:t>Kosova në tërësi dhe veçanërisht qendrat e saj kryesore urbane preken nga nivele të konsiderueshme të ndotjes së ajrit për shkak të përzierjes aktuale energjetike të vendit. Djegia e linjitit përbën pjesën më të madhe të prodhimit të energjisë elektrike, me termocentralet Kosova A dhe B që renditen si dy nga termocentralet më ndotëse në Evropë, ku nivelet e ndotjes në Prishtinë janë në të njëjtin nivel me Pekinin, Nju Delhin dhe Mumbain. Sipas një studimi të Bankës Botërore të vitit 2019, ndotja e ajrit llogaritet se shkakton mbi 760 vdekje të parakohshme në vit vetëm në Republikën e Kosovës, me ndikim ekonomik vjetor të vlerësuar prej 160 deri në 310 milion dollarë amerikanë ose 2.5%-4.7% të BPV-së. Koncentrimet e grimcave mbi 2.5 mikrometra ose më pak (PM2.5) tejkalojnë ndjeshëm standardet kombëtare dhe të Bashkimit Evropian për ndotjen e ajrit, me rrezik të shtuar të infeksioneve të rënda të rrugëve të poshtme të frymëmarrjes, si kanceri i trakesë, i bronkeve dhe i mushkërive; sëmundjet ishemike të zemrës (IHD); goditje; dhe sëmundjet pulmonare obstruktive kronike (COPD). Efekte të tjera të rëndësishme të ndotjes së ajrit të shkaktuar nga përzierja energjetike e Kosovës nga lëndët djegëse fosile janë regjistruar edhe në florën dhe faunën lokale, duke përfshirë edhe sektorin bujqësor.</w:t>
      </w:r>
      <w:r w:rsidRPr="00976D33">
        <w:rPr>
          <w:rStyle w:val="FootnoteReference"/>
        </w:rPr>
        <w:footnoteReference w:id="48"/>
      </w:r>
    </w:p>
    <w:p w14:paraId="4F2CF966" w14:textId="0C5E6F5C" w:rsidR="00FD3BFB" w:rsidRPr="00976D33" w:rsidRDefault="00FD3BFB" w:rsidP="00FD3BFB">
      <w:r>
        <w:t>Tranzicioni energjetik i Kosovës, duke përfshirë më së shumti reduktimin e prodhimit të energjisë elektrike dhe ngrohjes bazuar në linjit për 37% në vitin 2030 dhe 61% deri në vitin 2040</w:t>
      </w:r>
      <w:r w:rsidRPr="00361116">
        <w:rPr>
          <w:rStyle w:val="FootnoteReference"/>
        </w:rPr>
        <w:footnoteReference w:id="49"/>
      </w:r>
      <w:r>
        <w:t xml:space="preserve"> krahasuar me bazën e vitit 2021, rikonstruksionin e filtrave për të reduktuar dioksidin e squfurit (SO</w:t>
      </w:r>
      <w:r>
        <w:rPr>
          <w:vertAlign w:val="subscript"/>
        </w:rPr>
        <w:t>2</w:t>
      </w:r>
      <w:r>
        <w:t>), oksidet e azotit (NO</w:t>
      </w:r>
      <w:r>
        <w:rPr>
          <w:vertAlign w:val="subscript"/>
        </w:rPr>
        <w:t>x</w:t>
      </w:r>
      <w:r>
        <w:t>) dhe emetimet e pluhurit të njësive të mbetura të linjitit në përputhje me Direktivën e Emisioneve Industriale dhe Direktivën për Impiantet e Mëdha me Djegie, si dhe përdorimin e energjisë nga panelet solare PV, energjisë së erës, ngrohëseve solarë, pompave termike, stufave me efiçiente me biomasës dhe rregullat më të rrepta për kufijtë e emetimeve për automjetet, do të ketë efekte të fuqishme në ndotjen, veçanërisht në zonat aktualisht më të prekura. Ky reduktim, duke përfshirë emetimet e gazeve serrë që përmbajnë grimca PM2.5, do të ketë efekt në nivelet e ndotjes së ajrit dhe ka shumë të ngjarë të projektojë veten në uljen e vdekjeve të parandalueshme, humbjet ekonomike dhe efektet shkatërruese në florë dhe faunë.</w:t>
      </w:r>
    </w:p>
    <w:p w14:paraId="4669FFEF" w14:textId="77777777" w:rsidR="00FD3BFB" w:rsidRPr="00976D33" w:rsidRDefault="00FD3BFB" w:rsidP="00FD3BFB">
      <w:pPr>
        <w:rPr>
          <w:rFonts w:asciiTheme="minorHAnsi" w:hAnsiTheme="minorHAnsi" w:cs="calibri light (Überschriften)"/>
          <w:color w:val="024F75" w:themeColor="accent1"/>
          <w:szCs w:val="20"/>
        </w:rPr>
      </w:pPr>
      <w:r>
        <w:br w:type="page"/>
      </w:r>
    </w:p>
    <w:p w14:paraId="6B8C426C" w14:textId="77777777" w:rsidR="00FD3BFB" w:rsidRPr="00976D33" w:rsidRDefault="00FD3BFB" w:rsidP="006E6E51">
      <w:pPr>
        <w:pStyle w:val="Heading2"/>
      </w:pPr>
      <w:bookmarkStart w:id="583" w:name="_Toc137677744"/>
      <w:bookmarkStart w:id="584" w:name="_Toc182302361"/>
      <w:r>
        <w:lastRenderedPageBreak/>
        <w:t>Pasqyra e përgjithshme e nevojave për investime</w:t>
      </w:r>
      <w:bookmarkEnd w:id="583"/>
      <w:bookmarkEnd w:id="584"/>
    </w:p>
    <w:p w14:paraId="7EDD17D3" w14:textId="3E3DEE91" w:rsidR="00FD3BFB" w:rsidRPr="00976D33" w:rsidRDefault="00920957" w:rsidP="00920957">
      <w:pPr>
        <w:pStyle w:val="Heading3"/>
        <w:numPr>
          <w:ilvl w:val="0"/>
          <w:numId w:val="114"/>
        </w:numPr>
        <w:tabs>
          <w:tab w:val="num" w:pos="720"/>
        </w:tabs>
      </w:pPr>
      <w:bookmarkStart w:id="585" w:name="_Toc167615740"/>
      <w:bookmarkStart w:id="586" w:name="_Toc182302362"/>
      <w:r>
        <w:t>Flukset ekzistuese të investimeve dhe supozimet e ardhshme të investimeve në lidhje me politikat dhe masat e planifikuara</w:t>
      </w:r>
      <w:bookmarkEnd w:id="585"/>
      <w:bookmarkEnd w:id="586"/>
    </w:p>
    <w:p w14:paraId="7A6BD2EF" w14:textId="6F5ABE4A" w:rsidR="00E46A56" w:rsidRDefault="008411DB" w:rsidP="008411DB">
      <w:r>
        <w:t>Në total, rreth 3.7 miliardë euro investime financiare kërkohen deri në vitin 2030 në skenarin WEM, me një shtesë prej 1.1 miliardë euro të nevojshme për skenarin WAM. Ndërsa shumë nga nevojat për investime janë investime publike, ekzistojnë përjashtime të dukshme. Këto përfshijnë, ndër të tjera, prodhimin e energjisë së ripërtëritshme (PM 11), rinovimin e ndërtesave rezidenciale (PM 24), rinovimin e ndërtesave komerciale (PM 25) dhe rritjen e përdorimit të teknologjive efiçiente në sektorin rezidencial (PM 37) që kërkon mbështetje publike rregullatore dhe financiare, por mund të supozohet se janë kryesisht investime private.</w:t>
      </w:r>
    </w:p>
    <w:p w14:paraId="22AF27A5" w14:textId="1905466F" w:rsidR="008411DB" w:rsidRPr="008411DB" w:rsidRDefault="00520E77" w:rsidP="008411DB">
      <w:r>
        <w:t>Tabela e mëposhtme nxjerr në pah nevojat për investime sipas politikave dhe masave individuale:</w:t>
      </w:r>
    </w:p>
    <w:tbl>
      <w:tblPr>
        <w:tblStyle w:val="GridTable5DarkAccent100"/>
        <w:tblW w:w="5000" w:type="pct"/>
        <w:tblLook w:val="04A0" w:firstRow="1" w:lastRow="0" w:firstColumn="1" w:lastColumn="0" w:noHBand="0" w:noVBand="1"/>
      </w:tblPr>
      <w:tblGrid>
        <w:gridCol w:w="3594"/>
        <w:gridCol w:w="4501"/>
        <w:gridCol w:w="1469"/>
      </w:tblGrid>
      <w:tr w:rsidR="00FD3BFB" w:rsidRPr="00306509" w14:paraId="6D300050" w14:textId="77777777" w:rsidTr="00C85EF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879" w:type="pct"/>
            <w:hideMark/>
          </w:tcPr>
          <w:p w14:paraId="02E7FDC1" w14:textId="77777777" w:rsidR="00FD3BFB" w:rsidRPr="00306509" w:rsidRDefault="00FD3BFB">
            <w:pPr>
              <w:spacing w:before="0" w:after="0" w:line="240" w:lineRule="auto"/>
              <w:jc w:val="left"/>
              <w:rPr>
                <w:rFonts w:asciiTheme="majorHAnsi" w:eastAsia="Times New Roman" w:hAnsiTheme="majorHAnsi" w:cstheme="majorHAnsi"/>
                <w:color w:val="FFFFFF"/>
                <w:sz w:val="18"/>
                <w:szCs w:val="18"/>
              </w:rPr>
            </w:pPr>
            <w:r>
              <w:rPr>
                <w:rFonts w:asciiTheme="majorHAnsi" w:hAnsiTheme="majorHAnsi"/>
                <w:color w:val="FFFFFF"/>
                <w:sz w:val="18"/>
              </w:rPr>
              <w:t>Politikat dhe masat</w:t>
            </w:r>
          </w:p>
        </w:tc>
        <w:tc>
          <w:tcPr>
            <w:tcW w:w="2353" w:type="pct"/>
            <w:hideMark/>
          </w:tcPr>
          <w:p w14:paraId="18FE9195" w14:textId="77777777" w:rsidR="00FD3BFB" w:rsidRPr="00306509" w:rsidRDefault="00FD3BFB">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sz w:val="18"/>
                <w:szCs w:val="18"/>
              </w:rPr>
            </w:pPr>
            <w:r>
              <w:rPr>
                <w:rFonts w:asciiTheme="majorHAnsi" w:hAnsiTheme="majorHAnsi"/>
                <w:color w:val="FFFFFF"/>
                <w:sz w:val="18"/>
              </w:rPr>
              <w:t>Investimet financiare</w:t>
            </w:r>
          </w:p>
        </w:tc>
        <w:tc>
          <w:tcPr>
            <w:tcW w:w="768" w:type="pct"/>
            <w:hideMark/>
          </w:tcPr>
          <w:p w14:paraId="7923CB02" w14:textId="77777777" w:rsidR="00FD3BFB" w:rsidRPr="00306509" w:rsidRDefault="00FD3BFB">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sz w:val="18"/>
                <w:szCs w:val="18"/>
              </w:rPr>
            </w:pPr>
            <w:r>
              <w:rPr>
                <w:rFonts w:asciiTheme="majorHAnsi" w:hAnsiTheme="majorHAnsi"/>
                <w:color w:val="FFFFFF"/>
                <w:sz w:val="18"/>
              </w:rPr>
              <w:t>WEM/WAM</w:t>
            </w:r>
          </w:p>
        </w:tc>
      </w:tr>
      <w:tr w:rsidR="00944071" w:rsidRPr="00306509" w14:paraId="48FED1B3" w14:textId="77777777" w:rsidTr="00C85EF4">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79" w:type="pct"/>
            <w:hideMark/>
          </w:tcPr>
          <w:p w14:paraId="6588EF2D" w14:textId="26080634"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1: Studim i efekteve të CBAM dhe/ose çmimi vendor i karbonit</w:t>
            </w:r>
          </w:p>
        </w:tc>
        <w:tc>
          <w:tcPr>
            <w:tcW w:w="2353" w:type="pct"/>
            <w:vAlign w:val="center"/>
            <w:hideMark/>
          </w:tcPr>
          <w:p w14:paraId="514C83C3" w14:textId="1CE2B7E8" w:rsidR="00944071" w:rsidRPr="00306509" w:rsidRDefault="00944071"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 xml:space="preserve">Nuk zbatohet. </w:t>
            </w:r>
          </w:p>
        </w:tc>
        <w:tc>
          <w:tcPr>
            <w:tcW w:w="768" w:type="pct"/>
            <w:vAlign w:val="center"/>
            <w:hideMark/>
          </w:tcPr>
          <w:p w14:paraId="7F67B7B0" w14:textId="40B60FE8" w:rsidR="00944071" w:rsidRPr="00306509" w:rsidRDefault="00944071"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WAM</w:t>
            </w:r>
          </w:p>
        </w:tc>
      </w:tr>
      <w:tr w:rsidR="00944071" w:rsidRPr="00306509" w14:paraId="593302CC" w14:textId="77777777" w:rsidTr="00C85EF4">
        <w:trPr>
          <w:trHeight w:val="522"/>
        </w:trPr>
        <w:tc>
          <w:tcPr>
            <w:cnfStyle w:val="001000000000" w:firstRow="0" w:lastRow="0" w:firstColumn="1" w:lastColumn="0" w:oddVBand="0" w:evenVBand="0" w:oddHBand="0" w:evenHBand="0" w:firstRowFirstColumn="0" w:firstRowLastColumn="0" w:lastRowFirstColumn="0" w:lastRowLastColumn="0"/>
            <w:tcW w:w="1879" w:type="pct"/>
            <w:hideMark/>
          </w:tcPr>
          <w:p w14:paraId="72BF961E" w14:textId="238CFBD8"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2: Largimi nga funksioni i një njësie të TC Kosova A</w:t>
            </w:r>
          </w:p>
        </w:tc>
        <w:tc>
          <w:tcPr>
            <w:tcW w:w="2353" w:type="pct"/>
            <w:vAlign w:val="center"/>
            <w:hideMark/>
          </w:tcPr>
          <w:p w14:paraId="3AEEF1CA" w14:textId="72A648A9" w:rsidR="00944071" w:rsidRPr="00306509" w:rsidRDefault="00944071"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Nuk zbatohet.</w:t>
            </w:r>
          </w:p>
        </w:tc>
        <w:tc>
          <w:tcPr>
            <w:tcW w:w="768" w:type="pct"/>
            <w:vAlign w:val="center"/>
            <w:hideMark/>
          </w:tcPr>
          <w:p w14:paraId="7BBE93A4" w14:textId="703E6843" w:rsidR="00944071" w:rsidRPr="00306509" w:rsidRDefault="00944071"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944071" w:rsidRPr="00306509" w14:paraId="3EAC28DE" w14:textId="77777777" w:rsidTr="00C85EF4">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79" w:type="pct"/>
            <w:hideMark/>
          </w:tcPr>
          <w:p w14:paraId="14FF2EA5" w14:textId="612E1489"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3: Menaxhimi i kontrolluar i mbeturinave të ngurta</w:t>
            </w:r>
          </w:p>
        </w:tc>
        <w:tc>
          <w:tcPr>
            <w:tcW w:w="2353" w:type="pct"/>
            <w:vAlign w:val="center"/>
            <w:hideMark/>
          </w:tcPr>
          <w:p w14:paraId="1CAD1DF3" w14:textId="64A43FB9" w:rsidR="00B548E8" w:rsidRPr="00C1079E" w:rsidRDefault="0076172C"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FF0000"/>
                <w:sz w:val="18"/>
                <w:szCs w:val="18"/>
              </w:rPr>
            </w:pPr>
            <w:r>
              <w:rPr>
                <w:sz w:val="18"/>
              </w:rPr>
              <w:t>143.4 mil. euro *WEM), 320.7 mil. euro (WAM)</w:t>
            </w:r>
          </w:p>
        </w:tc>
        <w:tc>
          <w:tcPr>
            <w:tcW w:w="768" w:type="pct"/>
            <w:vAlign w:val="center"/>
            <w:hideMark/>
          </w:tcPr>
          <w:p w14:paraId="3862BAFC" w14:textId="43139A55" w:rsidR="00944071" w:rsidRPr="00306509" w:rsidRDefault="00944071"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WEM/WAM</w:t>
            </w:r>
          </w:p>
        </w:tc>
      </w:tr>
      <w:tr w:rsidR="00944071" w:rsidRPr="00306509" w14:paraId="3734623D" w14:textId="77777777" w:rsidTr="00C85EF4">
        <w:trPr>
          <w:trHeight w:val="522"/>
        </w:trPr>
        <w:tc>
          <w:tcPr>
            <w:cnfStyle w:val="001000000000" w:firstRow="0" w:lastRow="0" w:firstColumn="1" w:lastColumn="0" w:oddVBand="0" w:evenVBand="0" w:oddHBand="0" w:evenHBand="0" w:firstRowFirstColumn="0" w:firstRowLastColumn="0" w:lastRowFirstColumn="0" w:lastRowLastColumn="0"/>
            <w:tcW w:w="1879" w:type="pct"/>
            <w:hideMark/>
          </w:tcPr>
          <w:p w14:paraId="6DA8A5E3" w14:textId="2D30EE95"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4: Rritja e burimeve pyjore</w:t>
            </w:r>
          </w:p>
        </w:tc>
        <w:tc>
          <w:tcPr>
            <w:tcW w:w="2353" w:type="pct"/>
            <w:vAlign w:val="center"/>
            <w:hideMark/>
          </w:tcPr>
          <w:p w14:paraId="79F0DC1D" w14:textId="79A2C014" w:rsidR="00944071" w:rsidRPr="00306509" w:rsidRDefault="00AC0CF9"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Gjithsej 5.07 mil. Euro deri në vitin 2030</w:t>
            </w:r>
          </w:p>
        </w:tc>
        <w:tc>
          <w:tcPr>
            <w:tcW w:w="768" w:type="pct"/>
            <w:vAlign w:val="center"/>
            <w:hideMark/>
          </w:tcPr>
          <w:p w14:paraId="28393F0B" w14:textId="78A1BD16" w:rsidR="00944071" w:rsidRPr="00306509" w:rsidRDefault="00944071"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944071" w:rsidRPr="00306509" w14:paraId="66993E53" w14:textId="77777777" w:rsidTr="00C85EF4">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79" w:type="pct"/>
            <w:hideMark/>
          </w:tcPr>
          <w:p w14:paraId="6FA97E72" w14:textId="57F42A60"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5: Mbrojtja e burimeve pyjore</w:t>
            </w:r>
          </w:p>
        </w:tc>
        <w:tc>
          <w:tcPr>
            <w:tcW w:w="2353" w:type="pct"/>
            <w:vAlign w:val="center"/>
            <w:hideMark/>
          </w:tcPr>
          <w:p w14:paraId="5464D5C5" w14:textId="3F900C0A" w:rsidR="00944071" w:rsidRPr="00306509" w:rsidRDefault="00AC0CF9"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Gjithsej 3.7 mil. euro (WEM) ose 9.3 mil. euro (WAM) deri në vitin 2030</w:t>
            </w:r>
          </w:p>
        </w:tc>
        <w:tc>
          <w:tcPr>
            <w:tcW w:w="768" w:type="pct"/>
            <w:vAlign w:val="center"/>
            <w:hideMark/>
          </w:tcPr>
          <w:p w14:paraId="3B69D83C" w14:textId="4957E49C" w:rsidR="00944071" w:rsidRPr="00306509" w:rsidRDefault="00944071"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WEM/WAM</w:t>
            </w:r>
          </w:p>
        </w:tc>
      </w:tr>
      <w:tr w:rsidR="00944071" w:rsidRPr="00306509" w14:paraId="25469189" w14:textId="77777777" w:rsidTr="00C85EF4">
        <w:trPr>
          <w:trHeight w:val="522"/>
        </w:trPr>
        <w:tc>
          <w:tcPr>
            <w:cnfStyle w:val="001000000000" w:firstRow="0" w:lastRow="0" w:firstColumn="1" w:lastColumn="0" w:oddVBand="0" w:evenVBand="0" w:oddHBand="0" w:evenHBand="0" w:firstRowFirstColumn="0" w:firstRowLastColumn="0" w:lastRowFirstColumn="0" w:lastRowLastColumn="0"/>
            <w:tcW w:w="1879" w:type="pct"/>
            <w:hideMark/>
          </w:tcPr>
          <w:p w14:paraId="1FF8EFC3" w14:textId="27B47842"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6: Përdorimi i qëndrueshëm dhe shumëfunksional i burimeve pyjore</w:t>
            </w:r>
          </w:p>
        </w:tc>
        <w:tc>
          <w:tcPr>
            <w:tcW w:w="2353" w:type="pct"/>
            <w:vAlign w:val="center"/>
            <w:hideMark/>
          </w:tcPr>
          <w:p w14:paraId="2C12DE1D" w14:textId="38C9EAE9" w:rsidR="00944071" w:rsidRPr="00306509" w:rsidRDefault="0077091A"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 xml:space="preserve">Gjithsej 1.5 mil. Euro deri në vitin 2030  </w:t>
            </w:r>
          </w:p>
        </w:tc>
        <w:tc>
          <w:tcPr>
            <w:tcW w:w="768" w:type="pct"/>
            <w:vAlign w:val="center"/>
            <w:hideMark/>
          </w:tcPr>
          <w:p w14:paraId="6ADFC2F1" w14:textId="2C4C75F7" w:rsidR="00944071" w:rsidRPr="00306509" w:rsidRDefault="00944071"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944071" w:rsidRPr="00306509" w14:paraId="407F06B6" w14:textId="77777777" w:rsidTr="00C85EF4">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1879" w:type="pct"/>
            <w:hideMark/>
          </w:tcPr>
          <w:p w14:paraId="1F4A0386" w14:textId="0F46D3E6"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7: Menaxhimi i qëndrueshëm i burimeve natyrore (tokës, pyjeve dhe ujit) në bujqësi</w:t>
            </w:r>
          </w:p>
        </w:tc>
        <w:tc>
          <w:tcPr>
            <w:tcW w:w="2353" w:type="pct"/>
            <w:vAlign w:val="center"/>
            <w:hideMark/>
          </w:tcPr>
          <w:p w14:paraId="662486E9" w14:textId="77777777" w:rsidR="00304048" w:rsidRPr="00306509" w:rsidRDefault="00304048" w:rsidP="0030404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Deri në vitin 2030:</w:t>
            </w:r>
          </w:p>
          <w:p w14:paraId="225887B1" w14:textId="5D506521" w:rsidR="00304048" w:rsidRPr="00306509" w:rsidRDefault="00304048" w:rsidP="0030404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1) 25 mil. euro për rritjen e përdorimit të plehrave minerale</w:t>
            </w:r>
          </w:p>
          <w:p w14:paraId="395A4C1F" w14:textId="4EE82B39" w:rsidR="00304048" w:rsidRPr="00306509" w:rsidRDefault="00304048" w:rsidP="0030404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2) 4.51 mil. euro për reduktimin e mbetjeve të kulturave/zjarreve të kulturave</w:t>
            </w:r>
          </w:p>
          <w:p w14:paraId="7575DB7B" w14:textId="0DF078BE" w:rsidR="00944071" w:rsidRPr="00306509" w:rsidRDefault="00DE4BE5" w:rsidP="0030404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3) 6,6 mil. euro për reduktimin e CH4</w:t>
            </w:r>
          </w:p>
        </w:tc>
        <w:tc>
          <w:tcPr>
            <w:tcW w:w="768" w:type="pct"/>
            <w:vAlign w:val="center"/>
            <w:hideMark/>
          </w:tcPr>
          <w:p w14:paraId="4571F98A" w14:textId="0B15BADE" w:rsidR="00944071" w:rsidRPr="00306509" w:rsidRDefault="00BC741A"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WAM</w:t>
            </w:r>
          </w:p>
        </w:tc>
      </w:tr>
      <w:tr w:rsidR="00944071" w:rsidRPr="00306509" w14:paraId="311662F4" w14:textId="77777777" w:rsidTr="00C85EF4">
        <w:trPr>
          <w:trHeight w:val="672"/>
        </w:trPr>
        <w:tc>
          <w:tcPr>
            <w:cnfStyle w:val="001000000000" w:firstRow="0" w:lastRow="0" w:firstColumn="1" w:lastColumn="0" w:oddVBand="0" w:evenVBand="0" w:oddHBand="0" w:evenHBand="0" w:firstRowFirstColumn="0" w:firstRowLastColumn="0" w:lastRowFirstColumn="0" w:lastRowLastColumn="0"/>
            <w:tcW w:w="1879" w:type="pct"/>
            <w:hideMark/>
          </w:tcPr>
          <w:p w14:paraId="64315D51" w14:textId="34312955"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8: Menaxhimi i përmirësuar i plehut organik (metodat për ruajtjen, përgatitjen dhe aplikimin)</w:t>
            </w:r>
          </w:p>
        </w:tc>
        <w:tc>
          <w:tcPr>
            <w:tcW w:w="2353" w:type="pct"/>
            <w:vAlign w:val="center"/>
            <w:hideMark/>
          </w:tcPr>
          <w:p w14:paraId="54D5C72A" w14:textId="6472BAFB" w:rsidR="00944071" w:rsidRPr="00306509" w:rsidRDefault="00F0216A"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15.6 mil. euro deri në vitin 2030</w:t>
            </w:r>
          </w:p>
        </w:tc>
        <w:tc>
          <w:tcPr>
            <w:tcW w:w="768" w:type="pct"/>
            <w:vAlign w:val="center"/>
            <w:hideMark/>
          </w:tcPr>
          <w:p w14:paraId="28466ED3" w14:textId="0F728809" w:rsidR="00944071" w:rsidRPr="00306509" w:rsidRDefault="00212FA3"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WAM</w:t>
            </w:r>
          </w:p>
        </w:tc>
      </w:tr>
      <w:tr w:rsidR="00944071" w:rsidRPr="00306509" w14:paraId="1C17A6E4" w14:textId="77777777" w:rsidTr="00C85EF4">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879" w:type="pct"/>
            <w:hideMark/>
          </w:tcPr>
          <w:p w14:paraId="42DEFD5D" w14:textId="779E497F"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9: Skemat agro-mjedisore për mbrojtjen e biodiversitetit</w:t>
            </w:r>
          </w:p>
        </w:tc>
        <w:tc>
          <w:tcPr>
            <w:tcW w:w="2353" w:type="pct"/>
            <w:vAlign w:val="center"/>
            <w:hideMark/>
          </w:tcPr>
          <w:p w14:paraId="7FAAA0A3" w14:textId="53A39205" w:rsidR="00944071" w:rsidRPr="00306509" w:rsidRDefault="00AE4EB4"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Gjithsej 4.45 mil. Euro deri në vitin 2030</w:t>
            </w:r>
          </w:p>
        </w:tc>
        <w:tc>
          <w:tcPr>
            <w:tcW w:w="768" w:type="pct"/>
            <w:vAlign w:val="center"/>
            <w:hideMark/>
          </w:tcPr>
          <w:p w14:paraId="4FE194D6" w14:textId="216F797C" w:rsidR="00944071" w:rsidRPr="00306509" w:rsidRDefault="00944071"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944071" w:rsidRPr="00306509" w14:paraId="4B8E038A" w14:textId="77777777" w:rsidTr="00C85EF4">
        <w:trPr>
          <w:trHeight w:val="303"/>
        </w:trPr>
        <w:tc>
          <w:tcPr>
            <w:cnfStyle w:val="001000000000" w:firstRow="0" w:lastRow="0" w:firstColumn="1" w:lastColumn="0" w:oddVBand="0" w:evenVBand="0" w:oddHBand="0" w:evenHBand="0" w:firstRowFirstColumn="0" w:firstRowLastColumn="0" w:lastRowFirstColumn="0" w:lastRowLastColumn="0"/>
            <w:tcW w:w="1879" w:type="pct"/>
            <w:hideMark/>
          </w:tcPr>
          <w:p w14:paraId="526A47CD" w14:textId="74D137A8"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10: Promovimi i bujqësisë organike</w:t>
            </w:r>
          </w:p>
        </w:tc>
        <w:tc>
          <w:tcPr>
            <w:tcW w:w="2353" w:type="pct"/>
            <w:vAlign w:val="center"/>
            <w:hideMark/>
          </w:tcPr>
          <w:p w14:paraId="52516E8B" w14:textId="4F889B43" w:rsidR="00944071" w:rsidRPr="00306509" w:rsidRDefault="007C3BA3"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Gjithsej 1.5 mil. Euro deri në vitin 2030</w:t>
            </w:r>
          </w:p>
        </w:tc>
        <w:tc>
          <w:tcPr>
            <w:tcW w:w="768" w:type="pct"/>
            <w:vAlign w:val="center"/>
            <w:hideMark/>
          </w:tcPr>
          <w:p w14:paraId="190AB9FE" w14:textId="3010269C" w:rsidR="00944071" w:rsidRPr="00306509" w:rsidRDefault="00944071"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944071" w:rsidRPr="00306509" w14:paraId="20CAC896" w14:textId="77777777" w:rsidTr="00C85EF4">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879" w:type="pct"/>
            <w:hideMark/>
          </w:tcPr>
          <w:p w14:paraId="222A9CCD" w14:textId="59B7F529"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11: Promovimi i energjisë së ripërtëritshme në sektorin e energjisë elektrike</w:t>
            </w:r>
          </w:p>
        </w:tc>
        <w:tc>
          <w:tcPr>
            <w:tcW w:w="2353" w:type="pct"/>
            <w:vAlign w:val="center"/>
            <w:hideMark/>
          </w:tcPr>
          <w:p w14:paraId="57CE2BE1" w14:textId="481211F4" w:rsidR="008160D2" w:rsidRPr="00306509" w:rsidRDefault="00944071"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olor w:val="000000"/>
                <w:sz w:val="18"/>
              </w:rPr>
              <w:t>1.007 mil. euro duke përjashtuar investimet e prodhuesve vetë-konsumues (përmbl. deri në vitin 2030) WEM: 1.094 mil. euro duke përfshirë investimet e prodhuesve vetë-konsumues (përmbl. deri në vitin 2030) WAM: 1.181 mil. euro duke përfshirë investimet e prodhuesve vetë-konsumues (përmbl. deri në vitin 2030)</w:t>
            </w:r>
          </w:p>
        </w:tc>
        <w:tc>
          <w:tcPr>
            <w:tcW w:w="768" w:type="pct"/>
            <w:vAlign w:val="center"/>
            <w:hideMark/>
          </w:tcPr>
          <w:p w14:paraId="1B76348D" w14:textId="5BA50771" w:rsidR="00944071" w:rsidRPr="00306509" w:rsidRDefault="00944071"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WEM/WAM</w:t>
            </w:r>
          </w:p>
        </w:tc>
      </w:tr>
      <w:tr w:rsidR="00944071" w:rsidRPr="00306509" w14:paraId="1B431887" w14:textId="77777777" w:rsidTr="00587082">
        <w:trPr>
          <w:trHeight w:val="510"/>
        </w:trPr>
        <w:tc>
          <w:tcPr>
            <w:cnfStyle w:val="001000000000" w:firstRow="0" w:lastRow="0" w:firstColumn="1" w:lastColumn="0" w:oddVBand="0" w:evenVBand="0" w:oddHBand="0" w:evenHBand="0" w:firstRowFirstColumn="0" w:firstRowLastColumn="0" w:lastRowFirstColumn="0" w:lastRowLastColumn="0"/>
            <w:tcW w:w="1879" w:type="pct"/>
          </w:tcPr>
          <w:p w14:paraId="7FF99D94" w14:textId="50DCAC68"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12: Vendosja e projektit PV 100 MW në objektet e KEK-ut</w:t>
            </w:r>
          </w:p>
        </w:tc>
        <w:tc>
          <w:tcPr>
            <w:tcW w:w="2353" w:type="pct"/>
            <w:vAlign w:val="center"/>
          </w:tcPr>
          <w:p w14:paraId="261F34DF" w14:textId="476E936A" w:rsidR="00944071" w:rsidRPr="00306509" w:rsidRDefault="00282815"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F0D29"/>
                <w:sz w:val="18"/>
              </w:rPr>
              <w:t>Kostoja totale është rreth 140 mil. euro (të përfshira në PM 11)</w:t>
            </w:r>
          </w:p>
        </w:tc>
        <w:tc>
          <w:tcPr>
            <w:tcW w:w="768" w:type="pct"/>
            <w:vAlign w:val="center"/>
          </w:tcPr>
          <w:p w14:paraId="163C1D77" w14:textId="455C2116" w:rsidR="00944071" w:rsidRPr="00306509" w:rsidRDefault="00944071"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944071" w:rsidRPr="00306509" w14:paraId="4282250C" w14:textId="77777777" w:rsidTr="00C85EF4">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879" w:type="pct"/>
          </w:tcPr>
          <w:p w14:paraId="7810B2A7" w14:textId="68AAF5F9"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13: Studimi për Impiantin Fotovoltaik Solar 200 MW në KEK SH.A</w:t>
            </w:r>
          </w:p>
        </w:tc>
        <w:tc>
          <w:tcPr>
            <w:tcW w:w="2353" w:type="pct"/>
            <w:vAlign w:val="center"/>
          </w:tcPr>
          <w:p w14:paraId="33A2B90A" w14:textId="4D6B3529" w:rsidR="00944071" w:rsidRPr="00306509" w:rsidRDefault="00332CA7"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Kostoja totale është rreth 0,5 mil. EUR</w:t>
            </w:r>
          </w:p>
        </w:tc>
        <w:tc>
          <w:tcPr>
            <w:tcW w:w="768" w:type="pct"/>
            <w:vAlign w:val="center"/>
          </w:tcPr>
          <w:p w14:paraId="04A17E97" w14:textId="149FCADF" w:rsidR="00944071" w:rsidRPr="00306509" w:rsidRDefault="00944071"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944071" w:rsidRPr="00306509" w14:paraId="2B377810" w14:textId="77777777" w:rsidTr="00C85EF4">
        <w:trPr>
          <w:trHeight w:val="583"/>
        </w:trPr>
        <w:tc>
          <w:tcPr>
            <w:cnfStyle w:val="001000000000" w:firstRow="0" w:lastRow="0" w:firstColumn="1" w:lastColumn="0" w:oddVBand="0" w:evenVBand="0" w:oddHBand="0" w:evenHBand="0" w:firstRowFirstColumn="0" w:firstRowLastColumn="0" w:lastRowFirstColumn="0" w:lastRowLastColumn="0"/>
            <w:tcW w:w="1879" w:type="pct"/>
            <w:hideMark/>
          </w:tcPr>
          <w:p w14:paraId="1E7DE149" w14:textId="236B9D73"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14: Marrëveshja për blerje të energjisë elektrike</w:t>
            </w:r>
          </w:p>
        </w:tc>
        <w:tc>
          <w:tcPr>
            <w:tcW w:w="2353" w:type="pct"/>
            <w:vAlign w:val="center"/>
            <w:hideMark/>
          </w:tcPr>
          <w:p w14:paraId="2E44AFE7" w14:textId="77777777" w:rsidR="00587082" w:rsidRDefault="00944071"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rPr>
            </w:pPr>
            <w:r>
              <w:rPr>
                <w:rFonts w:asciiTheme="majorHAnsi" w:hAnsiTheme="majorHAnsi"/>
                <w:color w:val="000000"/>
                <w:sz w:val="18"/>
              </w:rPr>
              <w:t>Për ankandin solar:  investimi privat në rreth 75 mil. euro</w:t>
            </w:r>
            <w:r>
              <w:rPr>
                <w:rFonts w:asciiTheme="majorHAnsi" w:hAnsiTheme="majorHAnsi"/>
                <w:color w:val="000000"/>
                <w:sz w:val="18"/>
              </w:rPr>
              <w:br/>
            </w:r>
            <w:r>
              <w:rPr>
                <w:rFonts w:asciiTheme="majorHAnsi" w:hAnsiTheme="majorHAnsi"/>
                <w:color w:val="000000"/>
                <w:sz w:val="18"/>
              </w:rPr>
              <w:br/>
              <w:t>Për ankandin e erës:</w:t>
            </w:r>
            <w:r>
              <w:rPr>
                <w:rFonts w:asciiTheme="majorHAnsi" w:hAnsiTheme="majorHAnsi"/>
                <w:color w:val="000000"/>
                <w:sz w:val="18"/>
              </w:rPr>
              <w:br/>
              <w:t>- Investimi total: 270 mil. euro</w:t>
            </w:r>
            <w:r>
              <w:rPr>
                <w:rFonts w:asciiTheme="majorHAnsi" w:hAnsiTheme="majorHAnsi"/>
                <w:color w:val="000000"/>
                <w:sz w:val="18"/>
              </w:rPr>
              <w:br/>
              <w:t>- Deri në 80 mil. euro bashkë-investim kapital nga Qeveria e Kosovës</w:t>
            </w:r>
          </w:p>
          <w:p w14:paraId="5E38693C" w14:textId="4EEB2704" w:rsidR="00944071" w:rsidRPr="00306509" w:rsidRDefault="00944071"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br/>
              <w:t>(të dyja të përfshira në PM 11)</w:t>
            </w:r>
          </w:p>
        </w:tc>
        <w:tc>
          <w:tcPr>
            <w:tcW w:w="768" w:type="pct"/>
            <w:vAlign w:val="center"/>
            <w:hideMark/>
          </w:tcPr>
          <w:p w14:paraId="352A1A15" w14:textId="3DADFD8B" w:rsidR="00944071" w:rsidRPr="00306509" w:rsidRDefault="00944071"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944071" w:rsidRPr="00306509" w14:paraId="29894224" w14:textId="77777777" w:rsidTr="00C85EF4">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879" w:type="pct"/>
            <w:hideMark/>
          </w:tcPr>
          <w:p w14:paraId="0A05CEE3" w14:textId="4E61610F"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lastRenderedPageBreak/>
              <w:t>PM 15: Ankandet konkurruese për primet e furnizimit</w:t>
            </w:r>
          </w:p>
        </w:tc>
        <w:tc>
          <w:tcPr>
            <w:tcW w:w="2353" w:type="pct"/>
            <w:vAlign w:val="center"/>
            <w:hideMark/>
          </w:tcPr>
          <w:p w14:paraId="1BDEA279" w14:textId="058F9EF0" w:rsidR="00944071" w:rsidRPr="00306509" w:rsidRDefault="00944071"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Të përfshira në PM 14 dhe PM 11</w:t>
            </w:r>
          </w:p>
        </w:tc>
        <w:tc>
          <w:tcPr>
            <w:tcW w:w="768" w:type="pct"/>
            <w:vAlign w:val="center"/>
            <w:hideMark/>
          </w:tcPr>
          <w:p w14:paraId="470BC4CA" w14:textId="71D348D0" w:rsidR="00944071" w:rsidRPr="00306509" w:rsidRDefault="00944071"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944071" w:rsidRPr="00306509" w14:paraId="3E4D5F1A" w14:textId="77777777" w:rsidTr="00C85EF4">
        <w:trPr>
          <w:trHeight w:val="348"/>
        </w:trPr>
        <w:tc>
          <w:tcPr>
            <w:cnfStyle w:val="001000000000" w:firstRow="0" w:lastRow="0" w:firstColumn="1" w:lastColumn="0" w:oddVBand="0" w:evenVBand="0" w:oddHBand="0" w:evenHBand="0" w:firstRowFirstColumn="0" w:firstRowLastColumn="0" w:lastRowFirstColumn="0" w:lastRowLastColumn="0"/>
            <w:tcW w:w="1879" w:type="pct"/>
            <w:hideMark/>
          </w:tcPr>
          <w:p w14:paraId="11BB20DE" w14:textId="7E1986FF"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16: Certifikatat e origjinës për BER</w:t>
            </w:r>
          </w:p>
        </w:tc>
        <w:tc>
          <w:tcPr>
            <w:tcW w:w="2353" w:type="pct"/>
            <w:vAlign w:val="center"/>
            <w:hideMark/>
          </w:tcPr>
          <w:p w14:paraId="52E8AA8E" w14:textId="40669A8F" w:rsidR="00944071" w:rsidRPr="00306509" w:rsidRDefault="00B473ED"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Gjithsej 0.5 mil. euro</w:t>
            </w:r>
          </w:p>
        </w:tc>
        <w:tc>
          <w:tcPr>
            <w:tcW w:w="768" w:type="pct"/>
            <w:vAlign w:val="center"/>
            <w:hideMark/>
          </w:tcPr>
          <w:p w14:paraId="42E3F57C" w14:textId="70CCDD27" w:rsidR="00944071" w:rsidRPr="00306509" w:rsidRDefault="00944071"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944071" w:rsidRPr="00306509" w14:paraId="0EB4895F" w14:textId="77777777" w:rsidTr="00C85EF4">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879" w:type="pct"/>
            <w:hideMark/>
          </w:tcPr>
          <w:p w14:paraId="3946461B" w14:textId="697C2C98"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17: Mjedisi funksional për investitorët e BRE-ve</w:t>
            </w:r>
          </w:p>
        </w:tc>
        <w:tc>
          <w:tcPr>
            <w:tcW w:w="2353" w:type="pct"/>
            <w:vAlign w:val="center"/>
            <w:hideMark/>
          </w:tcPr>
          <w:p w14:paraId="57FC5598" w14:textId="43E5667E" w:rsidR="00944071" w:rsidRPr="00306509" w:rsidRDefault="00120F14"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Gjithsej 0.9 mil. EUR</w:t>
            </w:r>
          </w:p>
        </w:tc>
        <w:tc>
          <w:tcPr>
            <w:tcW w:w="768" w:type="pct"/>
            <w:vAlign w:val="center"/>
            <w:hideMark/>
          </w:tcPr>
          <w:p w14:paraId="066C959E" w14:textId="1ED3441E" w:rsidR="00944071" w:rsidRPr="00306509" w:rsidRDefault="00944071"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944071" w:rsidRPr="00306509" w14:paraId="04C7977A" w14:textId="77777777" w:rsidTr="00C85EF4">
        <w:trPr>
          <w:trHeight w:val="292"/>
        </w:trPr>
        <w:tc>
          <w:tcPr>
            <w:cnfStyle w:val="001000000000" w:firstRow="0" w:lastRow="0" w:firstColumn="1" w:lastColumn="0" w:oddVBand="0" w:evenVBand="0" w:oddHBand="0" w:evenHBand="0" w:firstRowFirstColumn="0" w:firstRowLastColumn="0" w:lastRowFirstColumn="0" w:lastRowLastColumn="0"/>
            <w:tcW w:w="1879" w:type="pct"/>
            <w:hideMark/>
          </w:tcPr>
          <w:p w14:paraId="3F06B31D" w14:textId="16455E94"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18: Skema e vetë-konsumimit</w:t>
            </w:r>
          </w:p>
        </w:tc>
        <w:tc>
          <w:tcPr>
            <w:tcW w:w="2353" w:type="pct"/>
            <w:vAlign w:val="center"/>
            <w:hideMark/>
          </w:tcPr>
          <w:p w14:paraId="7F1242D0" w14:textId="6E3E9B38" w:rsidR="001652AD" w:rsidRPr="00306509" w:rsidRDefault="00944071"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olor w:val="000000"/>
                <w:sz w:val="18"/>
              </w:rPr>
              <w:t xml:space="preserve">WEM: 87 mil. euro (përmbl. deri në vitin 2030) </w:t>
            </w:r>
            <w:r>
              <w:rPr>
                <w:rFonts w:asciiTheme="majorHAnsi" w:hAnsiTheme="majorHAnsi"/>
                <w:color w:val="000000"/>
                <w:sz w:val="18"/>
              </w:rPr>
              <w:br/>
              <w:t>WAM: 174 mil. euro (përmbl. deri në vitin 2030)</w:t>
            </w:r>
          </w:p>
        </w:tc>
        <w:tc>
          <w:tcPr>
            <w:tcW w:w="768" w:type="pct"/>
            <w:vAlign w:val="center"/>
            <w:hideMark/>
          </w:tcPr>
          <w:p w14:paraId="7A9A1940" w14:textId="4814EDBD" w:rsidR="00944071" w:rsidRPr="00306509" w:rsidRDefault="00944071"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WEM/WAM</w:t>
            </w:r>
          </w:p>
        </w:tc>
      </w:tr>
      <w:tr w:rsidR="00944071" w:rsidRPr="00306509" w14:paraId="4ECE1A39" w14:textId="77777777" w:rsidTr="00C85EF4">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879" w:type="pct"/>
          </w:tcPr>
          <w:p w14:paraId="2C669594" w14:textId="47CF7C30"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19: Komunitetet e energjisë së ripërtëritshme</w:t>
            </w:r>
          </w:p>
        </w:tc>
        <w:tc>
          <w:tcPr>
            <w:tcW w:w="2353" w:type="pct"/>
            <w:vAlign w:val="center"/>
          </w:tcPr>
          <w:p w14:paraId="76852B00" w14:textId="1920F33B" w:rsidR="00944071" w:rsidRPr="00306509" w:rsidRDefault="00944071"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Nuk zbatohet.</w:t>
            </w:r>
          </w:p>
        </w:tc>
        <w:tc>
          <w:tcPr>
            <w:tcW w:w="768" w:type="pct"/>
            <w:vAlign w:val="center"/>
          </w:tcPr>
          <w:p w14:paraId="6DCF8FD7" w14:textId="0B98C3F2" w:rsidR="00944071" w:rsidRPr="00306509" w:rsidRDefault="00944071"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 WEM</w:t>
            </w:r>
          </w:p>
        </w:tc>
      </w:tr>
      <w:tr w:rsidR="00944071" w:rsidRPr="00306509" w14:paraId="49A14607" w14:textId="77777777" w:rsidTr="00C85EF4">
        <w:trPr>
          <w:trHeight w:val="1338"/>
        </w:trPr>
        <w:tc>
          <w:tcPr>
            <w:cnfStyle w:val="001000000000" w:firstRow="0" w:lastRow="0" w:firstColumn="1" w:lastColumn="0" w:oddVBand="0" w:evenVBand="0" w:oddHBand="0" w:evenHBand="0" w:firstRowFirstColumn="0" w:firstRowLastColumn="0" w:lastRowFirstColumn="0" w:lastRowLastColumn="0"/>
            <w:tcW w:w="1879" w:type="pct"/>
            <w:hideMark/>
          </w:tcPr>
          <w:p w14:paraId="780AD418" w14:textId="7F9E0EA7"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20: Ngrohja qendrore solare</w:t>
            </w:r>
          </w:p>
        </w:tc>
        <w:tc>
          <w:tcPr>
            <w:tcW w:w="2353" w:type="pct"/>
            <w:vAlign w:val="center"/>
            <w:hideMark/>
          </w:tcPr>
          <w:p w14:paraId="1C20DDF0" w14:textId="6634E123" w:rsidR="00844413" w:rsidRPr="00306509" w:rsidRDefault="002B35CF"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rPr>
              <w:t xml:space="preserve">Gjithsej 60 mil. euro janë paraparë si për realizimin e projektit ashtu edhe për studimin e fizibilitetit, të paktën pjesërisht të financuar nga donatorët (WEM). </w:t>
            </w:r>
          </w:p>
          <w:p w14:paraId="5277A670" w14:textId="7C05A109" w:rsidR="00944071" w:rsidRPr="00306509" w:rsidRDefault="002B35CF"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sz w:val="18"/>
              </w:rPr>
              <w:t>Për WAM, 84 mil. euro janë paraparë për shkak të rritjes së kapaciteteve.</w:t>
            </w:r>
          </w:p>
        </w:tc>
        <w:tc>
          <w:tcPr>
            <w:tcW w:w="768" w:type="pct"/>
            <w:vAlign w:val="center"/>
            <w:hideMark/>
          </w:tcPr>
          <w:p w14:paraId="5338EB21" w14:textId="485EB903" w:rsidR="00944071" w:rsidRPr="00306509" w:rsidRDefault="00944071"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WEM/WAM</w:t>
            </w:r>
          </w:p>
        </w:tc>
      </w:tr>
      <w:tr w:rsidR="00944071" w:rsidRPr="00306509" w14:paraId="1FB4F4B9" w14:textId="77777777" w:rsidTr="00C85EF4">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1879" w:type="pct"/>
            <w:hideMark/>
          </w:tcPr>
          <w:p w14:paraId="4B0849BE" w14:textId="6F5A8AE6"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21: Studimi i fizibilitetit për zhvillimin e sistemeve të ngrohjes qendrore në tetë komuna të tjera</w:t>
            </w:r>
          </w:p>
        </w:tc>
        <w:tc>
          <w:tcPr>
            <w:tcW w:w="2353" w:type="pct"/>
            <w:vAlign w:val="center"/>
            <w:hideMark/>
          </w:tcPr>
          <w:p w14:paraId="1801D7A4" w14:textId="7F4C3C54" w:rsidR="00944071" w:rsidRPr="00306509" w:rsidRDefault="00944071"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Gjithsej 2.3 mil. euro (2022 – 2023), financuar nga donatorët.</w:t>
            </w:r>
          </w:p>
        </w:tc>
        <w:tc>
          <w:tcPr>
            <w:tcW w:w="768" w:type="pct"/>
            <w:vAlign w:val="center"/>
            <w:hideMark/>
          </w:tcPr>
          <w:p w14:paraId="19BA6B59" w14:textId="7A308E0E" w:rsidR="00944071" w:rsidRPr="00306509" w:rsidRDefault="00944071"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944071" w:rsidRPr="00306509" w14:paraId="53F76C5D" w14:textId="77777777" w:rsidTr="00C85EF4">
        <w:trPr>
          <w:trHeight w:val="583"/>
        </w:trPr>
        <w:tc>
          <w:tcPr>
            <w:cnfStyle w:val="001000000000" w:firstRow="0" w:lastRow="0" w:firstColumn="1" w:lastColumn="0" w:oddVBand="0" w:evenVBand="0" w:oddHBand="0" w:evenHBand="0" w:firstRowFirstColumn="0" w:firstRowLastColumn="0" w:lastRowFirstColumn="0" w:lastRowLastColumn="0"/>
            <w:tcW w:w="1879" w:type="pct"/>
            <w:hideMark/>
          </w:tcPr>
          <w:p w14:paraId="7C1D2A4E" w14:textId="62586FA6"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 xml:space="preserve">PM 22: Obligimi për efiçiencë të energjisë </w:t>
            </w:r>
          </w:p>
        </w:tc>
        <w:tc>
          <w:tcPr>
            <w:tcW w:w="2353" w:type="pct"/>
            <w:vAlign w:val="center"/>
            <w:hideMark/>
          </w:tcPr>
          <w:p w14:paraId="05ECEF05" w14:textId="1968FAE7" w:rsidR="00944071" w:rsidRPr="00306509" w:rsidRDefault="00925621"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Të përfshira në PM 24-25 dhe 32-33</w:t>
            </w:r>
          </w:p>
        </w:tc>
        <w:tc>
          <w:tcPr>
            <w:tcW w:w="768" w:type="pct"/>
            <w:vAlign w:val="center"/>
            <w:hideMark/>
          </w:tcPr>
          <w:p w14:paraId="6D9A4FE1" w14:textId="52AA8A20" w:rsidR="00944071" w:rsidRPr="00306509" w:rsidRDefault="00944071"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944071" w:rsidRPr="00306509" w14:paraId="2C8230DF" w14:textId="77777777" w:rsidTr="00C85EF4">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879" w:type="pct"/>
            <w:hideMark/>
          </w:tcPr>
          <w:p w14:paraId="56050EEA" w14:textId="2DBEE57D"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23: Strategjia Kombëtare për Rinovimin e Ndërtesave</w:t>
            </w:r>
          </w:p>
        </w:tc>
        <w:tc>
          <w:tcPr>
            <w:tcW w:w="2353" w:type="pct"/>
            <w:vAlign w:val="center"/>
            <w:hideMark/>
          </w:tcPr>
          <w:p w14:paraId="1B1A0CC3" w14:textId="1EC928D4" w:rsidR="00944071" w:rsidRPr="00306509" w:rsidRDefault="00944071"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 xml:space="preserve">Shih kostot e investimeve për klasat përkatëse të ndërtimit (PM 24-25 dhe PM 32-33). Për zhvillimin e strategjisë, pritet të ndahen 0.9 mil. euro për aktivitete mbështetëse. </w:t>
            </w:r>
          </w:p>
        </w:tc>
        <w:tc>
          <w:tcPr>
            <w:tcW w:w="768" w:type="pct"/>
            <w:vAlign w:val="center"/>
            <w:hideMark/>
          </w:tcPr>
          <w:p w14:paraId="516861F1" w14:textId="28938AF4" w:rsidR="00944071" w:rsidRPr="00306509" w:rsidRDefault="00944071"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944071" w:rsidRPr="00306509" w14:paraId="40ADC5FF" w14:textId="77777777" w:rsidTr="00C85EF4">
        <w:trPr>
          <w:trHeight w:val="583"/>
        </w:trPr>
        <w:tc>
          <w:tcPr>
            <w:cnfStyle w:val="001000000000" w:firstRow="0" w:lastRow="0" w:firstColumn="1" w:lastColumn="0" w:oddVBand="0" w:evenVBand="0" w:oddHBand="0" w:evenHBand="0" w:firstRowFirstColumn="0" w:firstRowLastColumn="0" w:lastRowFirstColumn="0" w:lastRowLastColumn="0"/>
            <w:tcW w:w="1879" w:type="pct"/>
            <w:hideMark/>
          </w:tcPr>
          <w:p w14:paraId="19999815" w14:textId="582233A2"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24: Rinovimi i ndërtesave rezidenciale</w:t>
            </w:r>
          </w:p>
        </w:tc>
        <w:tc>
          <w:tcPr>
            <w:tcW w:w="2353" w:type="pct"/>
            <w:vAlign w:val="center"/>
            <w:hideMark/>
          </w:tcPr>
          <w:p w14:paraId="346C1288" w14:textId="458DF3C7" w:rsidR="00944071" w:rsidRPr="00306509" w:rsidRDefault="00944071"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 31.79 mil. euro në vit (2024-2040)</w:t>
            </w:r>
            <w:r>
              <w:rPr>
                <w:rFonts w:asciiTheme="majorHAnsi" w:hAnsiTheme="majorHAnsi"/>
                <w:color w:val="000000"/>
                <w:sz w:val="18"/>
              </w:rPr>
              <w:br/>
              <w:t>WAM: 48.65 mil. euro në viti</w:t>
            </w:r>
          </w:p>
        </w:tc>
        <w:tc>
          <w:tcPr>
            <w:tcW w:w="768" w:type="pct"/>
            <w:vAlign w:val="center"/>
            <w:hideMark/>
          </w:tcPr>
          <w:p w14:paraId="310FA806" w14:textId="6FC0579E" w:rsidR="00944071" w:rsidRPr="00306509" w:rsidRDefault="00944071"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WEM/WAM</w:t>
            </w:r>
          </w:p>
        </w:tc>
      </w:tr>
      <w:tr w:rsidR="00944071" w:rsidRPr="00306509" w14:paraId="21D7E6D2" w14:textId="77777777" w:rsidTr="00C85EF4">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879" w:type="pct"/>
            <w:hideMark/>
          </w:tcPr>
          <w:p w14:paraId="65919CFA" w14:textId="78F38DD5"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25: Rinovimi i objekteve afariste</w:t>
            </w:r>
          </w:p>
        </w:tc>
        <w:tc>
          <w:tcPr>
            <w:tcW w:w="2353" w:type="pct"/>
            <w:vAlign w:val="center"/>
            <w:hideMark/>
          </w:tcPr>
          <w:p w14:paraId="1E401EC1" w14:textId="31722970" w:rsidR="00944071" w:rsidRPr="00306509" w:rsidRDefault="00944071"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olor w:val="000000"/>
                <w:sz w:val="18"/>
              </w:rPr>
              <w:t>WEM: 15.60 mil. euro në vit (2021-2023) dhe 14.74 milion euro në vit (2024-2040) /</w:t>
            </w:r>
            <w:r>
              <w:rPr>
                <w:rFonts w:asciiTheme="majorHAnsi" w:hAnsiTheme="majorHAnsi"/>
                <w:color w:val="000000"/>
                <w:sz w:val="18"/>
              </w:rPr>
              <w:br/>
              <w:t>WAM: 78.97 mil. euro në vit</w:t>
            </w:r>
          </w:p>
        </w:tc>
        <w:tc>
          <w:tcPr>
            <w:tcW w:w="768" w:type="pct"/>
            <w:vAlign w:val="center"/>
            <w:hideMark/>
          </w:tcPr>
          <w:p w14:paraId="1CE8963A" w14:textId="525D34AD" w:rsidR="00944071" w:rsidRPr="00306509" w:rsidRDefault="00944071"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WEM/WAM</w:t>
            </w:r>
          </w:p>
        </w:tc>
      </w:tr>
      <w:tr w:rsidR="00944071" w:rsidRPr="00306509" w14:paraId="4F104AC5" w14:textId="77777777" w:rsidTr="00C85EF4">
        <w:trPr>
          <w:trHeight w:val="583"/>
        </w:trPr>
        <w:tc>
          <w:tcPr>
            <w:cnfStyle w:val="001000000000" w:firstRow="0" w:lastRow="0" w:firstColumn="1" w:lastColumn="0" w:oddVBand="0" w:evenVBand="0" w:oddHBand="0" w:evenHBand="0" w:firstRowFirstColumn="0" w:firstRowLastColumn="0" w:lastRowFirstColumn="0" w:lastRowLastColumn="0"/>
            <w:tcW w:w="1879" w:type="pct"/>
            <w:hideMark/>
          </w:tcPr>
          <w:p w14:paraId="72BEBF28" w14:textId="1EBA791A"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26: Instalimi i kolektorëve termikë solarë në sektorin rezidencial</w:t>
            </w:r>
          </w:p>
        </w:tc>
        <w:tc>
          <w:tcPr>
            <w:tcW w:w="2353" w:type="pct"/>
            <w:vAlign w:val="center"/>
            <w:hideMark/>
          </w:tcPr>
          <w:p w14:paraId="1AB85C91" w14:textId="15145994" w:rsidR="00944071" w:rsidRPr="00306509" w:rsidRDefault="00944071"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 2.42 mil. euro në vit (2021-2023) dhe 2.28 mil. euro në vit (2024-2040)</w:t>
            </w:r>
            <w:r>
              <w:rPr>
                <w:rFonts w:asciiTheme="majorHAnsi" w:hAnsiTheme="majorHAnsi"/>
                <w:color w:val="000000"/>
                <w:sz w:val="18"/>
              </w:rPr>
              <w:br/>
              <w:t>WAM:  2.42 mil. euro në vit (2021-2023) dhe 3.74 mil. euro në vit (2024-2040)</w:t>
            </w:r>
          </w:p>
        </w:tc>
        <w:tc>
          <w:tcPr>
            <w:tcW w:w="768" w:type="pct"/>
            <w:vAlign w:val="center"/>
            <w:hideMark/>
          </w:tcPr>
          <w:p w14:paraId="2DC3E40B" w14:textId="2402D38C" w:rsidR="00944071" w:rsidRPr="00306509" w:rsidRDefault="00944071"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WEM/WAM</w:t>
            </w:r>
          </w:p>
        </w:tc>
      </w:tr>
      <w:tr w:rsidR="00944071" w:rsidRPr="00306509" w14:paraId="121E0EC3" w14:textId="77777777" w:rsidTr="00C85EF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879" w:type="pct"/>
            <w:hideMark/>
          </w:tcPr>
          <w:p w14:paraId="3F113A10" w14:textId="7C8AA59D"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27: Ndërtesat me konsum afër zero energji</w:t>
            </w:r>
          </w:p>
        </w:tc>
        <w:tc>
          <w:tcPr>
            <w:tcW w:w="2353" w:type="pct"/>
            <w:vAlign w:val="center"/>
            <w:hideMark/>
          </w:tcPr>
          <w:p w14:paraId="12ED5121" w14:textId="53841988" w:rsidR="00944071" w:rsidRPr="00306509" w:rsidRDefault="00944071"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 60 mil. euro WAM: n/a</w:t>
            </w:r>
          </w:p>
        </w:tc>
        <w:tc>
          <w:tcPr>
            <w:tcW w:w="768" w:type="pct"/>
            <w:vAlign w:val="center"/>
            <w:hideMark/>
          </w:tcPr>
          <w:p w14:paraId="354E263F" w14:textId="04C2E619" w:rsidR="00944071" w:rsidRPr="00306509" w:rsidRDefault="00944071"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WEM/WAM</w:t>
            </w:r>
          </w:p>
        </w:tc>
      </w:tr>
      <w:tr w:rsidR="00944071" w:rsidRPr="00306509" w14:paraId="79897078" w14:textId="77777777" w:rsidTr="00C85EF4">
        <w:trPr>
          <w:trHeight w:val="292"/>
        </w:trPr>
        <w:tc>
          <w:tcPr>
            <w:cnfStyle w:val="001000000000" w:firstRow="0" w:lastRow="0" w:firstColumn="1" w:lastColumn="0" w:oddVBand="0" w:evenVBand="0" w:oddHBand="0" w:evenHBand="0" w:firstRowFirstColumn="0" w:firstRowLastColumn="0" w:lastRowFirstColumn="0" w:lastRowLastColumn="0"/>
            <w:tcW w:w="1879" w:type="pct"/>
            <w:hideMark/>
          </w:tcPr>
          <w:p w14:paraId="26291A72" w14:textId="239B87B4"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28: Certifikimi energjetik i ndërtesave</w:t>
            </w:r>
          </w:p>
        </w:tc>
        <w:tc>
          <w:tcPr>
            <w:tcW w:w="2353" w:type="pct"/>
            <w:vAlign w:val="center"/>
            <w:hideMark/>
          </w:tcPr>
          <w:p w14:paraId="11E84575" w14:textId="106F0A24" w:rsidR="00944071" w:rsidRPr="00306509" w:rsidRDefault="00944071"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0.26 mil. euro (deri në vitin 2025)</w:t>
            </w:r>
          </w:p>
        </w:tc>
        <w:tc>
          <w:tcPr>
            <w:tcW w:w="768" w:type="pct"/>
            <w:vAlign w:val="center"/>
            <w:hideMark/>
          </w:tcPr>
          <w:p w14:paraId="16BD5C45" w14:textId="729F4DE8" w:rsidR="00944071" w:rsidRPr="00306509" w:rsidRDefault="00944071"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944071" w:rsidRPr="00306509" w14:paraId="1C82482F" w14:textId="77777777" w:rsidTr="00C85EF4">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879" w:type="pct"/>
            <w:hideMark/>
          </w:tcPr>
          <w:p w14:paraId="28ACAEA5" w14:textId="5FA7C48E"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29: Inspektimi i sistemeve të ngrohjes, ftohjes dhe ventilimit</w:t>
            </w:r>
          </w:p>
        </w:tc>
        <w:tc>
          <w:tcPr>
            <w:tcW w:w="2353" w:type="pct"/>
            <w:vAlign w:val="center"/>
            <w:hideMark/>
          </w:tcPr>
          <w:p w14:paraId="03B4BDF2" w14:textId="7B8D2073" w:rsidR="00944071" w:rsidRPr="00306509" w:rsidRDefault="000A0ADB"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Gjithsej 0.6 mil. euro deri në vitin 2030</w:t>
            </w:r>
          </w:p>
        </w:tc>
        <w:tc>
          <w:tcPr>
            <w:tcW w:w="768" w:type="pct"/>
            <w:vAlign w:val="center"/>
            <w:hideMark/>
          </w:tcPr>
          <w:p w14:paraId="47E7A3C3" w14:textId="7DF3D612" w:rsidR="00944071" w:rsidRPr="00306509" w:rsidRDefault="00944071"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944071" w:rsidRPr="00306509" w14:paraId="2A86A460" w14:textId="77777777" w:rsidTr="00C85EF4">
        <w:trPr>
          <w:trHeight w:val="292"/>
        </w:trPr>
        <w:tc>
          <w:tcPr>
            <w:cnfStyle w:val="001000000000" w:firstRow="0" w:lastRow="0" w:firstColumn="1" w:lastColumn="0" w:oddVBand="0" w:evenVBand="0" w:oddHBand="0" w:evenHBand="0" w:firstRowFirstColumn="0" w:firstRowLastColumn="0" w:lastRowFirstColumn="0" w:lastRowLastColumn="0"/>
            <w:tcW w:w="1879" w:type="pct"/>
            <w:hideMark/>
          </w:tcPr>
          <w:p w14:paraId="4D17EC78" w14:textId="3F004CC8"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30: Kompanitë e Shërbimeve të Energjisë (KSHE)</w:t>
            </w:r>
          </w:p>
        </w:tc>
        <w:tc>
          <w:tcPr>
            <w:tcW w:w="2353" w:type="pct"/>
            <w:vAlign w:val="center"/>
            <w:hideMark/>
          </w:tcPr>
          <w:p w14:paraId="29D796AE" w14:textId="6D8669FF" w:rsidR="00944071" w:rsidRPr="00306509" w:rsidRDefault="006D7A64"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Nuk zbatohet.</w:t>
            </w:r>
          </w:p>
        </w:tc>
        <w:tc>
          <w:tcPr>
            <w:tcW w:w="768" w:type="pct"/>
            <w:vAlign w:val="center"/>
            <w:hideMark/>
          </w:tcPr>
          <w:p w14:paraId="4EBC57F1" w14:textId="6D6B1B96" w:rsidR="00944071" w:rsidRPr="00306509" w:rsidRDefault="00944071"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944071" w:rsidRPr="00306509" w14:paraId="1261F6E7" w14:textId="77777777" w:rsidTr="00C85EF4">
        <w:trPr>
          <w:cnfStyle w:val="000000100000" w:firstRow="0" w:lastRow="0" w:firstColumn="0" w:lastColumn="0" w:oddVBand="0" w:evenVBand="0" w:oddHBand="1" w:evenHBand="0" w:firstRowFirstColumn="0" w:firstRowLastColumn="0" w:lastRowFirstColumn="0" w:lastRowLastColumn="0"/>
          <w:trHeight w:val="1041"/>
        </w:trPr>
        <w:tc>
          <w:tcPr>
            <w:cnfStyle w:val="001000000000" w:firstRow="0" w:lastRow="0" w:firstColumn="1" w:lastColumn="0" w:oddVBand="0" w:evenVBand="0" w:oddHBand="0" w:evenHBand="0" w:firstRowFirstColumn="0" w:firstRowLastColumn="0" w:lastRowFirstColumn="0" w:lastRowLastColumn="0"/>
            <w:tcW w:w="1879" w:type="pct"/>
            <w:hideMark/>
          </w:tcPr>
          <w:p w14:paraId="0A5CB8F7" w14:textId="35BF2C01"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31: Përmirësimi dhe zgjerimi i sistemeve të ngrohjes qendrore të “Termokosit” në Prishtinë dhe ngrohtores në Gjakovë</w:t>
            </w:r>
          </w:p>
        </w:tc>
        <w:tc>
          <w:tcPr>
            <w:tcW w:w="2353" w:type="pct"/>
            <w:vAlign w:val="center"/>
            <w:hideMark/>
          </w:tcPr>
          <w:p w14:paraId="22309727" w14:textId="400F341A" w:rsidR="00944071" w:rsidRPr="00306509" w:rsidRDefault="00944071"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Gjithsej 47 mil. euro janë paraparë për promovimin dhe zgjerimin e sistemeve ekzistuese të NQ-së në Kosovë, të financuara nga donatorët dhe komunat përkatëse.</w:t>
            </w:r>
          </w:p>
        </w:tc>
        <w:tc>
          <w:tcPr>
            <w:tcW w:w="768" w:type="pct"/>
            <w:vAlign w:val="center"/>
            <w:hideMark/>
          </w:tcPr>
          <w:p w14:paraId="3D236838" w14:textId="2211DF88" w:rsidR="00944071" w:rsidRPr="00306509" w:rsidRDefault="00944071"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944071" w:rsidRPr="00306509" w14:paraId="100CA4CC" w14:textId="77777777" w:rsidTr="00C85EF4">
        <w:trPr>
          <w:trHeight w:val="583"/>
        </w:trPr>
        <w:tc>
          <w:tcPr>
            <w:cnfStyle w:val="001000000000" w:firstRow="0" w:lastRow="0" w:firstColumn="1" w:lastColumn="0" w:oddVBand="0" w:evenVBand="0" w:oddHBand="0" w:evenHBand="0" w:firstRowFirstColumn="0" w:firstRowLastColumn="0" w:lastRowFirstColumn="0" w:lastRowLastColumn="0"/>
            <w:tcW w:w="1879" w:type="pct"/>
            <w:hideMark/>
          </w:tcPr>
          <w:p w14:paraId="5349A521" w14:textId="03F94FE2"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32: Rinovimi i ndërtesave të qeverisë qendrore</w:t>
            </w:r>
          </w:p>
        </w:tc>
        <w:tc>
          <w:tcPr>
            <w:tcW w:w="2353" w:type="pct"/>
            <w:vAlign w:val="center"/>
            <w:hideMark/>
          </w:tcPr>
          <w:p w14:paraId="4B50B915" w14:textId="378E2130" w:rsidR="00944071" w:rsidRPr="00306509" w:rsidRDefault="00944071"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1.69 mil. euro në vit (2021-2023) dhe 5.04 mil. euro në vit (2024-2040)</w:t>
            </w:r>
          </w:p>
        </w:tc>
        <w:tc>
          <w:tcPr>
            <w:tcW w:w="768" w:type="pct"/>
            <w:vAlign w:val="center"/>
            <w:hideMark/>
          </w:tcPr>
          <w:p w14:paraId="72D92927" w14:textId="0468A701" w:rsidR="00944071" w:rsidRPr="00306509" w:rsidRDefault="00944071"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944071" w:rsidRPr="00306509" w14:paraId="2384816E" w14:textId="77777777" w:rsidTr="00C85EF4">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879" w:type="pct"/>
            <w:hideMark/>
          </w:tcPr>
          <w:p w14:paraId="501AE1AD" w14:textId="019AA1F9"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33: Rinovimi i ndërtesave publik</w:t>
            </w:r>
          </w:p>
        </w:tc>
        <w:tc>
          <w:tcPr>
            <w:tcW w:w="2353" w:type="pct"/>
            <w:vAlign w:val="center"/>
            <w:hideMark/>
          </w:tcPr>
          <w:p w14:paraId="32509333" w14:textId="629BF9F7" w:rsidR="00944071" w:rsidRPr="00306509" w:rsidRDefault="00944071"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4.86 mil. euro në vit (2024-2040)</w:t>
            </w:r>
          </w:p>
        </w:tc>
        <w:tc>
          <w:tcPr>
            <w:tcW w:w="768" w:type="pct"/>
            <w:vAlign w:val="center"/>
            <w:hideMark/>
          </w:tcPr>
          <w:p w14:paraId="582BCDD6" w14:textId="59B2172C" w:rsidR="00944071" w:rsidRPr="00306509" w:rsidRDefault="00944071"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944071" w:rsidRPr="00306509" w14:paraId="30E64468" w14:textId="77777777" w:rsidTr="00C85EF4">
        <w:trPr>
          <w:trHeight w:val="292"/>
        </w:trPr>
        <w:tc>
          <w:tcPr>
            <w:cnfStyle w:val="001000000000" w:firstRow="0" w:lastRow="0" w:firstColumn="1" w:lastColumn="0" w:oddVBand="0" w:evenVBand="0" w:oddHBand="0" w:evenHBand="0" w:firstRowFirstColumn="0" w:firstRowLastColumn="0" w:lastRowFirstColumn="0" w:lastRowLastColumn="0"/>
            <w:tcW w:w="1879" w:type="pct"/>
            <w:hideMark/>
          </w:tcPr>
          <w:p w14:paraId="2D662803" w14:textId="7287B8C4"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34: Prokurimi publik i gjelbër</w:t>
            </w:r>
          </w:p>
        </w:tc>
        <w:tc>
          <w:tcPr>
            <w:tcW w:w="2353" w:type="pct"/>
            <w:vAlign w:val="center"/>
            <w:hideMark/>
          </w:tcPr>
          <w:p w14:paraId="4319C6C4" w14:textId="75829A98" w:rsidR="00944071" w:rsidRPr="00306509" w:rsidRDefault="00944071"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Nuk zbatohet.</w:t>
            </w:r>
          </w:p>
        </w:tc>
        <w:tc>
          <w:tcPr>
            <w:tcW w:w="768" w:type="pct"/>
            <w:vAlign w:val="center"/>
            <w:hideMark/>
          </w:tcPr>
          <w:p w14:paraId="4EEB3893" w14:textId="50F8B890" w:rsidR="00944071" w:rsidRPr="00306509" w:rsidRDefault="00944071"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944071" w:rsidRPr="00306509" w14:paraId="1FAE564C" w14:textId="77777777" w:rsidTr="00C85EF4">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879" w:type="pct"/>
            <w:hideMark/>
          </w:tcPr>
          <w:p w14:paraId="0CDB1DEE" w14:textId="2AFF82BC"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35: Auditimi i energjisë dhe sistemeve të menaxhimit</w:t>
            </w:r>
          </w:p>
        </w:tc>
        <w:tc>
          <w:tcPr>
            <w:tcW w:w="2353" w:type="pct"/>
            <w:vAlign w:val="center"/>
            <w:hideMark/>
          </w:tcPr>
          <w:p w14:paraId="4D17E643" w14:textId="3F8DFF05" w:rsidR="00944071" w:rsidRPr="00306509" w:rsidRDefault="00082E89"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Gjithsej 0.35 mil. Euro deri në vitin 2030</w:t>
            </w:r>
          </w:p>
        </w:tc>
        <w:tc>
          <w:tcPr>
            <w:tcW w:w="768" w:type="pct"/>
            <w:vAlign w:val="center"/>
            <w:hideMark/>
          </w:tcPr>
          <w:p w14:paraId="28E97806" w14:textId="06817172" w:rsidR="00944071" w:rsidRPr="00306509" w:rsidRDefault="00944071"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944071" w:rsidRPr="00306509" w14:paraId="05C6940A" w14:textId="77777777" w:rsidTr="00C85EF4">
        <w:trPr>
          <w:trHeight w:val="292"/>
        </w:trPr>
        <w:tc>
          <w:tcPr>
            <w:cnfStyle w:val="001000000000" w:firstRow="0" w:lastRow="0" w:firstColumn="1" w:lastColumn="0" w:oddVBand="0" w:evenVBand="0" w:oddHBand="0" w:evenHBand="0" w:firstRowFirstColumn="0" w:firstRowLastColumn="0" w:lastRowFirstColumn="0" w:lastRowLastColumn="0"/>
            <w:tcW w:w="1879" w:type="pct"/>
            <w:hideMark/>
          </w:tcPr>
          <w:p w14:paraId="7E316C76" w14:textId="70581435"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36: Fushata për efiçiencë të energjisë</w:t>
            </w:r>
          </w:p>
        </w:tc>
        <w:tc>
          <w:tcPr>
            <w:tcW w:w="2353" w:type="pct"/>
            <w:vAlign w:val="center"/>
            <w:hideMark/>
          </w:tcPr>
          <w:p w14:paraId="491AD650" w14:textId="589D553F" w:rsidR="00944071" w:rsidRPr="00306509" w:rsidRDefault="002868B4"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Rreth 0.34 mil. EUR</w:t>
            </w:r>
          </w:p>
        </w:tc>
        <w:tc>
          <w:tcPr>
            <w:tcW w:w="768" w:type="pct"/>
            <w:vAlign w:val="center"/>
            <w:hideMark/>
          </w:tcPr>
          <w:p w14:paraId="259CA730" w14:textId="0BEAE3BF" w:rsidR="00944071" w:rsidRPr="00306509" w:rsidRDefault="00944071"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944071" w:rsidRPr="00306509" w14:paraId="0A253809" w14:textId="77777777" w:rsidTr="00C85EF4">
        <w:trPr>
          <w:cnfStyle w:val="000000100000" w:firstRow="0" w:lastRow="0" w:firstColumn="0" w:lastColumn="0" w:oddVBand="0" w:evenVBand="0" w:oddHBand="1" w:evenHBand="0" w:firstRowFirstColumn="0" w:firstRowLastColumn="0" w:lastRowFirstColumn="0" w:lastRowLastColumn="0"/>
          <w:trHeight w:val="1167"/>
        </w:trPr>
        <w:tc>
          <w:tcPr>
            <w:cnfStyle w:val="001000000000" w:firstRow="0" w:lastRow="0" w:firstColumn="1" w:lastColumn="0" w:oddVBand="0" w:evenVBand="0" w:oddHBand="0" w:evenHBand="0" w:firstRowFirstColumn="0" w:firstRowLastColumn="0" w:lastRowFirstColumn="0" w:lastRowLastColumn="0"/>
            <w:tcW w:w="1879" w:type="pct"/>
            <w:hideMark/>
          </w:tcPr>
          <w:p w14:paraId="2E29EE91" w14:textId="33F30C1E" w:rsidR="00944071" w:rsidRPr="00306509" w:rsidRDefault="00944071"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lastRenderedPageBreak/>
              <w:t>PM 37: Rritja e përdorimit të teknologjive efiçiente në sektorin rezidencial</w:t>
            </w:r>
          </w:p>
        </w:tc>
        <w:tc>
          <w:tcPr>
            <w:tcW w:w="2353" w:type="pct"/>
            <w:vAlign w:val="center"/>
            <w:hideMark/>
          </w:tcPr>
          <w:p w14:paraId="19B20D97" w14:textId="568B961D" w:rsidR="00944071" w:rsidRPr="00306509" w:rsidRDefault="00944071"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Pompat e nxehtësisë: 5.94 mil. euro në vit (2021-2023) dhe 5.65 mil. euro në vit (2024-2040) Stufa më efiçiente me biomasë: 1.02 mil. euro në vit (2021-2023) dhe 1.00 mil. euro në vit (2024-2040).</w:t>
            </w:r>
          </w:p>
        </w:tc>
        <w:tc>
          <w:tcPr>
            <w:tcW w:w="768" w:type="pct"/>
            <w:vAlign w:val="center"/>
            <w:hideMark/>
          </w:tcPr>
          <w:p w14:paraId="5EC01652" w14:textId="47074B42" w:rsidR="00944071" w:rsidRPr="00306509" w:rsidRDefault="00944071"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WAM</w:t>
            </w:r>
          </w:p>
        </w:tc>
      </w:tr>
      <w:tr w:rsidR="00153D35" w:rsidRPr="00306509" w14:paraId="33A81578" w14:textId="77777777" w:rsidTr="00C85EF4">
        <w:trPr>
          <w:trHeight w:val="528"/>
        </w:trPr>
        <w:tc>
          <w:tcPr>
            <w:cnfStyle w:val="001000000000" w:firstRow="0" w:lastRow="0" w:firstColumn="1" w:lastColumn="0" w:oddVBand="0" w:evenVBand="0" w:oddHBand="0" w:evenHBand="0" w:firstRowFirstColumn="0" w:firstRowLastColumn="0" w:lastRowFirstColumn="0" w:lastRowLastColumn="0"/>
            <w:tcW w:w="1879" w:type="pct"/>
            <w:hideMark/>
          </w:tcPr>
          <w:p w14:paraId="50E3687E" w14:textId="31928432" w:rsidR="00153D35" w:rsidRPr="00306509" w:rsidRDefault="00153D35"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38: Masat e efiçiencës së energjisë në industri</w:t>
            </w:r>
          </w:p>
        </w:tc>
        <w:tc>
          <w:tcPr>
            <w:tcW w:w="2353" w:type="pct"/>
            <w:vAlign w:val="center"/>
            <w:hideMark/>
          </w:tcPr>
          <w:p w14:paraId="3F2C7E98" w14:textId="68E9E6E5" w:rsidR="00153D35" w:rsidRPr="00306509" w:rsidRDefault="00DA7A6C"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1 mil. euro, nevoja shtesë N.A</w:t>
            </w:r>
          </w:p>
        </w:tc>
        <w:tc>
          <w:tcPr>
            <w:tcW w:w="768" w:type="pct"/>
            <w:vAlign w:val="center"/>
            <w:hideMark/>
          </w:tcPr>
          <w:p w14:paraId="29015860" w14:textId="5EDBCB42" w:rsidR="00153D35" w:rsidRPr="00306509" w:rsidRDefault="00153D35"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153D35" w:rsidRPr="00306509" w14:paraId="483E283B" w14:textId="77777777" w:rsidTr="00C85EF4">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79" w:type="pct"/>
            <w:hideMark/>
          </w:tcPr>
          <w:p w14:paraId="524C7815" w14:textId="5EFDCBE8" w:rsidR="00153D35" w:rsidRPr="00306509" w:rsidRDefault="00153D35"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39: Rritja e përdorimit të hekurudhave përmes modernizimit dhe rehabilitimit të linjave hekurudhore</w:t>
            </w:r>
          </w:p>
        </w:tc>
        <w:tc>
          <w:tcPr>
            <w:tcW w:w="2353" w:type="pct"/>
            <w:vAlign w:val="center"/>
            <w:hideMark/>
          </w:tcPr>
          <w:p w14:paraId="5AA78F26" w14:textId="61BE11E0" w:rsidR="00153D35" w:rsidRPr="00306509" w:rsidRDefault="00E06870"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sz w:val="18"/>
              </w:rPr>
              <w:t>Gjithsej 880.4 mil. euro. (40 mil. euro kredi nga BERZH, 80 mil. euro kredi nga BEI dhe 130 mil. euro grant nga WBIF, 55.8 mil. euro nga MMPHI).</w:t>
            </w:r>
          </w:p>
        </w:tc>
        <w:tc>
          <w:tcPr>
            <w:tcW w:w="768" w:type="pct"/>
            <w:vAlign w:val="center"/>
            <w:hideMark/>
          </w:tcPr>
          <w:p w14:paraId="692B969E" w14:textId="3CB6B754" w:rsidR="00153D35" w:rsidRPr="00306509" w:rsidRDefault="00153D35"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WEM/WAM</w:t>
            </w:r>
          </w:p>
        </w:tc>
      </w:tr>
      <w:tr w:rsidR="007A3E4F" w:rsidRPr="00306509" w14:paraId="024A4AF3" w14:textId="77777777" w:rsidTr="00C85EF4">
        <w:trPr>
          <w:trHeight w:val="708"/>
        </w:trPr>
        <w:tc>
          <w:tcPr>
            <w:cnfStyle w:val="001000000000" w:firstRow="0" w:lastRow="0" w:firstColumn="1" w:lastColumn="0" w:oddVBand="0" w:evenVBand="0" w:oddHBand="0" w:evenHBand="0" w:firstRowFirstColumn="0" w:firstRowLastColumn="0" w:lastRowFirstColumn="0" w:lastRowLastColumn="0"/>
            <w:tcW w:w="1879" w:type="pct"/>
            <w:vAlign w:val="center"/>
          </w:tcPr>
          <w:p w14:paraId="5CC41463" w14:textId="76263004" w:rsidR="007A3E4F" w:rsidRPr="00306509" w:rsidRDefault="007A3E4F" w:rsidP="007A3E4F">
            <w:pPr>
              <w:spacing w:before="0" w:after="0" w:line="240" w:lineRule="auto"/>
              <w:jc w:val="left"/>
              <w:rPr>
                <w:rFonts w:asciiTheme="majorHAnsi" w:hAnsiTheme="majorHAnsi" w:cstheme="majorHAnsi"/>
                <w:color w:val="FFFFFF" w:themeColor="background1"/>
                <w:sz w:val="18"/>
                <w:szCs w:val="18"/>
              </w:rPr>
            </w:pPr>
            <w:r>
              <w:rPr>
                <w:color w:val="FFFFFF" w:themeColor="background1"/>
                <w:sz w:val="18"/>
              </w:rPr>
              <w:t>PM 40: Digjitalizimi i sistemeve të transportit dhe zbatimi i ITS-së në Rrjetin Kryesor të TEN-T në Kosovë</w:t>
            </w:r>
          </w:p>
        </w:tc>
        <w:tc>
          <w:tcPr>
            <w:tcW w:w="2353" w:type="pct"/>
            <w:vAlign w:val="center"/>
          </w:tcPr>
          <w:p w14:paraId="694EF85F" w14:textId="05D64CA2" w:rsidR="007A3E4F" w:rsidRPr="00306509" w:rsidRDefault="009E3529" w:rsidP="007A3E4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olor w:val="000000"/>
                <w:sz w:val="18"/>
              </w:rPr>
              <w:t>Nuk zbatohet.</w:t>
            </w:r>
          </w:p>
        </w:tc>
        <w:tc>
          <w:tcPr>
            <w:tcW w:w="768" w:type="pct"/>
            <w:vAlign w:val="center"/>
          </w:tcPr>
          <w:p w14:paraId="159B4F9F" w14:textId="71537FF7" w:rsidR="007A3E4F" w:rsidRPr="00306509" w:rsidRDefault="004046C2" w:rsidP="007A3E4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olor w:val="000000"/>
                <w:sz w:val="18"/>
              </w:rPr>
              <w:t>WEM</w:t>
            </w:r>
          </w:p>
        </w:tc>
      </w:tr>
      <w:tr w:rsidR="00153D35" w:rsidRPr="00306509" w14:paraId="249B01D2" w14:textId="77777777" w:rsidTr="00C85EF4">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879" w:type="pct"/>
            <w:hideMark/>
          </w:tcPr>
          <w:p w14:paraId="139A2A71" w14:textId="6592134C" w:rsidR="00153D35" w:rsidRPr="00306509" w:rsidRDefault="00153D35"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41: Elektrifikimi i hekurudhave</w:t>
            </w:r>
          </w:p>
        </w:tc>
        <w:tc>
          <w:tcPr>
            <w:tcW w:w="2353" w:type="pct"/>
            <w:vAlign w:val="center"/>
            <w:hideMark/>
          </w:tcPr>
          <w:p w14:paraId="1C5ADDB6" w14:textId="1A8E4F67" w:rsidR="00153D35" w:rsidRPr="00306509" w:rsidRDefault="00E64072"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Gjithsej 98 mil. EUR.</w:t>
            </w:r>
          </w:p>
        </w:tc>
        <w:tc>
          <w:tcPr>
            <w:tcW w:w="768" w:type="pct"/>
            <w:vAlign w:val="center"/>
            <w:hideMark/>
          </w:tcPr>
          <w:p w14:paraId="64F84C7B" w14:textId="7523505D" w:rsidR="00153D35" w:rsidRPr="00306509" w:rsidRDefault="00153D35"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WEM/WAM</w:t>
            </w:r>
          </w:p>
        </w:tc>
      </w:tr>
      <w:tr w:rsidR="00153D35" w:rsidRPr="00306509" w14:paraId="5823BB73" w14:textId="77777777" w:rsidTr="00C85EF4">
        <w:trPr>
          <w:trHeight w:val="583"/>
        </w:trPr>
        <w:tc>
          <w:tcPr>
            <w:cnfStyle w:val="001000000000" w:firstRow="0" w:lastRow="0" w:firstColumn="1" w:lastColumn="0" w:oddVBand="0" w:evenVBand="0" w:oddHBand="0" w:evenHBand="0" w:firstRowFirstColumn="0" w:firstRowLastColumn="0" w:lastRowFirstColumn="0" w:lastRowLastColumn="0"/>
            <w:tcW w:w="1879" w:type="pct"/>
            <w:hideMark/>
          </w:tcPr>
          <w:p w14:paraId="69A1A7C8" w14:textId="231E8C5B" w:rsidR="00153D35" w:rsidRPr="00306509" w:rsidRDefault="00153D35"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42: Rritja e pjesëmarrjes së automjeteve me karburant alternativ</w:t>
            </w:r>
          </w:p>
        </w:tc>
        <w:tc>
          <w:tcPr>
            <w:tcW w:w="2353" w:type="pct"/>
            <w:vAlign w:val="center"/>
            <w:hideMark/>
          </w:tcPr>
          <w:p w14:paraId="79AEA355" w14:textId="4370D28B" w:rsidR="00153D35" w:rsidRPr="00306509" w:rsidRDefault="00A4524E"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Theme="majorHAnsi" w:hAnsiTheme="majorHAnsi"/>
                <w:color w:val="000000"/>
                <w:sz w:val="18"/>
              </w:rPr>
              <w:t>Rreth</w:t>
            </w:r>
            <w:r>
              <w:rPr>
                <w:sz w:val="18"/>
              </w:rPr>
              <w:t xml:space="preserve"> 69.9 mil. EUR</w:t>
            </w:r>
          </w:p>
        </w:tc>
        <w:tc>
          <w:tcPr>
            <w:tcW w:w="768" w:type="pct"/>
            <w:vAlign w:val="center"/>
            <w:hideMark/>
          </w:tcPr>
          <w:p w14:paraId="3BBCE180" w14:textId="29A74736" w:rsidR="00153D35" w:rsidRPr="00306509" w:rsidRDefault="00153D35"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WEM/WAM</w:t>
            </w:r>
          </w:p>
        </w:tc>
      </w:tr>
      <w:tr w:rsidR="00153D35" w:rsidRPr="00306509" w14:paraId="0D623EE4" w14:textId="77777777" w:rsidTr="00C85EF4">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879" w:type="pct"/>
            <w:hideMark/>
          </w:tcPr>
          <w:p w14:paraId="6DDAFD59" w14:textId="73D0E0C7" w:rsidR="00153D35" w:rsidRPr="00306509" w:rsidRDefault="00153D35"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43: Ndryshimi i flotës së automjeteve</w:t>
            </w:r>
          </w:p>
        </w:tc>
        <w:tc>
          <w:tcPr>
            <w:tcW w:w="2353" w:type="pct"/>
            <w:vAlign w:val="center"/>
            <w:hideMark/>
          </w:tcPr>
          <w:p w14:paraId="05361F9E" w14:textId="4822B9A9" w:rsidR="00153D35" w:rsidRPr="00306509" w:rsidRDefault="002F59B5"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Nuk zbatohet.</w:t>
            </w:r>
          </w:p>
        </w:tc>
        <w:tc>
          <w:tcPr>
            <w:tcW w:w="768" w:type="pct"/>
            <w:vAlign w:val="center"/>
            <w:hideMark/>
          </w:tcPr>
          <w:p w14:paraId="0867B39D" w14:textId="2ADD7BB1" w:rsidR="00153D35" w:rsidRPr="00306509" w:rsidRDefault="00153D35"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153D35" w:rsidRPr="00306509" w14:paraId="67CA0DBB" w14:textId="77777777" w:rsidTr="00C85EF4">
        <w:trPr>
          <w:trHeight w:val="583"/>
        </w:trPr>
        <w:tc>
          <w:tcPr>
            <w:cnfStyle w:val="001000000000" w:firstRow="0" w:lastRow="0" w:firstColumn="1" w:lastColumn="0" w:oddVBand="0" w:evenVBand="0" w:oddHBand="0" w:evenHBand="0" w:firstRowFirstColumn="0" w:firstRowLastColumn="0" w:lastRowFirstColumn="0" w:lastRowLastColumn="0"/>
            <w:tcW w:w="1879" w:type="pct"/>
            <w:hideMark/>
          </w:tcPr>
          <w:p w14:paraId="0D1374CB" w14:textId="1A5F36B2" w:rsidR="00153D35" w:rsidRPr="00306509" w:rsidRDefault="00153D35"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44: Zhvendosja modale për udhëtime në distanca të shkurtra</w:t>
            </w:r>
          </w:p>
        </w:tc>
        <w:tc>
          <w:tcPr>
            <w:tcW w:w="2353" w:type="pct"/>
            <w:vAlign w:val="center"/>
            <w:hideMark/>
          </w:tcPr>
          <w:p w14:paraId="3E74398E" w14:textId="7FA6CD73" w:rsidR="00153D35" w:rsidRPr="00306509" w:rsidRDefault="00153D35"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~1 mil. euro (varësisht nga gjatësia)</w:t>
            </w:r>
          </w:p>
        </w:tc>
        <w:tc>
          <w:tcPr>
            <w:tcW w:w="768" w:type="pct"/>
            <w:vAlign w:val="center"/>
            <w:hideMark/>
          </w:tcPr>
          <w:p w14:paraId="0BD0E411" w14:textId="38B21827" w:rsidR="00153D35" w:rsidRPr="00306509" w:rsidRDefault="00153D35"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WAM</w:t>
            </w:r>
          </w:p>
        </w:tc>
      </w:tr>
      <w:tr w:rsidR="00153D35" w:rsidRPr="00306509" w14:paraId="0EF414E4" w14:textId="77777777" w:rsidTr="00C85EF4">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879" w:type="pct"/>
            <w:hideMark/>
          </w:tcPr>
          <w:p w14:paraId="4D7DA98E" w14:textId="1B78CEA8" w:rsidR="00153D35" w:rsidRPr="00306509" w:rsidRDefault="00153D35"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45: Planet Komunale të Veprimit për Energji dhe Klimë</w:t>
            </w:r>
          </w:p>
        </w:tc>
        <w:tc>
          <w:tcPr>
            <w:tcW w:w="2353" w:type="pct"/>
            <w:vAlign w:val="center"/>
            <w:hideMark/>
          </w:tcPr>
          <w:p w14:paraId="68DE98A1" w14:textId="6E6AE658" w:rsidR="00153D35" w:rsidRPr="00306509" w:rsidRDefault="00476FA4"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Gjithsej 1.2 mil. euro për të gjitha komunat</w:t>
            </w:r>
          </w:p>
        </w:tc>
        <w:tc>
          <w:tcPr>
            <w:tcW w:w="768" w:type="pct"/>
            <w:vAlign w:val="center"/>
            <w:hideMark/>
          </w:tcPr>
          <w:p w14:paraId="3E9255D8" w14:textId="4A6D5DB7" w:rsidR="00153D35" w:rsidRPr="00306509" w:rsidRDefault="00153D35"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153D35" w:rsidRPr="00306509" w14:paraId="3E1A1E6C" w14:textId="77777777" w:rsidTr="00C85EF4">
        <w:trPr>
          <w:trHeight w:val="1257"/>
        </w:trPr>
        <w:tc>
          <w:tcPr>
            <w:cnfStyle w:val="001000000000" w:firstRow="0" w:lastRow="0" w:firstColumn="1" w:lastColumn="0" w:oddVBand="0" w:evenVBand="0" w:oddHBand="0" w:evenHBand="0" w:firstRowFirstColumn="0" w:firstRowLastColumn="0" w:lastRowFirstColumn="0" w:lastRowLastColumn="0"/>
            <w:tcW w:w="1879" w:type="pct"/>
            <w:hideMark/>
          </w:tcPr>
          <w:p w14:paraId="44D22500" w14:textId="0CAD7869" w:rsidR="00153D35" w:rsidRPr="00306509" w:rsidRDefault="00153D35"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46: Modernizimi i rrjeteve dhe reduktimi i humbjeve në rrjet</w:t>
            </w:r>
          </w:p>
        </w:tc>
        <w:tc>
          <w:tcPr>
            <w:tcW w:w="2353" w:type="pct"/>
            <w:vAlign w:val="center"/>
            <w:hideMark/>
          </w:tcPr>
          <w:p w14:paraId="4CE2575A" w14:textId="26DC243C" w:rsidR="00153D35" w:rsidRPr="00306509" w:rsidRDefault="00153D35"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Gjithsej 127.12 mil. euro (2022 – 2025) janë paraparë për modernizimin e rrjetit dhe punën në drejtim të zvogëlimit të humbjeve në rrjet, të financuara nga KEDS-i dhe KOSTT-i (përmbl. me PM 50).</w:t>
            </w:r>
          </w:p>
        </w:tc>
        <w:tc>
          <w:tcPr>
            <w:tcW w:w="768" w:type="pct"/>
            <w:vAlign w:val="center"/>
            <w:hideMark/>
          </w:tcPr>
          <w:p w14:paraId="223DF62F" w14:textId="3AA18A5D" w:rsidR="00153D35" w:rsidRPr="00306509" w:rsidRDefault="00153D35"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153D35" w:rsidRPr="00306509" w14:paraId="0AF7610A" w14:textId="77777777" w:rsidTr="00C85EF4">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1879" w:type="pct"/>
            <w:hideMark/>
          </w:tcPr>
          <w:p w14:paraId="0B0DFBAA" w14:textId="38992923" w:rsidR="00153D35" w:rsidRPr="00306509" w:rsidRDefault="00153D35"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47: Rehabilitimi i TC Kosova B</w:t>
            </w:r>
          </w:p>
        </w:tc>
        <w:tc>
          <w:tcPr>
            <w:tcW w:w="2353" w:type="pct"/>
            <w:vAlign w:val="center"/>
            <w:hideMark/>
          </w:tcPr>
          <w:p w14:paraId="327C67D9" w14:textId="01C20FC6" w:rsidR="00BD09A6" w:rsidRPr="00306509" w:rsidRDefault="00153D35"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olor w:val="000000"/>
                <w:sz w:val="18"/>
              </w:rPr>
              <w:t xml:space="preserve">Buxheti për Strategjinë e Energjisë është gjithsej 178 mil. euro, financuar nga KEK-u dhe një grant i BE-së. </w:t>
            </w:r>
          </w:p>
        </w:tc>
        <w:tc>
          <w:tcPr>
            <w:tcW w:w="768" w:type="pct"/>
            <w:vAlign w:val="center"/>
            <w:hideMark/>
          </w:tcPr>
          <w:p w14:paraId="69A8C76C" w14:textId="36B5A924" w:rsidR="00153D35" w:rsidRPr="00306509" w:rsidRDefault="00153D35"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153D35" w:rsidRPr="00306509" w14:paraId="65A5220B" w14:textId="77777777" w:rsidTr="00C85EF4">
        <w:trPr>
          <w:trHeight w:val="583"/>
        </w:trPr>
        <w:tc>
          <w:tcPr>
            <w:cnfStyle w:val="001000000000" w:firstRow="0" w:lastRow="0" w:firstColumn="1" w:lastColumn="0" w:oddVBand="0" w:evenVBand="0" w:oddHBand="0" w:evenHBand="0" w:firstRowFirstColumn="0" w:firstRowLastColumn="0" w:lastRowFirstColumn="0" w:lastRowLastColumn="0"/>
            <w:tcW w:w="1879" w:type="pct"/>
            <w:hideMark/>
          </w:tcPr>
          <w:p w14:paraId="4F527833" w14:textId="37F6A2D9" w:rsidR="00153D35" w:rsidRPr="00306509" w:rsidRDefault="00153D35"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48: Rehabilitimi i një deri në dy njësive në TC Kosova A</w:t>
            </w:r>
          </w:p>
        </w:tc>
        <w:tc>
          <w:tcPr>
            <w:tcW w:w="2353" w:type="pct"/>
            <w:vAlign w:val="center"/>
            <w:hideMark/>
          </w:tcPr>
          <w:p w14:paraId="29DA25E1" w14:textId="710E2146" w:rsidR="00BD09A6" w:rsidRPr="00306509" w:rsidRDefault="00153D35"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olor w:val="000000"/>
                <w:sz w:val="18"/>
              </w:rPr>
              <w:t>Mes 120 dhe 150 mil. EUR për njësi të financuar nga KEK.</w:t>
            </w:r>
          </w:p>
        </w:tc>
        <w:tc>
          <w:tcPr>
            <w:tcW w:w="768" w:type="pct"/>
            <w:vAlign w:val="center"/>
            <w:hideMark/>
          </w:tcPr>
          <w:p w14:paraId="30EBEB0D" w14:textId="51900790" w:rsidR="00153D35" w:rsidRPr="00306509" w:rsidRDefault="00153D35"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153D35" w:rsidRPr="00306509" w14:paraId="00E8F767" w14:textId="77777777" w:rsidTr="00C85EF4">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879" w:type="pct"/>
            <w:hideMark/>
          </w:tcPr>
          <w:p w14:paraId="0B17F56A" w14:textId="1B2B2C47" w:rsidR="00153D35" w:rsidRPr="00306509" w:rsidRDefault="00153D35"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49: Përmirësimi i sigurisë kibernetike në sektorin energjetik</w:t>
            </w:r>
          </w:p>
        </w:tc>
        <w:tc>
          <w:tcPr>
            <w:tcW w:w="2353" w:type="pct"/>
            <w:vAlign w:val="center"/>
            <w:hideMark/>
          </w:tcPr>
          <w:p w14:paraId="312E88D3" w14:textId="469FC178" w:rsidR="00153D35" w:rsidRPr="00306509" w:rsidRDefault="00153D35"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 xml:space="preserve">Gjithsej 1.69 mil. euro (2022 – 2024), të financuara nga buxheti publik dhe donatorët. </w:t>
            </w:r>
          </w:p>
        </w:tc>
        <w:tc>
          <w:tcPr>
            <w:tcW w:w="768" w:type="pct"/>
            <w:vAlign w:val="center"/>
            <w:hideMark/>
          </w:tcPr>
          <w:p w14:paraId="6143CBA9" w14:textId="13623DEB" w:rsidR="00153D35" w:rsidRPr="00306509" w:rsidRDefault="00153D35"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153D35" w:rsidRPr="00306509" w14:paraId="385FB7CE" w14:textId="77777777" w:rsidTr="00C85EF4">
        <w:trPr>
          <w:trHeight w:val="1347"/>
        </w:trPr>
        <w:tc>
          <w:tcPr>
            <w:cnfStyle w:val="001000000000" w:firstRow="0" w:lastRow="0" w:firstColumn="1" w:lastColumn="0" w:oddVBand="0" w:evenVBand="0" w:oddHBand="0" w:evenHBand="0" w:firstRowFirstColumn="0" w:firstRowLastColumn="0" w:lastRowFirstColumn="0" w:lastRowLastColumn="0"/>
            <w:tcW w:w="1879" w:type="pct"/>
            <w:hideMark/>
          </w:tcPr>
          <w:p w14:paraId="0467D834" w14:textId="4DC89519" w:rsidR="00153D35" w:rsidRPr="00306509" w:rsidRDefault="00153D35"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50: Rritja e sasisë së kapacitetit të BER-ve që rrjeti është në gjendje të trajtojë/integrojë</w:t>
            </w:r>
          </w:p>
        </w:tc>
        <w:tc>
          <w:tcPr>
            <w:tcW w:w="2353" w:type="pct"/>
            <w:vAlign w:val="center"/>
            <w:hideMark/>
          </w:tcPr>
          <w:p w14:paraId="1EDDF5B2" w14:textId="7966B722" w:rsidR="00153D35" w:rsidRPr="00306509" w:rsidRDefault="00153D35"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Gjithsej 127.12 mil. euro (2022 – 2025) janë paraparë për modernizimin e rrjetit dhe punën në drejtim të zvogëlimit të humbjeve në rrjet, të financuara nga KEDS-i dhe KOSTT-i (përmbl. me PM 46).</w:t>
            </w:r>
          </w:p>
        </w:tc>
        <w:tc>
          <w:tcPr>
            <w:tcW w:w="768" w:type="pct"/>
            <w:vAlign w:val="center"/>
            <w:hideMark/>
          </w:tcPr>
          <w:p w14:paraId="4427727B" w14:textId="108B4A6E" w:rsidR="00153D35" w:rsidRPr="00306509" w:rsidRDefault="00153D35"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153D35" w:rsidRPr="00306509" w14:paraId="5CAE1F82" w14:textId="77777777" w:rsidTr="00690AEA">
        <w:trPr>
          <w:cnfStyle w:val="000000100000" w:firstRow="0" w:lastRow="0" w:firstColumn="0" w:lastColumn="0" w:oddVBand="0" w:evenVBand="0" w:oddHBand="1" w:evenHBand="0" w:firstRowFirstColumn="0" w:firstRowLastColumn="0" w:lastRowFirstColumn="0" w:lastRowLastColumn="0"/>
          <w:trHeight w:val="1383"/>
        </w:trPr>
        <w:tc>
          <w:tcPr>
            <w:cnfStyle w:val="001000000000" w:firstRow="0" w:lastRow="0" w:firstColumn="1" w:lastColumn="0" w:oddVBand="0" w:evenVBand="0" w:oddHBand="0" w:evenHBand="0" w:firstRowFirstColumn="0" w:firstRowLastColumn="0" w:lastRowFirstColumn="0" w:lastRowLastColumn="0"/>
            <w:tcW w:w="1879" w:type="pct"/>
            <w:hideMark/>
          </w:tcPr>
          <w:p w14:paraId="4B1B3732" w14:textId="3C30EE4B" w:rsidR="00153D35" w:rsidRPr="00306509" w:rsidRDefault="00153D35"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51: Instalimi i sistemit të ruajtjes së energjisë përmes baterive</w:t>
            </w:r>
          </w:p>
        </w:tc>
        <w:tc>
          <w:tcPr>
            <w:tcW w:w="2353" w:type="pct"/>
            <w:vAlign w:val="center"/>
            <w:hideMark/>
          </w:tcPr>
          <w:p w14:paraId="6E215F70" w14:textId="4868BC1D" w:rsidR="00153D35" w:rsidRPr="00306509" w:rsidRDefault="00153D35"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 xml:space="preserve">Një grant prej 202 mil. USD u sigurua nga Korporata e Sfidave të Mijëvjeçarit (MCC), me një shtesë prej 34 mil. USD të siguruara nga Qeveria e Kosovës, prej të cilave rreth 180 mil. USD do të ndahen për blerjen dhe instalimin e vetë sistemimit të ruajtjes përmes baterive. </w:t>
            </w:r>
          </w:p>
        </w:tc>
        <w:tc>
          <w:tcPr>
            <w:tcW w:w="768" w:type="pct"/>
            <w:vAlign w:val="center"/>
            <w:hideMark/>
          </w:tcPr>
          <w:p w14:paraId="11574992" w14:textId="3C39F0B3" w:rsidR="00153D35" w:rsidRPr="00306509" w:rsidRDefault="00153D35"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153D35" w:rsidRPr="00306509" w14:paraId="3B7E8CFC" w14:textId="77777777" w:rsidTr="00C85EF4">
        <w:trPr>
          <w:trHeight w:val="583"/>
        </w:trPr>
        <w:tc>
          <w:tcPr>
            <w:cnfStyle w:val="001000000000" w:firstRow="0" w:lastRow="0" w:firstColumn="1" w:lastColumn="0" w:oddVBand="0" w:evenVBand="0" w:oddHBand="0" w:evenHBand="0" w:firstRowFirstColumn="0" w:firstRowLastColumn="0" w:lastRowFirstColumn="0" w:lastRowLastColumn="0"/>
            <w:tcW w:w="1879" w:type="pct"/>
          </w:tcPr>
          <w:p w14:paraId="1EFBA448" w14:textId="782ACFE1" w:rsidR="00153D35" w:rsidRPr="00306509" w:rsidRDefault="00153D35"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52: Gatishmëria ndaj rrezikut në sektorin e energjisë elektrike (RpR)</w:t>
            </w:r>
          </w:p>
        </w:tc>
        <w:tc>
          <w:tcPr>
            <w:tcW w:w="2353" w:type="pct"/>
            <w:vAlign w:val="center"/>
          </w:tcPr>
          <w:p w14:paraId="36DA20C5" w14:textId="40C0C954" w:rsidR="00153D35" w:rsidRPr="00306509" w:rsidDel="00434712" w:rsidRDefault="00A73FF5"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0.3 mil. euro në vit (2025-27) për asistencë teknike për zhvillimin e një plani të gatishmërisë ndaj rrezikut</w:t>
            </w:r>
          </w:p>
        </w:tc>
        <w:tc>
          <w:tcPr>
            <w:tcW w:w="768" w:type="pct"/>
            <w:vAlign w:val="center"/>
          </w:tcPr>
          <w:p w14:paraId="6927EB66" w14:textId="77A14823" w:rsidR="00153D35" w:rsidRPr="00306509" w:rsidRDefault="00153D35"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153D35" w:rsidRPr="00306509" w14:paraId="14FC0BC5" w14:textId="77777777" w:rsidTr="00C85EF4">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879" w:type="pct"/>
          </w:tcPr>
          <w:p w14:paraId="00F36CBA" w14:textId="4F6415A4" w:rsidR="00153D35" w:rsidRPr="00306509" w:rsidRDefault="00153D35"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53: Përmirësimi dhe modernizimi i udhëzuesve për operacionet e sistemit (OS) dhe kodet e rrjetit</w:t>
            </w:r>
          </w:p>
        </w:tc>
        <w:tc>
          <w:tcPr>
            <w:tcW w:w="2353" w:type="pct"/>
            <w:vAlign w:val="center"/>
          </w:tcPr>
          <w:p w14:paraId="159ED27F" w14:textId="676A8995" w:rsidR="00153D35" w:rsidRPr="00306509" w:rsidRDefault="00153D35"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Nuk zbatohet.</w:t>
            </w:r>
          </w:p>
        </w:tc>
        <w:tc>
          <w:tcPr>
            <w:tcW w:w="768" w:type="pct"/>
            <w:vAlign w:val="center"/>
          </w:tcPr>
          <w:p w14:paraId="08FE0B16" w14:textId="29A751C5" w:rsidR="00153D35" w:rsidRPr="00306509" w:rsidRDefault="00153D35"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153D35" w:rsidRPr="00306509" w14:paraId="08F6AAAB" w14:textId="77777777" w:rsidTr="00690AEA">
        <w:trPr>
          <w:trHeight w:val="528"/>
        </w:trPr>
        <w:tc>
          <w:tcPr>
            <w:cnfStyle w:val="001000000000" w:firstRow="0" w:lastRow="0" w:firstColumn="1" w:lastColumn="0" w:oddVBand="0" w:evenVBand="0" w:oddHBand="0" w:evenHBand="0" w:firstRowFirstColumn="0" w:firstRowLastColumn="0" w:lastRowFirstColumn="0" w:lastRowLastColumn="0"/>
            <w:tcW w:w="1879" w:type="pct"/>
          </w:tcPr>
          <w:p w14:paraId="245C4C50" w14:textId="02C10807" w:rsidR="00153D35" w:rsidRPr="00306509" w:rsidRDefault="00153D35"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lastRenderedPageBreak/>
              <w:t>PM 54: Përcaktimi i procedurave për lirimin e rezervave emergjente të naftës</w:t>
            </w:r>
          </w:p>
        </w:tc>
        <w:tc>
          <w:tcPr>
            <w:tcW w:w="2353" w:type="pct"/>
            <w:vAlign w:val="center"/>
          </w:tcPr>
          <w:p w14:paraId="03E85CB0" w14:textId="5B64E51E" w:rsidR="00153D35" w:rsidRPr="00306509" w:rsidRDefault="003C35F7"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Gjithsej 0.2 mil. euro për zhvillimin e planit të reagimit</w:t>
            </w:r>
          </w:p>
        </w:tc>
        <w:tc>
          <w:tcPr>
            <w:tcW w:w="768" w:type="pct"/>
            <w:vAlign w:val="center"/>
          </w:tcPr>
          <w:p w14:paraId="04388FF0" w14:textId="277A7651" w:rsidR="00153D35" w:rsidRPr="00306509" w:rsidRDefault="00153D35"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153D35" w:rsidRPr="00306509" w14:paraId="2360B2D1" w14:textId="77777777" w:rsidTr="00C85EF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879" w:type="pct"/>
            <w:hideMark/>
          </w:tcPr>
          <w:p w14:paraId="79FE0DFD" w14:textId="1BB09443" w:rsidR="00153D35" w:rsidRPr="00306509" w:rsidRDefault="00153D35"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55: Përmirësimi i disponueshmërisë komerciale të kapaciteteve transmetuese ndërkufitare</w:t>
            </w:r>
          </w:p>
        </w:tc>
        <w:tc>
          <w:tcPr>
            <w:tcW w:w="2353" w:type="pct"/>
            <w:vAlign w:val="center"/>
            <w:hideMark/>
          </w:tcPr>
          <w:p w14:paraId="226B9D62" w14:textId="40FBDF8F" w:rsidR="00153D35" w:rsidRPr="00306509" w:rsidRDefault="00153D35"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Nuk zbatohet.</w:t>
            </w:r>
          </w:p>
        </w:tc>
        <w:tc>
          <w:tcPr>
            <w:tcW w:w="768" w:type="pct"/>
            <w:vAlign w:val="center"/>
            <w:hideMark/>
          </w:tcPr>
          <w:p w14:paraId="15817B37" w14:textId="3318C778" w:rsidR="00153D35" w:rsidRPr="00306509" w:rsidRDefault="00153D35"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153D35" w:rsidRPr="00306509" w14:paraId="7BD47EB1" w14:textId="77777777" w:rsidTr="00C85EF4">
        <w:trPr>
          <w:trHeight w:val="583"/>
        </w:trPr>
        <w:tc>
          <w:tcPr>
            <w:cnfStyle w:val="001000000000" w:firstRow="0" w:lastRow="0" w:firstColumn="1" w:lastColumn="0" w:oddVBand="0" w:evenVBand="0" w:oddHBand="0" w:evenHBand="0" w:firstRowFirstColumn="0" w:firstRowLastColumn="0" w:lastRowFirstColumn="0" w:lastRowLastColumn="0"/>
            <w:tcW w:w="1879" w:type="pct"/>
            <w:hideMark/>
          </w:tcPr>
          <w:p w14:paraId="4FB8BA7E" w14:textId="5E220A05" w:rsidR="00153D35" w:rsidRPr="00306509" w:rsidRDefault="00153D35"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56: Udhërrëfyesi për konkurrencën e tregut me pakicë</w:t>
            </w:r>
          </w:p>
        </w:tc>
        <w:tc>
          <w:tcPr>
            <w:tcW w:w="2353" w:type="pct"/>
            <w:vAlign w:val="center"/>
            <w:hideMark/>
          </w:tcPr>
          <w:p w14:paraId="7CD740F2" w14:textId="223E5640" w:rsidR="00153D35" w:rsidRPr="00306509" w:rsidRDefault="00D3742D"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0.1 mil. euro në vit në vitin 2025 dhe 2026 për të përfunduar procesin e transpozimit</w:t>
            </w:r>
          </w:p>
        </w:tc>
        <w:tc>
          <w:tcPr>
            <w:tcW w:w="768" w:type="pct"/>
            <w:vAlign w:val="center"/>
            <w:hideMark/>
          </w:tcPr>
          <w:p w14:paraId="68E38790" w14:textId="2DDE6B75" w:rsidR="00153D35" w:rsidRPr="00306509" w:rsidRDefault="00153D35"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153D35" w:rsidRPr="00306509" w14:paraId="006829FF" w14:textId="77777777" w:rsidTr="00690AEA">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879" w:type="pct"/>
            <w:hideMark/>
          </w:tcPr>
          <w:p w14:paraId="220D5546" w14:textId="77AE423F" w:rsidR="00153D35" w:rsidRPr="00306509" w:rsidRDefault="00153D35"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57: Adresimi i koncentrimit të tregut</w:t>
            </w:r>
          </w:p>
        </w:tc>
        <w:tc>
          <w:tcPr>
            <w:tcW w:w="2353" w:type="pct"/>
            <w:vAlign w:val="center"/>
            <w:hideMark/>
          </w:tcPr>
          <w:p w14:paraId="748D1367" w14:textId="439A4E5E" w:rsidR="00153D35" w:rsidRPr="00306509" w:rsidRDefault="00153D35"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Nuk zbatohet.</w:t>
            </w:r>
          </w:p>
        </w:tc>
        <w:tc>
          <w:tcPr>
            <w:tcW w:w="768" w:type="pct"/>
            <w:vAlign w:val="center"/>
            <w:hideMark/>
          </w:tcPr>
          <w:p w14:paraId="632E405D" w14:textId="5DEB02D2" w:rsidR="00153D35" w:rsidRPr="00306509" w:rsidRDefault="00153D35"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153D35" w:rsidRPr="00306509" w14:paraId="06B6E0E7" w14:textId="77777777" w:rsidTr="00C85EF4">
        <w:trPr>
          <w:trHeight w:val="875"/>
        </w:trPr>
        <w:tc>
          <w:tcPr>
            <w:cnfStyle w:val="001000000000" w:firstRow="0" w:lastRow="0" w:firstColumn="1" w:lastColumn="0" w:oddVBand="0" w:evenVBand="0" w:oddHBand="0" w:evenHBand="0" w:firstRowFirstColumn="0" w:firstRowLastColumn="0" w:lastRowFirstColumn="0" w:lastRowLastColumn="0"/>
            <w:tcW w:w="1879" w:type="pct"/>
            <w:hideMark/>
          </w:tcPr>
          <w:p w14:paraId="371FD8EE" w14:textId="22EDEA17" w:rsidR="00153D35" w:rsidRPr="00306509" w:rsidRDefault="00153D35"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58: Bashkimi i tregut me Shqipërinë</w:t>
            </w:r>
          </w:p>
        </w:tc>
        <w:tc>
          <w:tcPr>
            <w:tcW w:w="2353" w:type="pct"/>
            <w:vAlign w:val="center"/>
            <w:hideMark/>
          </w:tcPr>
          <w:p w14:paraId="5BD1EC44" w14:textId="032A4E14" w:rsidR="00153D35" w:rsidRPr="00306509" w:rsidRDefault="00153D35"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2.56 mil. euro (2023 – 2024) janë parashikuar për bashkimin e tregut të ditës në avancë dhe tregut brenda të njëjtës ditë me Shqipërinë, financuar nga ALPEX-i.</w:t>
            </w:r>
          </w:p>
        </w:tc>
        <w:tc>
          <w:tcPr>
            <w:tcW w:w="768" w:type="pct"/>
            <w:vAlign w:val="center"/>
            <w:hideMark/>
          </w:tcPr>
          <w:p w14:paraId="1F61D1B5" w14:textId="3811E4DB" w:rsidR="00153D35" w:rsidRPr="00306509" w:rsidRDefault="00153D35"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153D35" w:rsidRPr="00306509" w14:paraId="19ADC8C0" w14:textId="77777777" w:rsidTr="00C85EF4">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1879" w:type="pct"/>
            <w:hideMark/>
          </w:tcPr>
          <w:p w14:paraId="30DEB0B8" w14:textId="7DEEA9DC" w:rsidR="00153D35" w:rsidRPr="00306509" w:rsidRDefault="00153D35"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59: Bashkimi i tregut me vendet e tjera fqinje</w:t>
            </w:r>
          </w:p>
        </w:tc>
        <w:tc>
          <w:tcPr>
            <w:tcW w:w="2353" w:type="pct"/>
            <w:vAlign w:val="center"/>
            <w:hideMark/>
          </w:tcPr>
          <w:p w14:paraId="6A2E6286" w14:textId="0901FCFB" w:rsidR="00153D35" w:rsidRPr="00306509" w:rsidRDefault="00153D35"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0.23 mil. euro janë parashikuar në vitin 2024 për një studim të fizibilitetit mbi bashkimin e tregut rajonal/evropian (SDAC, SIDC), të financuara nga donatorët.</w:t>
            </w:r>
          </w:p>
        </w:tc>
        <w:tc>
          <w:tcPr>
            <w:tcW w:w="768" w:type="pct"/>
            <w:vAlign w:val="center"/>
            <w:hideMark/>
          </w:tcPr>
          <w:p w14:paraId="1086AD29" w14:textId="520D9DEA" w:rsidR="00153D35" w:rsidRPr="00306509" w:rsidRDefault="00153D35"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153D35" w:rsidRPr="00306509" w14:paraId="50E5D162" w14:textId="77777777" w:rsidTr="00C85EF4">
        <w:trPr>
          <w:trHeight w:val="384"/>
        </w:trPr>
        <w:tc>
          <w:tcPr>
            <w:cnfStyle w:val="001000000000" w:firstRow="0" w:lastRow="0" w:firstColumn="1" w:lastColumn="0" w:oddVBand="0" w:evenVBand="0" w:oddHBand="0" w:evenHBand="0" w:firstRowFirstColumn="0" w:firstRowLastColumn="0" w:lastRowFirstColumn="0" w:lastRowLastColumn="0"/>
            <w:tcW w:w="1879" w:type="pct"/>
            <w:hideMark/>
          </w:tcPr>
          <w:p w14:paraId="3AFB32D6" w14:textId="54E8028C" w:rsidR="00153D35" w:rsidRPr="00306509" w:rsidRDefault="00153D35"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60: Anëtarësimi në platformat balancuese të BE-së</w:t>
            </w:r>
          </w:p>
        </w:tc>
        <w:tc>
          <w:tcPr>
            <w:tcW w:w="2353" w:type="pct"/>
            <w:vAlign w:val="center"/>
            <w:hideMark/>
          </w:tcPr>
          <w:p w14:paraId="51DA015A" w14:textId="0374D638" w:rsidR="00153D35" w:rsidRPr="00306509" w:rsidRDefault="00153D35"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Nuk zbatohet.</w:t>
            </w:r>
          </w:p>
        </w:tc>
        <w:tc>
          <w:tcPr>
            <w:tcW w:w="768" w:type="pct"/>
            <w:vAlign w:val="center"/>
            <w:hideMark/>
          </w:tcPr>
          <w:p w14:paraId="3372A9B8" w14:textId="66452BA7" w:rsidR="00153D35" w:rsidRPr="00306509" w:rsidRDefault="00153D35"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153D35" w:rsidRPr="00306509" w14:paraId="7E2E8A17" w14:textId="77777777" w:rsidTr="00C85EF4">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879" w:type="pct"/>
            <w:hideMark/>
          </w:tcPr>
          <w:p w14:paraId="1B9E78C4" w14:textId="6CD2631A" w:rsidR="00153D35" w:rsidRPr="00306509" w:rsidRDefault="00153D35"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61: Studimi i fizibilitetit dhe pilotimi i mundshëm i energjisë për ngrohje</w:t>
            </w:r>
          </w:p>
        </w:tc>
        <w:tc>
          <w:tcPr>
            <w:tcW w:w="2353" w:type="pct"/>
            <w:vAlign w:val="center"/>
            <w:hideMark/>
          </w:tcPr>
          <w:p w14:paraId="298BBAB7" w14:textId="56E05462" w:rsidR="00153D35" w:rsidRPr="00306509" w:rsidRDefault="006D49CE"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0.3 mil. euro për kryerjen e studimit të fizibilitetit</w:t>
            </w:r>
          </w:p>
        </w:tc>
        <w:tc>
          <w:tcPr>
            <w:tcW w:w="768" w:type="pct"/>
            <w:vAlign w:val="center"/>
            <w:hideMark/>
          </w:tcPr>
          <w:p w14:paraId="7086CB34" w14:textId="7D60B4E3" w:rsidR="00153D35" w:rsidRPr="00306509" w:rsidRDefault="00153D35"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WAM</w:t>
            </w:r>
          </w:p>
        </w:tc>
      </w:tr>
      <w:tr w:rsidR="00153D35" w:rsidRPr="00306509" w14:paraId="5E756E62" w14:textId="77777777" w:rsidTr="00C85EF4">
        <w:trPr>
          <w:trHeight w:val="1166"/>
        </w:trPr>
        <w:tc>
          <w:tcPr>
            <w:cnfStyle w:val="001000000000" w:firstRow="0" w:lastRow="0" w:firstColumn="1" w:lastColumn="0" w:oddVBand="0" w:evenVBand="0" w:oddHBand="0" w:evenHBand="0" w:firstRowFirstColumn="0" w:firstRowLastColumn="0" w:lastRowFirstColumn="0" w:lastRowLastColumn="0"/>
            <w:tcW w:w="1879" w:type="pct"/>
            <w:hideMark/>
          </w:tcPr>
          <w:p w14:paraId="5A748C77" w14:textId="13627FEB" w:rsidR="00153D35" w:rsidRPr="00306509" w:rsidRDefault="00153D35"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62: Largimi i plotë i MFSH-së dhe shqyrtimi i vënies në funksion të kontratës për ndryshimin</w:t>
            </w:r>
          </w:p>
        </w:tc>
        <w:tc>
          <w:tcPr>
            <w:tcW w:w="2353" w:type="pct"/>
            <w:vAlign w:val="center"/>
            <w:hideMark/>
          </w:tcPr>
          <w:p w14:paraId="443D91AA" w14:textId="18ECB0C8" w:rsidR="00153D35" w:rsidRPr="00306509" w:rsidRDefault="00626F6F"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Një total prej 0.17 mil euro (2023 – 2025) nga buxhetet publike dhe donatorët janë parashikuar për heqjen nga përdorimi të MFSH-së dhe heqjen e barrierave për funksionimin efektiv të tregut. (Me PM 56)</w:t>
            </w:r>
          </w:p>
        </w:tc>
        <w:tc>
          <w:tcPr>
            <w:tcW w:w="768" w:type="pct"/>
            <w:vAlign w:val="center"/>
            <w:hideMark/>
          </w:tcPr>
          <w:p w14:paraId="0909F7D5" w14:textId="5E5A07D6" w:rsidR="00153D35" w:rsidRPr="00306509" w:rsidRDefault="00153D35"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WAM</w:t>
            </w:r>
          </w:p>
        </w:tc>
      </w:tr>
      <w:tr w:rsidR="00153D35" w:rsidRPr="00306509" w14:paraId="1C17E9C2" w14:textId="77777777" w:rsidTr="00690AEA">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879" w:type="pct"/>
          </w:tcPr>
          <w:p w14:paraId="5F12407B" w14:textId="4CDC87CD" w:rsidR="00153D35" w:rsidRPr="00306509" w:rsidRDefault="00153D35"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63: Transpozimi i Pakos për Energji të Pastër</w:t>
            </w:r>
          </w:p>
        </w:tc>
        <w:tc>
          <w:tcPr>
            <w:tcW w:w="2353" w:type="pct"/>
            <w:vAlign w:val="center"/>
          </w:tcPr>
          <w:p w14:paraId="5A4088BF" w14:textId="1A1D7D69" w:rsidR="00153D35" w:rsidRPr="00306509" w:rsidRDefault="007F0C7F"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0.1 mil. euro në vit në 2024 dhe 2025 për aktivitetet e donatorëve për të mbështetur transpozimin</w:t>
            </w:r>
          </w:p>
        </w:tc>
        <w:tc>
          <w:tcPr>
            <w:tcW w:w="768" w:type="pct"/>
            <w:vAlign w:val="center"/>
          </w:tcPr>
          <w:p w14:paraId="78CAEDF6" w14:textId="5E54456B" w:rsidR="00153D35" w:rsidRPr="00306509" w:rsidRDefault="00153D35"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153D35" w:rsidRPr="00306509" w14:paraId="35BD8D43" w14:textId="77777777" w:rsidTr="00C85EF4">
        <w:trPr>
          <w:trHeight w:val="875"/>
        </w:trPr>
        <w:tc>
          <w:tcPr>
            <w:cnfStyle w:val="001000000000" w:firstRow="0" w:lastRow="0" w:firstColumn="1" w:lastColumn="0" w:oddVBand="0" w:evenVBand="0" w:oddHBand="0" w:evenHBand="0" w:firstRowFirstColumn="0" w:firstRowLastColumn="0" w:lastRowFirstColumn="0" w:lastRowLastColumn="0"/>
            <w:tcW w:w="1879" w:type="pct"/>
          </w:tcPr>
          <w:p w14:paraId="110A6D27" w14:textId="67A3D189" w:rsidR="00153D35" w:rsidRPr="00306509" w:rsidRDefault="00153D35" w:rsidP="00944071">
            <w:pPr>
              <w:spacing w:before="0" w:after="0" w:line="240" w:lineRule="auto"/>
              <w:jc w:val="left"/>
              <w:rPr>
                <w:rFonts w:asciiTheme="majorHAnsi" w:hAnsiTheme="majorHAnsi" w:cstheme="majorHAnsi"/>
                <w:color w:val="FFFFFF" w:themeColor="background1"/>
                <w:sz w:val="18"/>
                <w:szCs w:val="18"/>
              </w:rPr>
            </w:pPr>
            <w:r>
              <w:rPr>
                <w:rFonts w:asciiTheme="majorHAnsi" w:hAnsiTheme="majorHAnsi"/>
                <w:color w:val="FFFFFF" w:themeColor="background1"/>
                <w:sz w:val="18"/>
              </w:rPr>
              <w:t>PM 64: Sigurimi i disponueshmërisë së kontratave dinamike të çmimit të energjisë elektrike në përputhje me Direktivën (BE) 2019/944 për të nxitur fleksibilitetin e kërkesës</w:t>
            </w:r>
          </w:p>
        </w:tc>
        <w:tc>
          <w:tcPr>
            <w:tcW w:w="2353" w:type="pct"/>
            <w:vAlign w:val="center"/>
          </w:tcPr>
          <w:p w14:paraId="580A3534" w14:textId="03FE4913" w:rsidR="00153D35" w:rsidRPr="00306509" w:rsidRDefault="00153D35"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olor w:val="000000"/>
                <w:sz w:val="18"/>
              </w:rPr>
              <w:t>N.A.</w:t>
            </w:r>
          </w:p>
        </w:tc>
        <w:tc>
          <w:tcPr>
            <w:tcW w:w="768" w:type="pct"/>
            <w:vAlign w:val="center"/>
          </w:tcPr>
          <w:p w14:paraId="1AA7E309" w14:textId="407BA725" w:rsidR="00153D35" w:rsidRPr="00306509" w:rsidRDefault="00153D35"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olor w:val="000000"/>
                <w:sz w:val="18"/>
              </w:rPr>
              <w:t>WAM</w:t>
            </w:r>
          </w:p>
        </w:tc>
      </w:tr>
      <w:tr w:rsidR="00153D35" w:rsidRPr="00306509" w14:paraId="3C7BB280" w14:textId="77777777" w:rsidTr="00C85EF4">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1879" w:type="pct"/>
            <w:hideMark/>
          </w:tcPr>
          <w:p w14:paraId="295054DC" w14:textId="2B5FBF4B" w:rsidR="00153D35" w:rsidRPr="00306509" w:rsidRDefault="00153D35"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65: Zhvillimi i një përkufizimi ligjor për konsumatorët e cenueshëm dhe krijimi i një regjistri gjithëpërfshirës bazuar në këtë përkufizim.</w:t>
            </w:r>
          </w:p>
        </w:tc>
        <w:tc>
          <w:tcPr>
            <w:tcW w:w="2353" w:type="pct"/>
            <w:vAlign w:val="center"/>
            <w:hideMark/>
          </w:tcPr>
          <w:p w14:paraId="09D43CBD" w14:textId="36579DF4" w:rsidR="00153D35" w:rsidRPr="00306509" w:rsidRDefault="00C64887"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0.13 mil. euro për zhvillimin e një përkufizimi ligjor në vitin 2025 dhe 2026</w:t>
            </w:r>
          </w:p>
        </w:tc>
        <w:tc>
          <w:tcPr>
            <w:tcW w:w="768" w:type="pct"/>
            <w:vAlign w:val="center"/>
            <w:hideMark/>
          </w:tcPr>
          <w:p w14:paraId="2E2AD6B5" w14:textId="04C31D6B" w:rsidR="00153D35" w:rsidRPr="00306509" w:rsidRDefault="00153D35"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WAM</w:t>
            </w:r>
          </w:p>
        </w:tc>
      </w:tr>
      <w:tr w:rsidR="00153D35" w:rsidRPr="00306509" w14:paraId="047D0493" w14:textId="77777777" w:rsidTr="00C85EF4">
        <w:trPr>
          <w:trHeight w:val="875"/>
        </w:trPr>
        <w:tc>
          <w:tcPr>
            <w:cnfStyle w:val="001000000000" w:firstRow="0" w:lastRow="0" w:firstColumn="1" w:lastColumn="0" w:oddVBand="0" w:evenVBand="0" w:oddHBand="0" w:evenHBand="0" w:firstRowFirstColumn="0" w:firstRowLastColumn="0" w:lastRowFirstColumn="0" w:lastRowLastColumn="0"/>
            <w:tcW w:w="1879" w:type="pct"/>
            <w:hideMark/>
          </w:tcPr>
          <w:p w14:paraId="707B9CAF" w14:textId="425C92D7" w:rsidR="00153D35" w:rsidRPr="00306509" w:rsidRDefault="00153D35"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66: Zbatimi i skemave të reja mbështetëse të dedikuara për konsumatorët e cenueshëm të energjisë</w:t>
            </w:r>
          </w:p>
        </w:tc>
        <w:tc>
          <w:tcPr>
            <w:tcW w:w="2353" w:type="pct"/>
            <w:vAlign w:val="center"/>
            <w:hideMark/>
          </w:tcPr>
          <w:p w14:paraId="5136CAA7" w14:textId="5D8AF6AE" w:rsidR="00153D35" w:rsidRPr="00306509" w:rsidRDefault="00153D35"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 xml:space="preserve">20 mil. euro të investuara në vitin 2024 në një pilot program, kostot për vazhdim deri në vitin 2030 vlerësohen në 120 mil. EUR. </w:t>
            </w:r>
          </w:p>
        </w:tc>
        <w:tc>
          <w:tcPr>
            <w:tcW w:w="768" w:type="pct"/>
            <w:vAlign w:val="center"/>
            <w:hideMark/>
          </w:tcPr>
          <w:p w14:paraId="3E0943DB" w14:textId="715B56B3" w:rsidR="00153D35" w:rsidRPr="00306509" w:rsidRDefault="00153D35"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153D35" w:rsidRPr="00306509" w14:paraId="6652B3BF" w14:textId="77777777" w:rsidTr="00C85EF4">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879" w:type="pct"/>
          </w:tcPr>
          <w:p w14:paraId="4B2530FA" w14:textId="0CBF96E1" w:rsidR="00153D35" w:rsidRPr="00306509" w:rsidRDefault="00153D35"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67: Ndërtimi i kapaciteteve moderne hulumtuese dhe inovative</w:t>
            </w:r>
          </w:p>
        </w:tc>
        <w:tc>
          <w:tcPr>
            <w:tcW w:w="2353" w:type="pct"/>
            <w:vAlign w:val="center"/>
          </w:tcPr>
          <w:p w14:paraId="6CD4BBC9" w14:textId="1E748037" w:rsidR="00153D35" w:rsidRPr="00306509" w:rsidRDefault="00153D35"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Mbështetja mund të merret përmes Programit Kombëtar të Shkencës të MASHTI-t 2023-2028</w:t>
            </w:r>
          </w:p>
        </w:tc>
        <w:tc>
          <w:tcPr>
            <w:tcW w:w="768" w:type="pct"/>
            <w:vAlign w:val="center"/>
          </w:tcPr>
          <w:p w14:paraId="38350D79" w14:textId="544E18D6" w:rsidR="00153D35" w:rsidRPr="00306509" w:rsidRDefault="00153D35"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153D35" w:rsidRPr="00306509" w14:paraId="334C3614" w14:textId="77777777" w:rsidTr="00C85EF4">
        <w:trPr>
          <w:trHeight w:val="292"/>
        </w:trPr>
        <w:tc>
          <w:tcPr>
            <w:cnfStyle w:val="001000000000" w:firstRow="0" w:lastRow="0" w:firstColumn="1" w:lastColumn="0" w:oddVBand="0" w:evenVBand="0" w:oddHBand="0" w:evenHBand="0" w:firstRowFirstColumn="0" w:firstRowLastColumn="0" w:lastRowFirstColumn="0" w:lastRowLastColumn="0"/>
            <w:tcW w:w="1879" w:type="pct"/>
            <w:hideMark/>
          </w:tcPr>
          <w:p w14:paraId="0DC68998" w14:textId="40740CD2" w:rsidR="00153D35" w:rsidRPr="00306509" w:rsidRDefault="00153D35"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68: Studimi analitik lidhur me potencialin e hidrogjenit për dekarbonizimin e sektorit të industrisë dhe transportit</w:t>
            </w:r>
          </w:p>
        </w:tc>
        <w:tc>
          <w:tcPr>
            <w:tcW w:w="2353" w:type="pct"/>
            <w:vAlign w:val="center"/>
            <w:hideMark/>
          </w:tcPr>
          <w:p w14:paraId="14995294" w14:textId="4B2F2DA3" w:rsidR="00153D35" w:rsidRPr="00306509" w:rsidRDefault="0046609B"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Rreth 0.15 mil. euro për kryerjen e studimit të fizibilitetit</w:t>
            </w:r>
          </w:p>
        </w:tc>
        <w:tc>
          <w:tcPr>
            <w:tcW w:w="768" w:type="pct"/>
            <w:vAlign w:val="center"/>
            <w:hideMark/>
          </w:tcPr>
          <w:p w14:paraId="5901C0BF" w14:textId="3DCEC71B" w:rsidR="00153D35" w:rsidRPr="00306509" w:rsidRDefault="00153D35"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WAM</w:t>
            </w:r>
          </w:p>
        </w:tc>
      </w:tr>
      <w:tr w:rsidR="00153D35" w:rsidRPr="00306509" w14:paraId="4A72078D" w14:textId="77777777" w:rsidTr="00690AEA">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879" w:type="pct"/>
            <w:hideMark/>
          </w:tcPr>
          <w:p w14:paraId="0DC37D2D" w14:textId="49C14020" w:rsidR="00153D35" w:rsidRPr="00306509" w:rsidRDefault="00153D35"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69: Edukim dhe aftësimi i punëtorëve të kualifikuar në fushën e teknologjive të energjisë së qëndrueshme</w:t>
            </w:r>
          </w:p>
        </w:tc>
        <w:tc>
          <w:tcPr>
            <w:tcW w:w="2353" w:type="pct"/>
            <w:vAlign w:val="center"/>
            <w:hideMark/>
          </w:tcPr>
          <w:p w14:paraId="1FA5EE02" w14:textId="6114EA6F" w:rsidR="00153D35" w:rsidRPr="00306509" w:rsidRDefault="00AE205A"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Nuk zbatohet.</w:t>
            </w:r>
          </w:p>
        </w:tc>
        <w:tc>
          <w:tcPr>
            <w:tcW w:w="768" w:type="pct"/>
            <w:vAlign w:val="center"/>
            <w:hideMark/>
          </w:tcPr>
          <w:p w14:paraId="3BA88138" w14:textId="0AE9D7AA" w:rsidR="00153D35" w:rsidRPr="00306509" w:rsidRDefault="00153D35" w:rsidP="00944071">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WEM</w:t>
            </w:r>
          </w:p>
        </w:tc>
      </w:tr>
      <w:tr w:rsidR="00153D35" w:rsidRPr="00976D33" w14:paraId="6D2FFE64" w14:textId="77777777" w:rsidTr="00C85EF4">
        <w:trPr>
          <w:trHeight w:val="474"/>
        </w:trPr>
        <w:tc>
          <w:tcPr>
            <w:cnfStyle w:val="001000000000" w:firstRow="0" w:lastRow="0" w:firstColumn="1" w:lastColumn="0" w:oddVBand="0" w:evenVBand="0" w:oddHBand="0" w:evenHBand="0" w:firstRowFirstColumn="0" w:firstRowLastColumn="0" w:lastRowFirstColumn="0" w:lastRowLastColumn="0"/>
            <w:tcW w:w="1879" w:type="pct"/>
            <w:hideMark/>
          </w:tcPr>
          <w:p w14:paraId="13988DA2" w14:textId="723E543B" w:rsidR="00153D35" w:rsidRPr="00306509" w:rsidRDefault="00153D35" w:rsidP="00944071">
            <w:pPr>
              <w:spacing w:before="0" w:after="0" w:line="240" w:lineRule="auto"/>
              <w:jc w:val="left"/>
              <w:rPr>
                <w:rFonts w:asciiTheme="majorHAnsi" w:eastAsia="Times New Roman" w:hAnsiTheme="majorHAnsi" w:cstheme="majorHAnsi"/>
                <w:color w:val="FFFFFF" w:themeColor="background1"/>
                <w:sz w:val="18"/>
                <w:szCs w:val="18"/>
              </w:rPr>
            </w:pPr>
            <w:r>
              <w:rPr>
                <w:rFonts w:asciiTheme="majorHAnsi" w:hAnsiTheme="majorHAnsi"/>
                <w:color w:val="FFFFFF" w:themeColor="background1"/>
                <w:sz w:val="18"/>
              </w:rPr>
              <w:t>PM 70: Krijimi i aleancave industriale për të nxitur inovacionin</w:t>
            </w:r>
          </w:p>
        </w:tc>
        <w:tc>
          <w:tcPr>
            <w:tcW w:w="2353" w:type="pct"/>
            <w:vAlign w:val="center"/>
          </w:tcPr>
          <w:p w14:paraId="5E7E386C" w14:textId="0D562071" w:rsidR="00153D35" w:rsidRPr="00306509" w:rsidRDefault="00153D35"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Nuk zbatohet.</w:t>
            </w:r>
          </w:p>
        </w:tc>
        <w:tc>
          <w:tcPr>
            <w:tcW w:w="768" w:type="pct"/>
            <w:vAlign w:val="center"/>
            <w:hideMark/>
          </w:tcPr>
          <w:p w14:paraId="2B476665" w14:textId="75AF71F5" w:rsidR="00153D35" w:rsidRPr="00976D33" w:rsidRDefault="00153D35" w:rsidP="009440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hAnsiTheme="majorHAnsi"/>
                <w:color w:val="000000"/>
                <w:sz w:val="18"/>
              </w:rPr>
              <w:t>WAM</w:t>
            </w:r>
          </w:p>
        </w:tc>
      </w:tr>
    </w:tbl>
    <w:p w14:paraId="433C375E" w14:textId="77777777" w:rsidR="00FD3BFB" w:rsidRPr="00976D33" w:rsidRDefault="00FD3BFB" w:rsidP="00FD3BFB">
      <w:pPr>
        <w:pStyle w:val="Heading3"/>
      </w:pPr>
      <w:bookmarkStart w:id="587" w:name="_Toc182302363"/>
      <w:r>
        <w:t>Faktorët ose pengesat e rrezikut të sektorit ose të tregut në kontekstin kombëtar ose rajonal</w:t>
      </w:r>
      <w:bookmarkEnd w:id="587"/>
    </w:p>
    <w:p w14:paraId="7824EF68" w14:textId="3F4D9738" w:rsidR="00FD3BFB" w:rsidRPr="00976D33" w:rsidRDefault="00FD3BFB" w:rsidP="00FD3BFB">
      <w:r>
        <w:t>Kufizimet buxhetore dhe mungesa e kapaciteteve në kuadër të ministrive dhe agjencive zbatuese kosovare vazhdojnë të paraqesin sfidë për zhvillimin dhe zbatimin e masave të politikave në kohën e duhur. Kufizimet buxhetore janë veçanërisht të rëndësishme në zona të cilat nuk perceptohen aq shumë siç është menaxhimi i pyjeve.</w:t>
      </w:r>
    </w:p>
    <w:p w14:paraId="539BD660" w14:textId="0EEFBF66" w:rsidR="00FD3BFB" w:rsidRPr="00976D33" w:rsidRDefault="00FD3BFB" w:rsidP="00FD3BFB">
      <w:r>
        <w:lastRenderedPageBreak/>
        <w:t>Në përgjithësi, mobilizimi i financimit të nevojshëm publik dhe privat për zbatimin e politikave dhe masave të parashikuara mund të jetë sfidë. Nga njëra anë, mungesa e njohjes politike të Republikës së Kosovës nga disa vende të treta, mungesa e saj nga disa organizata dhe forume ndërkombëtare, si dhe rreziku i perceptuar i sigurisë mund të përkthehen në kosto më të lartë të kapitalit dhe potencialisht ulje të interesit nga investitorët ndërkombëtarët. Nga ana tjetër, Kosova posedon një diasporë të madhe dhe ekonomikisht të rëndësishme me interes për të investuar në vend dhe ka qenë pritëse aktive e një game të gjerë donatorësh bilateralë dhe ndërkombëtarë, agjencive zhvillimore, institucioneve financiare ndërkombëtare (IFI) si dhe burimeve të tjera të financimit publik. Bazuar në angazhimin e saj ndaj politikave ambicioze energjetike dhe klimatike në Strategjinë e Energjisë dhe në këtë dokument, ndjekja e mbështetjes financiare të kushtëzuar lidhur me zbatimin e këtyre politikave mund të ndihmojë në zbutjen e disa prej kufizimeve të financimit publik (shih gjithashtu seksionin vijues).</w:t>
      </w:r>
    </w:p>
    <w:p w14:paraId="1C7BFEEA" w14:textId="6666DD2C" w:rsidR="00FD3BFB" w:rsidRPr="00976D33" w:rsidRDefault="00FD3BFB" w:rsidP="00FD3BFB">
      <w:r>
        <w:t>Një tjetër pengesë, që prek para së gjithash dimensionin e efiçiencës së energjisë, është çmimi i ulët i vazhdueshëm i energjisë elektrike në Kosovë (shih seksionin 4.5.3 i.). Për shkak të tarifave të rregulluara dhe të subvencionuara në mënyrë indirekte të konsumatorit, si dhe mungesës së një çmimi mjaftueshëm të lartë të karbonit, kosovarët historikisht janë inkurajuar të mbështeten në ngrohje joefikase të energjisë elektrike dhe ndërtesa me izolim të ulët. Çmimet e ulëta të energjisë elektrike vazhdojnë të bëjnë jo tërheqëse efiçiencën e energjisë dhe investimet e konsumatorëve vetë-prodhues, duke kërkuar reformë themelore të tarifave të energjisë elektrike ose subvencione thelbësore për këto lloj investimesh. Reforma e tarifave të energjisë elektrike, siç është nëpërmjet liberalizimit të çmimeve me pakicë, mbetet politikisht sfiduese për shkak të efekteve në të ardhurat e disponueshme (shih kapitullin 5.2) dhe do të duhet të shoqërohet me një skemë mbështetëse të projektuar mirë për konsumatorët e cenueshëm siç parashikohet nga PM 58.</w:t>
      </w:r>
    </w:p>
    <w:p w14:paraId="7C35AB6E" w14:textId="1BCF469F" w:rsidR="00FD3BFB" w:rsidRPr="00976D33" w:rsidRDefault="00FD3BFB" w:rsidP="00FD3BFB">
      <w:r>
        <w:t>Për sa i përket dimensionit të tregut të brendshëm të energjisë, ekziston rreziku që bashkimi më i gjerë rajonal i tregut të energjisë elektrike mund të ngecë për shkak të mungesës së koordinimit politik dhe inercisë institucionale në disa vende. Në veçanti, perspektivat për integrim rajonal varen shumë nga evoluimi i marrëdhënieve politike ndërmjet Republikës së Kosovës dhe Republikës së Serbisë dhe mund të pengohen më tej nga kjo. Çështjet e vëzhguara më parë, si për shembull ato që kanë të bëjnë me caktimin e kapacitetit të disponueshëm të transmisionit për interkonektorin ndërmjet Kosovës dhe Serbisë në përputhje me Opinionin e Arsyetuar të Sekretariatit të Komunitetit të Energjisë në rastin e procedurës së zgjidhjes së kontestit ECS-2/21, nxjerrin në pah barrierat për integrim të mëtejshëm rajonal. Prandaj, Kosova mirëpret një qasje të koordinuar në aspektin rajonal të lehtësuar nga Sekretariati i Komunitetit të Energjisë dhe Bashkimi Evropian, për të siguruar përpjekje të ngjashme dhe konvergjencë në liberalizimin e tregut rajonal dhe integrimin e tregut.</w:t>
      </w:r>
    </w:p>
    <w:p w14:paraId="7E02172E" w14:textId="7E90E020" w:rsidR="00FD3BFB" w:rsidRPr="00976D33" w:rsidRDefault="00FD3BFB" w:rsidP="00FD3BFB">
      <w:r>
        <w:t>Së fundi, dinamikat rajonale, kombëtare dhe globale e zinxhirit të furnizimit paraqesin një sfidë potenciale për përhapjen e shpejtë të burimeve të ripërtëritshme, kapacitetin e transmisionit, elektromobilitetin dhe teknologjitë tjera të përshkruara në Strategjinë e Energjisë së Kosovës dhe në këtë dokument. Ndërsa çmimet për teknologjitë e ripërtëritshme kanë qenë vazhdimisht në rënie në dekadën e fundit, rritjet e fundit janë vërejtur si pasojë e kufizimit të përgjithshëm të zinxhirit të furnizimit, paqëndrueshmërisë politike globale, luftës së Rusisë kundër Ukrainës dhe dinamikës së çmimeve dhe furnizimit të mineraleve kritike të nevojshme për teknologjitë e avancuara. Ndërsa kapaciteti i prodhimit për teknologjitë e ripërtëritshme, komponentët e rrjetit elektrik dhe mobilitetin elektrik është rritur në mënyrë të vazhdueshme, ka indikacione për mungesa të mundshme duke pasur parasysh përhapjen e shpejtë të këtyre teknologjive në nivel global, jo vetëm si pasojë e shtytjes drejt një ekonomie të dekarbonizuar, por edhe për shkak të përfitimeve që ofrojnë këto teknologji në drejtim të sigurisë energjetike. Këto dinamika gjithashtu kanë ndikim në nivelin lokal dhe rajonal dhe duhet të sigurohet furnizimi i teknologjive kritike për planet energjetike të Kosovës, duke llogaritur rritjen ose vonesat e mundshme të çmimeve.</w:t>
      </w:r>
    </w:p>
    <w:p w14:paraId="31403CC4" w14:textId="75EFB457" w:rsidR="00FD3BFB" w:rsidRPr="00976D33" w:rsidRDefault="00FD3BFB" w:rsidP="008B15FC">
      <w:pPr>
        <w:pStyle w:val="Heading3"/>
      </w:pPr>
      <w:bookmarkStart w:id="588" w:name="_Toc182302364"/>
      <w:r>
        <w:t>Analiza e mbështetjes shtesë të financave publike ose burimeve për të plotësuar boshllëqet e identifikuara.</w:t>
      </w:r>
      <w:bookmarkEnd w:id="588"/>
    </w:p>
    <w:p w14:paraId="08680B31" w14:textId="133FD6DA" w:rsidR="00FD3BFB" w:rsidRPr="00976D33" w:rsidRDefault="00FD3BFB" w:rsidP="00FD3BFB">
      <w:r>
        <w:t xml:space="preserve">Ka një interes në rritje globalisht nga IFN-të dhe donatorët si dhe huadhënësit tjerë institucionalë për financimin e kushtëzuar varësisht nga kushtet mjedisore, klimatike dhe sociale. Me Strategjinë e Energjisë të sapo miratuar, si dhe këtë dokument dhe KPK-në vullnetar aktualisht në zhvillim, të cilat përmbajnë të gjitha caqet, politikat dhe masat e ambicioze për energjinë dhe klimën, Kosova është vend ideal për të mobilizuar </w:t>
      </w:r>
      <w:r>
        <w:lastRenderedPageBreak/>
        <w:t>financimin e kushtëzuar të klimës. Duke marrë parasysh pengesën e mundshme që kufizimet buxhetore të qeverisë dhe çështjet më të gjera të qasjes dhe kostos së financimit paraqesin për zbatimin e politikave dhe masave të parashikuara (shih seksionin më lart), Kosova do të kërkojë në mënyrë proaktive dialog me IFN-të, donatorët dhe institucionet huadhënëse në lidhje me programet e mundshme në ketë aspekt.</w:t>
      </w:r>
    </w:p>
    <w:p w14:paraId="07FC8C8C" w14:textId="6F421430" w:rsidR="00FD3BFB" w:rsidRPr="00976D33" w:rsidRDefault="00FD3BFB" w:rsidP="006E6E51">
      <w:pPr>
        <w:pStyle w:val="Heading2"/>
      </w:pPr>
      <w:bookmarkStart w:id="589" w:name="_Toc182302365"/>
      <w:r>
        <w:t>Ndikimet e politikave dhe masave të planifikuara në palët e tjera kontraktuese dhe/ose shtetet anëtare të Bashkimit Evropian</w:t>
      </w:r>
      <w:bookmarkEnd w:id="589"/>
    </w:p>
    <w:p w14:paraId="7EA89D70" w14:textId="4DA9FC6C" w:rsidR="00FD3BFB" w:rsidRPr="00976D33" w:rsidRDefault="00FD3BFB" w:rsidP="00AF7BBF">
      <w:pPr>
        <w:pStyle w:val="Heading3"/>
        <w:numPr>
          <w:ilvl w:val="0"/>
          <w:numId w:val="65"/>
        </w:numPr>
      </w:pPr>
      <w:bookmarkStart w:id="590" w:name="_Toc182302366"/>
      <w:r>
        <w:t>Ndikimet në sistemin energjetik në vendet fqinje dhe palët tjera kontraktuese dhe/ose shtetet anëtare të Bashkimit Evropian në rajon</w:t>
      </w:r>
      <w:bookmarkEnd w:id="590"/>
    </w:p>
    <w:p w14:paraId="5173E2DB" w14:textId="30E65043" w:rsidR="00FD3BFB" w:rsidRPr="00306509" w:rsidRDefault="00FD3BFB" w:rsidP="00FD3BFB">
      <w:r>
        <w:t>Për shkak të madhësisë së moderuar të sistemit energjetik të Kosovës, ndikimi i politikave dhe masave të planifikuara (të përshkruara në seksionin 3) në sistemet energjetike në vendet fqinje, palët e tjera kontraktuese dhe shtetet anëtare të Bashkimit Evropian në rajon mbetet i kufizuar. Megjithatë, planet ambicioze të zgjerimit të Kosovës për energji të ripërtëritshme, veçanërisht kur kombinohen me investimet ambicioze në efiçiencë të energjisë dhe reduktimet që rezultojnë në kërkesën për energji në skenarin WAM, nënkuptojnë se Kosova bëhet një eksportues i energjisë së ripërtëritshme të ndryshueshme në kohë të prodhimit të tepërt të burimeve të ripërtëritshme. Për shkak të kapacitetit të kufizuar të ruajtjes në Kosovë, ka sinergji të konsiderueshme që dalin nga integrimi më i thellë me Shqipërinë dhe vendet e tjera të rajonit me rezervuarë të mëdhenj hidroenergjetikë dhe/ose kapacitete ruajtëse me pompa. Vendet fqinje inkurajohen të importojnë energji të lirë të ripërtëritshme nga Kosova, veçanërisht gjatë verës, gjë që ua mundëson atyre të kursejnë energjinë hidrike të ruajtur në hidrorezervuarë dhe/ose impiante të depozitimit të pompuara për javë të tëra me gjenerim më të ulët të burimeve të ripërtëritshme ose më vonë gjatë vitit (varësisht nga madhësia e kapacitetit ruajtës). Një sistem i tillë energjetik i integruar rajonal me asete plotësuese të prodhimit dhe ruajtjes pritet të rezultojë në përmirësimin e sigurisë së furnizimit për shkak të një parku më të larmishëm të termocentraleve dhe ndarjes së rezervave të sistemit energjetik, si dhe çmimeve më të ulëta në të gjithë rajonin për shkak të një hapësire dhe tregu më të madh, më likuid dhe më konkurrues të energjisë elektrike me një mjedis të përmirësuar për investime dhe shfrytëzim më efikas të kapaciteteve transmetuese ndërkufitare dhe potencialeve rajonale të energjisë së ripërtëritshme. Një liberalizim dhe integrim i koordinuar rajonal i tregut të energjisë elektrike lejon integrimin me kosto efikase të pjesëmarrjeve më të larta të burimeve të ripërtëritshme të energjisë në rajon dhe mund të çojë në kursime totale në kostot e energjisë prej të paktën 100 milionë euro në vit deri në vitin 2030 në të gjithë rajonin. Barrierat siç janë tregjet e rregulluara jolikuide me shumicë dhe konkurrenca nga impiantet e subvencionuara të linjitit në të gjithë rajonin mund të tejkalohen me një përpjekje të koordinuar në rajon për të hequr gradualisht rregulloret e çmimeve, subvencionet dhe kontratat e tjera afatgjata dypalëshe dhe marrëveshjet e furnizimit me shumicë me operatorët e linjitit.</w:t>
      </w:r>
      <w:r w:rsidR="00B378CA" w:rsidRPr="00306509">
        <w:rPr>
          <w:rStyle w:val="FootnoteReference"/>
          <w:lang w:eastAsia="ja-JP"/>
        </w:rPr>
        <w:footnoteReference w:id="50"/>
      </w:r>
    </w:p>
    <w:p w14:paraId="65D2C9E4" w14:textId="77777777" w:rsidR="00FD3BFB" w:rsidRPr="00306509" w:rsidRDefault="00FD3BFB" w:rsidP="00FD3BFB">
      <w:pPr>
        <w:pStyle w:val="Heading3"/>
      </w:pPr>
      <w:bookmarkStart w:id="591" w:name="_Toc182302367"/>
      <w:r>
        <w:t>Ndikimet në çmimet e energjisë, shërbimet komunale dhe integrimin e tregut energjetik</w:t>
      </w:r>
      <w:bookmarkEnd w:id="591"/>
    </w:p>
    <w:p w14:paraId="629823F7" w14:textId="2225EAB5" w:rsidR="00FD3BFB" w:rsidRPr="00306509" w:rsidRDefault="00676749" w:rsidP="00FD3BFB">
      <w:pPr>
        <w:rPr>
          <w:szCs w:val="20"/>
        </w:rPr>
      </w:pPr>
      <w:r>
        <w:t xml:space="preserve">Operatori publik i termocentralit me linjitit KEK-u do të përballet me kostot e dekomisionimit si dhe me kostot e investimit për rinovim, zgjatjen e jetëgjatësisë dhe përmirësimin e filtrave për njësitë e tij të linjitit që mbeten në operim ose rezervë strategjike. Përmasat e këtyre kostove janë vlerësuar në “Studimin për Dekomisionimin e Termocentralit Kosova A” të financuar nga BE-ja në vitin 2010. Për të përcaktuar kostot e përditësuara të dekomisionimit, ky studim do të rishikohet. Pasi marrëveshja për furnizim me shumicë (MFSH) të përfundojë në përputhje me </w:t>
      </w:r>
      <w:r w:rsidR="00FD3BFB" w:rsidRPr="00306509">
        <w:rPr>
          <w:color w:val="auto"/>
        </w:rPr>
        <w:fldChar w:fldCharType="begin"/>
      </w:r>
      <w:r w:rsidR="00FD3BFB" w:rsidRPr="00306509">
        <w:rPr>
          <w:color w:val="auto"/>
        </w:rPr>
        <w:instrText xml:space="preserve"> REF _Ref138208339 \h  \* MERGEFORMAT </w:instrText>
      </w:r>
      <w:r w:rsidR="00FD3BFB" w:rsidRPr="00306509">
        <w:rPr>
          <w:color w:val="auto"/>
        </w:rPr>
      </w:r>
      <w:r w:rsidR="00FD3BFB" w:rsidRPr="00306509">
        <w:rPr>
          <w:color w:val="auto"/>
        </w:rPr>
        <w:fldChar w:fldCharType="separate"/>
      </w:r>
      <w:r w:rsidR="003B7FFA" w:rsidRPr="003B7FFA">
        <w:rPr>
          <w:color w:val="auto"/>
        </w:rPr>
        <w:t>PM</w:t>
      </w:r>
      <w:r w:rsidR="00FD3BFB" w:rsidRPr="00306509">
        <w:rPr>
          <w:color w:val="auto"/>
        </w:rPr>
        <w:fldChar w:fldCharType="end"/>
      </w:r>
      <w:r>
        <w:t xml:space="preserve">, KEK-u do të jetë në gjendje t’ua transferojë këto kosto konsumatorëve të vet, pasi do të mund të negociojë çmimin me ta. Për më tepër, operatorët e sistemit të distribuimit dhe transmisionit KEDS dhe KOSTT do të përballen me kosto për mirëmbajtjen dhe përmirësimin e rrjetit për integrimin e energjisë shtesë të ripërtëritshme në rrjet dhe reduktimin e humbjeve të transmisionit dhe në veçanti të distribuimit në përputhje me caqet në </w:t>
      </w:r>
      <w:r w:rsidR="00FD3BFB" w:rsidRPr="00306509">
        <w:fldChar w:fldCharType="begin"/>
      </w:r>
      <w:r w:rsidR="00FD3BFB" w:rsidRPr="00306509">
        <w:instrText xml:space="preserve"> REF _Ref138208211 \h  \* MERGEFORMAT </w:instrText>
      </w:r>
      <w:r w:rsidR="00FD3BFB" w:rsidRPr="00306509">
        <w:fldChar w:fldCharType="separate"/>
      </w:r>
      <w:r w:rsidR="003B7FFA" w:rsidRPr="003B7FFA">
        <w:t xml:space="preserve">PM </w:t>
      </w:r>
      <w:r w:rsidR="00FD3BFB" w:rsidRPr="00306509">
        <w:fldChar w:fldCharType="end"/>
      </w:r>
      <w:r>
        <w:rPr>
          <w:b/>
        </w:rPr>
        <w:t xml:space="preserve"> </w:t>
      </w:r>
      <w:r>
        <w:t>dhe</w:t>
      </w:r>
      <w:r>
        <w:rPr>
          <w:b/>
        </w:rPr>
        <w:t xml:space="preserve"> </w:t>
      </w:r>
      <w:r>
        <w:t xml:space="preserve">PM 43, i cili do të kompensohet sipas rregullores përkatëse dhe do t’u kalojë konsumatorëve. Ndërsa shumica e investimeve në energji të ripërtëritshme do të ndërmerren nga investitorët </w:t>
      </w:r>
      <w:r>
        <w:lastRenderedPageBreak/>
        <w:t>privatë, mund të ketë kosto të konsiderueshme të mbështetjes publike për të mobilizuar këto investime private. Varësisht nga zgjedhja e dizajnit të politikës (aktualisht në përgatitje), kostoja e mbështetjes për burimet e ripërtëritshme mund t’u ngarkohet konsumatorëve përmes një takse mbi çmimet e shitjes me pakicë.</w:t>
      </w:r>
    </w:p>
    <w:p w14:paraId="3E7792C2" w14:textId="6BCD1975" w:rsidR="00FD3BFB" w:rsidRDefault="00FD3BFB" w:rsidP="00815DE2">
      <w:r w:rsidRPr="00306509">
        <w:fldChar w:fldCharType="begin"/>
      </w:r>
      <w:r w:rsidRPr="00306509">
        <w:instrText xml:space="preserve"> REF _Ref139004643 \h  \* MERGEFORMAT </w:instrText>
      </w:r>
      <w:r w:rsidRPr="00306509">
        <w:fldChar w:fldCharType="separate"/>
      </w:r>
      <w:r w:rsidR="003B7FFA">
        <w:t xml:space="preserve">Figura </w:t>
      </w:r>
      <w:r w:rsidR="003B7FFA" w:rsidRPr="003B7FFA">
        <w:t>90</w:t>
      </w:r>
      <w:r w:rsidRPr="00306509">
        <w:fldChar w:fldCharType="end"/>
      </w:r>
      <w:r>
        <w:t xml:space="preserve"> tregon çmimet e vlerësuara me pakicë të energjisë elektrike që mbulojnë koston, të cilat do të kërkoheshin për të rifinancuar investimet përkatëse në sistem. Këto çmime nuk janë domosdoshmërisht në përputhje me çmimet e ardhshme të tregut. Përkundrazi, vlerësimet shërbejnë si përafrues për çmimet e tregut me pakicë plus kostot mbështetëse të cilat mund ose nuk mund të përfshihen në çmimet përfundimtare të shitjes me pakicë.</w:t>
      </w:r>
    </w:p>
    <w:p w14:paraId="73BF5648" w14:textId="6F7A80FF" w:rsidR="00FD3BFB" w:rsidRPr="00976D33" w:rsidRDefault="00FD3BFB" w:rsidP="006E6E51">
      <w:pPr>
        <w:pStyle w:val="Caption"/>
      </w:pPr>
      <w:bookmarkStart w:id="592" w:name="_Ref139004643"/>
      <w:bookmarkStart w:id="593" w:name="_Toc181867293"/>
      <w:r>
        <w:rPr>
          <w:b w:val="0"/>
          <w:i w:val="0"/>
        </w:rPr>
        <w:t xml:space="preserve">Figura </w:t>
      </w:r>
      <w:r w:rsidRPr="00976D33">
        <w:rPr>
          <w:b w:val="0"/>
          <w:i w:val="0"/>
        </w:rPr>
        <w:fldChar w:fldCharType="begin"/>
      </w:r>
      <w:r w:rsidRPr="00976D33">
        <w:rPr>
          <w:b w:val="0"/>
          <w:i w:val="0"/>
        </w:rPr>
        <w:instrText>SEQ Figure \* ARABIC</w:instrText>
      </w:r>
      <w:r w:rsidRPr="00976D33">
        <w:rPr>
          <w:b w:val="0"/>
          <w:i w:val="0"/>
        </w:rPr>
        <w:fldChar w:fldCharType="separate"/>
      </w:r>
      <w:r w:rsidR="003B7FFA">
        <w:rPr>
          <w:b w:val="0"/>
          <w:i w:val="0"/>
          <w:noProof/>
        </w:rPr>
        <w:t>90</w:t>
      </w:r>
      <w:r w:rsidRPr="00976D33">
        <w:rPr>
          <w:b w:val="0"/>
          <w:i w:val="0"/>
        </w:rPr>
        <w:fldChar w:fldCharType="end"/>
      </w:r>
      <w:bookmarkEnd w:id="592"/>
      <w:r>
        <w:rPr>
          <w:b w:val="0"/>
          <w:i w:val="0"/>
        </w:rPr>
        <w:t>. Çmimi i vlerësuar me pakicë i energjisë elektrike që mbulon koston (sipas vitit dhe skenarin)</w:t>
      </w:r>
      <w:bookmarkEnd w:id="593"/>
    </w:p>
    <w:p w14:paraId="0E5E04B1" w14:textId="132211F6" w:rsidR="00FD3BFB" w:rsidRDefault="00463FC6" w:rsidP="00FD3BFB">
      <w:pPr>
        <w:pStyle w:val="Tabellenberschrift"/>
        <w:jc w:val="center"/>
      </w:pPr>
      <w:r>
        <w:t xml:space="preserve"> </w:t>
      </w:r>
    </w:p>
    <w:p w14:paraId="61AAE55A" w14:textId="09D6AE98" w:rsidR="00763C1E" w:rsidRPr="00976D33" w:rsidRDefault="00763C1E" w:rsidP="00FD3BFB">
      <w:pPr>
        <w:pStyle w:val="Tabellenberschrift"/>
        <w:jc w:val="center"/>
      </w:pPr>
      <w:r>
        <w:rPr>
          <w:noProof/>
          <w:lang w:val="en-US" w:eastAsia="en-US"/>
        </w:rPr>
        <w:drawing>
          <wp:inline distT="0" distB="0" distL="0" distR="0" wp14:anchorId="710B4B92" wp14:editId="26195EFD">
            <wp:extent cx="4778734" cy="2751740"/>
            <wp:effectExtent l="0" t="0" r="0" b="0"/>
            <wp:docPr id="210055429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793153" cy="2760043"/>
                    </a:xfrm>
                    <a:prstGeom prst="rect">
                      <a:avLst/>
                    </a:prstGeom>
                    <a:noFill/>
                    <a:ln>
                      <a:noFill/>
                    </a:ln>
                  </pic:spPr>
                </pic:pic>
              </a:graphicData>
            </a:graphic>
          </wp:inline>
        </w:drawing>
      </w:r>
    </w:p>
    <w:p w14:paraId="47E6A995" w14:textId="77777777" w:rsidR="00FD3BFB" w:rsidRPr="00976D33" w:rsidRDefault="00FD3BFB" w:rsidP="00FD3BFB">
      <w:pPr>
        <w:rPr>
          <w:i/>
          <w:sz w:val="16"/>
          <w:szCs w:val="16"/>
        </w:rPr>
      </w:pPr>
      <w:r>
        <w:rPr>
          <w:i/>
          <w:sz w:val="16"/>
        </w:rPr>
        <w:t>Burimi: llogaritjet dhe modelimi vetanak</w:t>
      </w:r>
    </w:p>
    <w:p w14:paraId="77048434" w14:textId="77777777" w:rsidR="00FD3BFB" w:rsidRPr="00976D33" w:rsidRDefault="00FD3BFB" w:rsidP="00FD3BFB">
      <w:pPr>
        <w:rPr>
          <w:i/>
          <w:sz w:val="16"/>
          <w:szCs w:val="16"/>
        </w:rPr>
      </w:pPr>
    </w:p>
    <w:p w14:paraId="0350BF3F" w14:textId="15374D1B" w:rsidR="00FD3BFB" w:rsidRPr="00976D33" w:rsidRDefault="00FD3BFB" w:rsidP="00FD3BFB">
      <w:r>
        <w:t>Integrimi i tregut të energjisë përbën një pjesë integrale të politikës energjetike dhe klimatike të Kosovës. Së pari dhe më e rëndësishmja, kjo nënkupton hapjen e fundit të tregut dhe lidhjen me Shqipërinë brenda ALPEX-it. Me tej, Kosova gjithashtu planifikon të hapë segmente të tjera të tregut (brenda të njëjtës ditë, balancues, etj.) dhe të bashkohet me vend</w:t>
      </w:r>
      <w:r w:rsidR="0037748E">
        <w:t>et e tjera</w:t>
      </w:r>
      <w:r>
        <w:t xml:space="preserve"> të rajonit si dhe me Bashkimin Evropian. Megjithatë, perspektivat për integrim rajonal varen shumë nga evoluimi i marrëdhënieve politike ndërmjet Republikës Kosovës dhe Republikës së Serbisë dhe mund të pengohen më tej nga kjo. Çështjet aktuale, si për shembull ato që kanë të bëjnë me mungesë të caktimit të kapacitetit të disponueshëm të transmisionit për interkonektorin ndërmjet Kosovës dhe Serbisë nga OST serb, që kërkohet në përputhje me Opinionin e Arsyetuar të Sekretariatit të Komunitetit të Energjisë në rastin e procedurës së zgjidhjes së kontestit ECS-2/21, nxjerrin në pah barrierat për integrim të mëtejshëm rajonal (shihni gjithashtu seksionin 5.3.ii.).</w:t>
      </w:r>
    </w:p>
    <w:p w14:paraId="4BC58D35" w14:textId="09DDC56A" w:rsidR="00FD3BFB" w:rsidRPr="00976D33" w:rsidRDefault="008B15FC" w:rsidP="00FD3BFB">
      <w:pPr>
        <w:pStyle w:val="Heading3"/>
      </w:pPr>
      <w:bookmarkStart w:id="594" w:name="_Toc182302368"/>
      <w:r>
        <w:t>Ndikimet në bashkëpunimin rajonal</w:t>
      </w:r>
      <w:bookmarkEnd w:id="594"/>
    </w:p>
    <w:p w14:paraId="5DBC286D" w14:textId="7E521A47" w:rsidR="009A7A8D" w:rsidRPr="00976D33" w:rsidRDefault="00FD3BFB" w:rsidP="00EC5061">
      <w:r>
        <w:t xml:space="preserve">Bashkimi i tregut të energjisë elektrike me Shqipërinë, si pjesë e ALPEX-it, si dhe me vendet e tjera dhe përfundimisht me Bashkimin Evropian, është në thelb të politikës energjetike dhe klimatike të Kosovës. Për më tepër, Kosova po shqyrton mundësinë e bashkë-investimit në prodhimin e energjisë elektrike të bazuar në gaz në rajon, ndoshta në Shqipëri. Bashkëpunimi për rezervat balancuese me Shqipërinë do të vazhdojë, ndoshta brenda një tregu balancues të liberalizuar, sapo hapja e tregut të përparojë në segmentin e tregut balancues. Në përgjithësi, Kosova e njeh faktin se koordinimi i politikave dhe bashkëpunimi rajonal luajnë rol gjithnjë e më të rëndësishëm për të balancuar energjinë e ripërtëritshme të ndryshueshme, për të planifikuar adekuacinë afatgjatë të gjenerimit, për të rritur qëndrueshmërinë ndaj goditjeve të jashtme dhe për t’iu përshtatur efekteve gjithnjë e më të dukshme të ndryshimeve klimatike. </w:t>
      </w:r>
    </w:p>
    <w:p w14:paraId="68369B3A" w14:textId="77777777" w:rsidR="003C31C5" w:rsidRPr="00976D33" w:rsidRDefault="003C31C5" w:rsidP="00FD3BFB"/>
    <w:p w14:paraId="596A05DE" w14:textId="77777777" w:rsidR="009A7A8D" w:rsidRPr="00D70D02" w:rsidRDefault="009A7A8D" w:rsidP="00FD3BFB"/>
    <w:sectPr w:rsidR="009A7A8D" w:rsidRPr="00D70D02" w:rsidSect="007E6A8A">
      <w:headerReference w:type="default" r:id="rId127"/>
      <w:footnotePr>
        <w:numRestart w:val="eachSect"/>
      </w:footnotePr>
      <w:pgSz w:w="11906" w:h="16838" w:code="9"/>
      <w:pgMar w:top="1469" w:right="1022" w:bottom="1138" w:left="1310" w:header="0" w:footer="28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5E4278" w14:textId="77777777" w:rsidR="00062E07" w:rsidRPr="00976D33" w:rsidRDefault="00062E07">
      <w:r w:rsidRPr="00976D33">
        <w:separator/>
      </w:r>
    </w:p>
    <w:p w14:paraId="5C28BB47" w14:textId="77777777" w:rsidR="00062E07" w:rsidRPr="00976D33" w:rsidRDefault="00062E07"/>
  </w:endnote>
  <w:endnote w:type="continuationSeparator" w:id="0">
    <w:p w14:paraId="61D81970" w14:textId="77777777" w:rsidR="00062E07" w:rsidRPr="00976D33" w:rsidRDefault="00062E07">
      <w:r w:rsidRPr="00976D33">
        <w:continuationSeparator/>
      </w:r>
    </w:p>
    <w:p w14:paraId="3A54BA3A" w14:textId="77777777" w:rsidR="00062E07" w:rsidRPr="00976D33" w:rsidRDefault="00062E07"/>
  </w:endnote>
  <w:endnote w:type="continuationNotice" w:id="1">
    <w:p w14:paraId="407734EF" w14:textId="77777777" w:rsidR="00062E07" w:rsidRPr="00976D33" w:rsidRDefault="00062E0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BundesSerif Office">
    <w:altName w:val="Cambria"/>
    <w:charset w:val="00"/>
    <w:family w:val="roman"/>
    <w:pitch w:val="variable"/>
    <w:sig w:usb0="A00000BF" w:usb1="4000206B" w:usb2="00000000" w:usb3="00000000" w:csb0="00000093" w:csb1="00000000"/>
  </w:font>
  <w:font w:name="BundesSerif Regular">
    <w:panose1 w:val="00000000000000000000"/>
    <w:charset w:val="00"/>
    <w:family w:val="roman"/>
    <w:notTrueType/>
    <w:pitch w:val="variable"/>
    <w:sig w:usb0="A00000BF" w:usb1="4000206B" w:usb2="00000000" w:usb3="00000000" w:csb0="00000093" w:csb1="00000000"/>
  </w:font>
  <w:font w:name="BundesSans Office">
    <w:altName w:val="Calibri"/>
    <w:charset w:val="00"/>
    <w:family w:val="swiss"/>
    <w:pitch w:val="variable"/>
    <w:sig w:usb0="A00000BF" w:usb1="4000206B" w:usb2="00000000" w:usb3="00000000" w:csb0="00000093" w:csb1="00000000"/>
  </w:font>
  <w:font w:name="BundesSans Regular">
    <w:panose1 w:val="00000000000000000000"/>
    <w:charset w:val="00"/>
    <w:family w:val="swiss"/>
    <w:notTrueType/>
    <w:pitch w:val="variable"/>
    <w:sig w:usb0="A00000BF" w:usb1="4000206B" w:usb2="00000000" w:usb3="00000000" w:csb0="00000093" w:csb1="00000000"/>
  </w:font>
  <w:font w:name="calibri light (Überschriften)">
    <w:altName w:val="Calibri Light"/>
    <w:charset w:val="00"/>
    <w:family w:val="auto"/>
    <w:pitch w:val="default"/>
  </w:font>
  <w:font w:name="Segoe UI">
    <w:panose1 w:val="020B0502040204020203"/>
    <w:charset w:val="00"/>
    <w:family w:val="swiss"/>
    <w:pitch w:val="variable"/>
    <w:sig w:usb0="E4002EFF" w:usb1="C000E47F" w:usb2="00000009" w:usb3="00000000" w:csb0="000001FF" w:csb1="00000000"/>
  </w:font>
  <w:font w:name="minion pro">
    <w:charset w:val="00"/>
    <w:family w:val="auto"/>
    <w:pitch w:val="default"/>
  </w:font>
  <w:font w:name="Calibri Light">
    <w:panose1 w:val="020F0302020204030204"/>
    <w:charset w:val="00"/>
    <w:family w:val="swiss"/>
    <w:pitch w:val="variable"/>
    <w:sig w:usb0="E4002EFF" w:usb1="C000247B" w:usb2="00000009" w:usb3="00000000" w:csb0="000001FF" w:csb1="00000000"/>
  </w:font>
  <w:font w:name="Gravur condensed">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ptos Narrow">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0ED08" w14:textId="77777777" w:rsidR="004D127F" w:rsidRPr="00976D33" w:rsidRDefault="004D1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039CEE" w14:textId="77777777" w:rsidR="00062E07" w:rsidRPr="00976D33" w:rsidRDefault="00062E07" w:rsidP="00DB25AF">
      <w:pPr>
        <w:pStyle w:val="Footer"/>
      </w:pPr>
    </w:p>
  </w:footnote>
  <w:footnote w:type="continuationSeparator" w:id="0">
    <w:p w14:paraId="132D7264" w14:textId="77777777" w:rsidR="00062E07" w:rsidRPr="00976D33" w:rsidRDefault="00062E07" w:rsidP="00DB25AF">
      <w:pPr>
        <w:pStyle w:val="Footer"/>
      </w:pPr>
    </w:p>
  </w:footnote>
  <w:footnote w:type="continuationNotice" w:id="1">
    <w:p w14:paraId="3899F631" w14:textId="77777777" w:rsidR="00062E07" w:rsidRPr="00976D33" w:rsidRDefault="00062E07">
      <w:pPr>
        <w:spacing w:before="0" w:after="0" w:line="240" w:lineRule="auto"/>
      </w:pPr>
    </w:p>
  </w:footnote>
  <w:footnote w:id="2">
    <w:p w14:paraId="3D1CEAB4" w14:textId="072647EB" w:rsidR="004D127F" w:rsidRPr="008C14F9" w:rsidRDefault="004D127F">
      <w:pPr>
        <w:pStyle w:val="FootnoteText"/>
      </w:pPr>
      <w:r>
        <w:rPr>
          <w:rStyle w:val="FootnoteReference"/>
        </w:rPr>
        <w:footnoteRef/>
      </w:r>
      <w:r>
        <w:t xml:space="preserve"> Bazuar në modelimin dhe llogaritjet e PKEK-së. </w:t>
      </w:r>
    </w:p>
  </w:footnote>
  <w:footnote w:id="3">
    <w:p w14:paraId="4AE18BFC" w14:textId="36740B62" w:rsidR="004D127F" w:rsidRPr="009E57B4" w:rsidRDefault="004D127F">
      <w:pPr>
        <w:pStyle w:val="FootnoteText"/>
        <w:rPr>
          <w:rFonts w:asciiTheme="majorHAnsi" w:hAnsiTheme="majorHAnsi" w:cstheme="majorHAnsi"/>
        </w:rPr>
      </w:pPr>
      <w:r>
        <w:rPr>
          <w:rStyle w:val="FootnoteReference"/>
          <w:sz w:val="18"/>
          <w:szCs w:val="18"/>
          <w:lang w:val="en-GB"/>
        </w:rPr>
        <w:footnoteRef/>
      </w:r>
      <w:r>
        <w:rPr>
          <w:sz w:val="18"/>
        </w:rPr>
        <w:t xml:space="preserve"> </w:t>
      </w:r>
      <w:r>
        <w:rPr>
          <w:rFonts w:asciiTheme="majorHAnsi" w:hAnsiTheme="majorHAnsi"/>
          <w:sz w:val="18"/>
        </w:rPr>
        <w:t xml:space="preserve">Viti bazë për reduktimin e emetimeve nga Angazhimi Global për Metanin u ndryshua nga viti 2020 në vitin 2021 për shkak të kufizimeve që ndërlidhën me disponueshmërinë e të dhënave. Për më tepër, emetimet nga mbetjet industriale aktualisht nuk janë të përfshira për shkak të mungesës së të dhënave historike. Kosova synon të përfshijë emetimet nga mbetjet industriale në përditësimin e ardhshëm të PKEK-së nëse të dhëna shtesë bëhen të disponueshme. E njëjta gjë vlen për emetimet e metanit të shpërndara nga minierat e linjitit. Të dyja do të shërbejnë si një bazë kuantitative për formulimin e politikave drejt arritjes së caqeve të Angazhimit Global për Metanin. </w:t>
      </w:r>
    </w:p>
  </w:footnote>
  <w:footnote w:id="4">
    <w:p w14:paraId="3ABB37E6" w14:textId="4A9E7C73" w:rsidR="004D127F" w:rsidRPr="008C14F9" w:rsidRDefault="004D127F" w:rsidP="008A235E">
      <w:pPr>
        <w:pStyle w:val="FootnoteText"/>
        <w:rPr>
          <w:rFonts w:asciiTheme="majorHAnsi" w:hAnsiTheme="majorHAnsi" w:cstheme="majorHAnsi"/>
          <w:sz w:val="18"/>
          <w:szCs w:val="18"/>
        </w:rPr>
      </w:pPr>
      <w:r>
        <w:rPr>
          <w:rStyle w:val="FootnoteReference"/>
          <w:rFonts w:asciiTheme="majorHAnsi" w:hAnsiTheme="majorHAnsi" w:cstheme="majorHAnsi"/>
          <w:sz w:val="18"/>
          <w:szCs w:val="18"/>
          <w:lang w:val="en-GB"/>
        </w:rPr>
        <w:footnoteRef/>
      </w:r>
      <w:r>
        <w:t xml:space="preserve"> </w:t>
      </w:r>
      <w:r>
        <w:rPr>
          <w:rFonts w:asciiTheme="majorHAnsi" w:hAnsiTheme="majorHAnsi"/>
          <w:sz w:val="18"/>
        </w:rPr>
        <w:t>Përdorimi i termit “rezervë strategjike” nuk ka të bëjë me përkufizimin sipas Rregullores (BE) 2019/943 dhe kuptohet në një kuptim më të gjerë. Është planifikuar që këto njësi të jenë në dispozicion në sezonin vendimtar të ngrohjes me kërkesë më të lartë, ose gjatë rasteve të jashtëzakonshme siç janë krizat energjetike.</w:t>
      </w:r>
    </w:p>
  </w:footnote>
  <w:footnote w:id="5">
    <w:p w14:paraId="4E5F3AC0" w14:textId="2EE2B17B" w:rsidR="004D127F" w:rsidRPr="008C14F9" w:rsidRDefault="004D127F" w:rsidP="00A7174F">
      <w:pPr>
        <w:pStyle w:val="FootnoteText"/>
        <w:rPr>
          <w:rFonts w:asciiTheme="majorHAnsi" w:hAnsiTheme="majorHAnsi" w:cstheme="majorHAnsi"/>
          <w:sz w:val="18"/>
          <w:szCs w:val="18"/>
        </w:rPr>
      </w:pPr>
      <w:r>
        <w:rPr>
          <w:rStyle w:val="FootnoteReference"/>
          <w:rFonts w:asciiTheme="majorHAnsi" w:hAnsiTheme="majorHAnsi" w:cstheme="majorHAnsi"/>
          <w:sz w:val="18"/>
          <w:szCs w:val="18"/>
          <w:lang w:val="en-GB"/>
        </w:rPr>
        <w:footnoteRef/>
      </w:r>
      <w:r>
        <w:t xml:space="preserve"> </w:t>
      </w:r>
      <w:r>
        <w:rPr>
          <w:rFonts w:asciiTheme="majorHAnsi" w:hAnsiTheme="majorHAnsi"/>
          <w:sz w:val="18"/>
        </w:rPr>
        <w:t>Raporti Vjetor 2022 - Zyra e Rregullatorit për Energji</w:t>
      </w:r>
    </w:p>
  </w:footnote>
  <w:footnote w:id="6">
    <w:p w14:paraId="365DC9F1" w14:textId="3D192F67" w:rsidR="004D127F" w:rsidRPr="00976D33" w:rsidRDefault="004D127F">
      <w:pPr>
        <w:pStyle w:val="FootnoteText"/>
      </w:pPr>
      <w:r>
        <w:rPr>
          <w:rStyle w:val="FootnoteReference"/>
          <w:rFonts w:asciiTheme="majorHAnsi" w:hAnsiTheme="majorHAnsi" w:cstheme="majorHAnsi"/>
          <w:sz w:val="18"/>
          <w:szCs w:val="18"/>
          <w:lang w:val="en-GB"/>
        </w:rPr>
        <w:footnoteRef/>
      </w:r>
      <w:r>
        <w:t xml:space="preserve"> </w:t>
      </w:r>
      <w:r>
        <w:rPr>
          <w:rFonts w:asciiTheme="majorHAnsi" w:hAnsiTheme="majorHAnsi"/>
          <w:sz w:val="18"/>
        </w:rPr>
        <w:t>Përveç kësaj, synohet për humbje zero komerciale sipas Strategjisë së Energjisë.</w:t>
      </w:r>
    </w:p>
  </w:footnote>
  <w:footnote w:id="7">
    <w:p w14:paraId="4718F57F" w14:textId="77777777" w:rsidR="004D127F" w:rsidRPr="00976D33" w:rsidRDefault="004D127F" w:rsidP="00B10D1B">
      <w:pPr>
        <w:pStyle w:val="FootnoteText"/>
        <w:rPr>
          <w:rFonts w:ascii="Arial" w:hAnsi="Arial" w:cs="Arial"/>
          <w:sz w:val="16"/>
          <w:szCs w:val="16"/>
        </w:rPr>
      </w:pPr>
      <w:r>
        <w:rPr>
          <w:rStyle w:val="FootnoteReference"/>
          <w:rFonts w:cs="Arial"/>
          <w:sz w:val="16"/>
          <w:szCs w:val="16"/>
          <w:lang w:val="en-GB"/>
        </w:rPr>
        <w:footnoteRef/>
      </w:r>
      <w:r>
        <w:rPr>
          <w:rFonts w:ascii="Arial" w:hAnsi="Arial"/>
          <w:sz w:val="16"/>
        </w:rPr>
        <w:t xml:space="preserve"> - Ligji 04/L-135 për Veprimtari Hulumtuese-Shkencore</w:t>
      </w:r>
    </w:p>
    <w:p w14:paraId="238EE5E6" w14:textId="77777777" w:rsidR="004D127F" w:rsidRPr="00976D33" w:rsidRDefault="004D127F" w:rsidP="00B10D1B">
      <w:pPr>
        <w:pStyle w:val="FootnoteText"/>
        <w:rPr>
          <w:rFonts w:ascii="Arial" w:hAnsi="Arial" w:cs="Arial"/>
          <w:sz w:val="16"/>
          <w:szCs w:val="16"/>
        </w:rPr>
      </w:pPr>
      <w:r>
        <w:rPr>
          <w:rFonts w:ascii="Arial" w:hAnsi="Arial"/>
          <w:sz w:val="16"/>
        </w:rPr>
        <w:t xml:space="preserve">  - Ligji Nr. 05/L-039 për Ndryshimin dhe Plotësimin e Ligjit Nr. 04/L-029 për Patentat</w:t>
      </w:r>
    </w:p>
    <w:p w14:paraId="3C167D73" w14:textId="77777777" w:rsidR="004D127F" w:rsidRPr="00976D33" w:rsidRDefault="004D127F" w:rsidP="00B10D1B">
      <w:pPr>
        <w:pStyle w:val="FootnoteText"/>
        <w:rPr>
          <w:rFonts w:ascii="Arial" w:hAnsi="Arial" w:cs="Arial"/>
          <w:sz w:val="16"/>
          <w:szCs w:val="16"/>
        </w:rPr>
      </w:pPr>
      <w:r>
        <w:rPr>
          <w:rFonts w:ascii="Arial" w:hAnsi="Arial"/>
          <w:sz w:val="16"/>
        </w:rPr>
        <w:t xml:space="preserve">  - Ligji Nr. 05/L-117 për Akreditim</w:t>
      </w:r>
    </w:p>
    <w:p w14:paraId="45D776E6" w14:textId="77777777" w:rsidR="004D127F" w:rsidRPr="00976D33" w:rsidRDefault="004D127F" w:rsidP="00B10D1B">
      <w:pPr>
        <w:pStyle w:val="FootnoteText"/>
        <w:rPr>
          <w:rFonts w:ascii="Arial" w:hAnsi="Arial" w:cs="Arial"/>
          <w:sz w:val="16"/>
          <w:szCs w:val="16"/>
        </w:rPr>
      </w:pPr>
      <w:r>
        <w:rPr>
          <w:rFonts w:ascii="Arial" w:hAnsi="Arial"/>
          <w:sz w:val="16"/>
        </w:rPr>
        <w:t xml:space="preserve">  - Ligji Nr. 06/L-019 për Standardizim</w:t>
      </w:r>
    </w:p>
    <w:p w14:paraId="75F93263" w14:textId="77777777" w:rsidR="004D127F" w:rsidRPr="00976D33" w:rsidRDefault="004D127F" w:rsidP="00B10D1B">
      <w:pPr>
        <w:pStyle w:val="FootnoteText"/>
        <w:rPr>
          <w:rFonts w:ascii="Arial" w:hAnsi="Arial" w:cs="Arial"/>
          <w:sz w:val="16"/>
          <w:szCs w:val="16"/>
        </w:rPr>
      </w:pPr>
      <w:r>
        <w:rPr>
          <w:rFonts w:ascii="Arial" w:hAnsi="Arial"/>
          <w:sz w:val="16"/>
        </w:rPr>
        <w:t xml:space="preserve">  - Ligji Nr. 06/L-049 për Inovacion Shkencor dhe Transfer të Dijes dhe Teknologjisë</w:t>
      </w:r>
    </w:p>
  </w:footnote>
  <w:footnote w:id="8">
    <w:p w14:paraId="740F0230" w14:textId="77777777" w:rsidR="004D127F" w:rsidRPr="001F4906" w:rsidRDefault="004D127F" w:rsidP="00B10D1B">
      <w:pPr>
        <w:pStyle w:val="FootnoteText"/>
        <w:rPr>
          <w:rFonts w:ascii="Arial" w:hAnsi="Arial" w:cs="Arial"/>
          <w:sz w:val="16"/>
          <w:szCs w:val="16"/>
        </w:rPr>
      </w:pPr>
      <w:r>
        <w:rPr>
          <w:rStyle w:val="FootnoteReference"/>
          <w:rFonts w:cs="Arial"/>
          <w:sz w:val="16"/>
          <w:szCs w:val="16"/>
          <w:lang w:val="en-GB"/>
        </w:rPr>
        <w:footnoteRef/>
      </w:r>
      <w:r>
        <w:rPr>
          <w:rFonts w:ascii="Arial" w:hAnsi="Arial"/>
          <w:sz w:val="16"/>
        </w:rPr>
        <w:t xml:space="preserve"> 98/44/EC; 2004/48/EC</w:t>
      </w:r>
    </w:p>
  </w:footnote>
  <w:footnote w:id="9">
    <w:p w14:paraId="7ED3DFF3" w14:textId="77777777" w:rsidR="004D127F" w:rsidRPr="001F4906" w:rsidRDefault="004D127F" w:rsidP="00B10D1B">
      <w:pPr>
        <w:pStyle w:val="FootnoteText"/>
        <w:rPr>
          <w:rFonts w:ascii="Arial" w:hAnsi="Arial" w:cs="Arial"/>
          <w:sz w:val="16"/>
          <w:szCs w:val="16"/>
        </w:rPr>
      </w:pPr>
      <w:r>
        <w:rPr>
          <w:rStyle w:val="FootnoteReference"/>
          <w:rFonts w:cs="Arial"/>
          <w:sz w:val="16"/>
          <w:szCs w:val="16"/>
          <w:lang w:val="en-GB"/>
        </w:rPr>
        <w:footnoteRef/>
      </w:r>
      <w:r>
        <w:rPr>
          <w:rFonts w:ascii="Arial" w:hAnsi="Arial"/>
          <w:sz w:val="16"/>
        </w:rPr>
        <w:t xml:space="preserve"> (EC) Nr. 469/2009; (EC) Nr. 1610/96; (EC) Nr.816/2006; (EC) Nr. 765/2008; (EU) 1025/2012</w:t>
      </w:r>
    </w:p>
  </w:footnote>
  <w:footnote w:id="10">
    <w:p w14:paraId="21435880" w14:textId="77777777" w:rsidR="004D127F" w:rsidRPr="00976D33" w:rsidRDefault="004D127F" w:rsidP="00B10D1B">
      <w:pPr>
        <w:pStyle w:val="FootnoteText"/>
        <w:rPr>
          <w:rFonts w:ascii="Arial" w:hAnsi="Arial" w:cs="Arial"/>
          <w:sz w:val="16"/>
          <w:szCs w:val="16"/>
        </w:rPr>
      </w:pPr>
      <w:r>
        <w:rPr>
          <w:rStyle w:val="FootnoteReference"/>
          <w:rFonts w:cs="Arial"/>
          <w:sz w:val="16"/>
          <w:szCs w:val="16"/>
          <w:lang w:val="en-GB"/>
        </w:rPr>
        <w:footnoteRef/>
      </w:r>
      <w:r>
        <w:rPr>
          <w:rFonts w:ascii="Arial" w:hAnsi="Arial"/>
          <w:sz w:val="16"/>
        </w:rPr>
        <w:t xml:space="preserve"> - Udhëzimi Administrativ (MIE) Nr. 01/2018 për ndarjen e Mjeteve Financiare nga Kategoria Ekonomike e Subvencioneve dhe Transfereve</w:t>
      </w:r>
    </w:p>
    <w:p w14:paraId="2FA6FDA5" w14:textId="77777777" w:rsidR="004D127F" w:rsidRPr="00976D33" w:rsidRDefault="004D127F" w:rsidP="00C55684">
      <w:pPr>
        <w:pStyle w:val="FootnoteText"/>
        <w:rPr>
          <w:rStyle w:val="FootnoteReference"/>
          <w:rFonts w:cs="Arial"/>
          <w:sz w:val="16"/>
          <w:szCs w:val="16"/>
        </w:rPr>
      </w:pPr>
      <w:r>
        <w:rPr>
          <w:rFonts w:ascii="Arial" w:hAnsi="Arial"/>
          <w:sz w:val="16"/>
        </w:rPr>
        <w:t xml:space="preserve">  - Udhëzimi Administrativ (MTI) Nr. 03/2016 për Ndarjen e Mjeteve Financiare nga Kategoritë Ekonomike e Subvencioneve dhe Transfereve</w:t>
      </w:r>
    </w:p>
    <w:p w14:paraId="345D5FEF" w14:textId="77777777" w:rsidR="004D127F" w:rsidRPr="001014DF" w:rsidRDefault="004D127F" w:rsidP="00B10D1B">
      <w:pPr>
        <w:pStyle w:val="FootnoteText"/>
        <w:rPr>
          <w:rFonts w:ascii="Times New Roman" w:hAnsi="Times New Roman" w:cs="Times New Roman"/>
          <w:sz w:val="16"/>
          <w:szCs w:val="16"/>
        </w:rPr>
      </w:pPr>
    </w:p>
  </w:footnote>
  <w:footnote w:id="11">
    <w:p w14:paraId="7D36281D" w14:textId="77777777" w:rsidR="004D127F" w:rsidRPr="00976D33" w:rsidRDefault="004D127F" w:rsidP="00C55684">
      <w:pPr>
        <w:pStyle w:val="FootnoteText"/>
        <w:rPr>
          <w:rStyle w:val="FootnoteReference"/>
          <w:vertAlign w:val="baseline"/>
        </w:rPr>
      </w:pPr>
      <w:r>
        <w:rPr>
          <w:rFonts w:asciiTheme="majorHAnsi" w:hAnsiTheme="majorHAnsi" w:cstheme="majorHAnsi"/>
          <w:sz w:val="16"/>
          <w:vertAlign w:val="superscript"/>
          <w:lang w:val="en-GB"/>
        </w:rPr>
        <w:footnoteRef/>
      </w:r>
      <w:r>
        <w:rPr>
          <w:rFonts w:asciiTheme="majorHAnsi" w:hAnsiTheme="majorHAnsi"/>
          <w:sz w:val="16"/>
        </w:rPr>
        <w:t xml:space="preserve"> QKT, Raport mbi analizën kuantitative të fushave paraprake me prioritet në kuadër të përgatitjes së Strategjisë së Specializimit Inteligjent të Republikës së Kosovës, 2022</w:t>
      </w:r>
    </w:p>
  </w:footnote>
  <w:footnote w:id="12">
    <w:p w14:paraId="2692EBCB" w14:textId="5405D64B" w:rsidR="004D127F" w:rsidRPr="00976D33" w:rsidRDefault="004D127F" w:rsidP="00571C85">
      <w:pPr>
        <w:ind w:hanging="2"/>
        <w:rPr>
          <w:rFonts w:asciiTheme="majorHAnsi" w:eastAsia="Cambria" w:hAnsiTheme="majorHAnsi" w:cstheme="majorHAnsi"/>
          <w:color w:val="000000"/>
          <w:sz w:val="16"/>
          <w:szCs w:val="16"/>
        </w:rPr>
      </w:pPr>
      <w:r>
        <w:rPr>
          <w:rStyle w:val="FootnoteReference"/>
          <w:rFonts w:asciiTheme="majorHAnsi" w:hAnsiTheme="majorHAnsi" w:cstheme="majorHAnsi"/>
          <w:sz w:val="16"/>
          <w:szCs w:val="16"/>
        </w:rPr>
        <w:footnoteRef/>
      </w:r>
      <w:r>
        <w:rPr>
          <w:rFonts w:asciiTheme="majorHAnsi" w:hAnsiTheme="majorHAnsi"/>
          <w:color w:val="000000"/>
          <w:sz w:val="16"/>
        </w:rPr>
        <w:t xml:space="preserve"> KE, Raporti i Progresit për Kosovën, </w:t>
      </w:r>
      <w:hyperlink r:id="rId1" w:history="1">
        <w:r>
          <w:rPr>
            <w:rStyle w:val="Hyperlink"/>
            <w:rFonts w:asciiTheme="majorHAnsi" w:hAnsiTheme="majorHAnsi"/>
            <w:sz w:val="16"/>
          </w:rPr>
          <w:t>Raporti për Kosovën 2021 (europa.eu)</w:t>
        </w:r>
      </w:hyperlink>
      <w:r>
        <w:rPr>
          <w:rFonts w:asciiTheme="majorHAnsi" w:hAnsiTheme="majorHAnsi"/>
          <w:color w:val="000000"/>
          <w:sz w:val="16"/>
        </w:rPr>
        <w:t>, tetor 2022;</w:t>
      </w:r>
    </w:p>
  </w:footnote>
  <w:footnote w:id="13">
    <w:p w14:paraId="01A89D0E" w14:textId="77777777" w:rsidR="004D127F" w:rsidRPr="00976D33" w:rsidRDefault="004D127F" w:rsidP="00571C85">
      <w:pPr>
        <w:rPr>
          <w:rFonts w:asciiTheme="majorHAnsi" w:eastAsia="Cambria" w:hAnsiTheme="majorHAnsi" w:cstheme="majorHAnsi"/>
          <w:color w:val="000000"/>
          <w:sz w:val="16"/>
          <w:szCs w:val="16"/>
        </w:rPr>
      </w:pPr>
      <w:r>
        <w:rPr>
          <w:rStyle w:val="FootnoteReference"/>
          <w:rFonts w:asciiTheme="majorHAnsi" w:hAnsiTheme="majorHAnsi" w:cstheme="majorHAnsi"/>
          <w:sz w:val="16"/>
          <w:szCs w:val="16"/>
        </w:rPr>
        <w:footnoteRef/>
      </w:r>
      <w:r>
        <w:rPr>
          <w:rFonts w:asciiTheme="majorHAnsi" w:hAnsiTheme="majorHAnsi"/>
          <w:color w:val="000000"/>
          <w:sz w:val="16"/>
        </w:rPr>
        <w:t xml:space="preserve"> HERAS, Hartëzimi i Sistemit të Hulumtimit dhe Inovacionit në Kosovë, 2019.</w:t>
      </w:r>
    </w:p>
    <w:p w14:paraId="3C9DC6BA" w14:textId="7A799FE2" w:rsidR="004D127F" w:rsidRPr="00976D33" w:rsidRDefault="00062E07" w:rsidP="00571C85">
      <w:pPr>
        <w:rPr>
          <w:rFonts w:asciiTheme="majorHAnsi" w:eastAsia="Cambria" w:hAnsiTheme="majorHAnsi" w:cstheme="majorHAnsi"/>
          <w:color w:val="000000"/>
          <w:sz w:val="16"/>
          <w:szCs w:val="16"/>
        </w:rPr>
      </w:pPr>
      <w:hyperlink r:id="rId2" w:history="1">
        <w:r w:rsidR="004D127F">
          <w:rPr>
            <w:rStyle w:val="Hyperlink"/>
            <w:rFonts w:asciiTheme="majorHAnsi" w:hAnsiTheme="majorHAnsi"/>
            <w:sz w:val="16"/>
          </w:rPr>
          <w:t>https://www.heraskosovo.org/publications/Koncept_dokument_Hartezimi_i_Sistemit_te_Kerkimit_dhe_Inovacionit_ne_Kosove.pdf</w:t>
        </w:r>
      </w:hyperlink>
    </w:p>
  </w:footnote>
  <w:footnote w:id="14">
    <w:p w14:paraId="69A66187" w14:textId="368BF056" w:rsidR="004D127F" w:rsidRPr="008C14F9" w:rsidRDefault="004D127F">
      <w:pPr>
        <w:pStyle w:val="FootnoteText"/>
      </w:pPr>
      <w:r>
        <w:rPr>
          <w:rStyle w:val="FootnoteReference"/>
        </w:rPr>
        <w:footnoteRef/>
      </w:r>
      <w:r>
        <w:t xml:space="preserve"> Shënim: Efekte të ngjashme parashikohen deri në vitin 2040, duke supozuar se ritmi i renovimeve mbetet i krahasueshëm pas vitit 2030.</w:t>
      </w:r>
    </w:p>
  </w:footnote>
  <w:footnote w:id="15">
    <w:p w14:paraId="092B8B28" w14:textId="6FBFA708" w:rsidR="004D127F" w:rsidRPr="008C14F9" w:rsidRDefault="004D127F">
      <w:pPr>
        <w:pStyle w:val="FootnoteText"/>
      </w:pPr>
      <w:r>
        <w:rPr>
          <w:rStyle w:val="FootnoteReference"/>
        </w:rPr>
        <w:footnoteRef/>
      </w:r>
      <w:r>
        <w:t xml:space="preserve"> Shënim: Efekte të ngjashme parashikohen deri në vitin 2040, duke supozuar se ritmi i renovimeve mbetet i krahasueshëm pas vitit 2030.</w:t>
      </w:r>
    </w:p>
  </w:footnote>
  <w:footnote w:id="16">
    <w:p w14:paraId="579836B5" w14:textId="1BCC4B3F" w:rsidR="004D127F" w:rsidRPr="008C14F9" w:rsidRDefault="004D127F">
      <w:pPr>
        <w:pStyle w:val="FootnoteText"/>
      </w:pPr>
      <w:r>
        <w:rPr>
          <w:rStyle w:val="FootnoteReference"/>
        </w:rPr>
        <w:footnoteRef/>
      </w:r>
      <w:r>
        <w:t xml:space="preserve"> Shënim: Efekte të ngjashme parashikohen deri në vitin 2040, duke supozuar se ritmi i renovimeve mbetet i krahasueshëm pas vitit 2030.</w:t>
      </w:r>
    </w:p>
  </w:footnote>
  <w:footnote w:id="17">
    <w:p w14:paraId="33225DCA" w14:textId="0C4D34A9" w:rsidR="004D127F" w:rsidRPr="008C14F9" w:rsidRDefault="004D127F">
      <w:pPr>
        <w:pStyle w:val="FootnoteText"/>
      </w:pPr>
      <w:r>
        <w:rPr>
          <w:rStyle w:val="FootnoteReference"/>
        </w:rPr>
        <w:footnoteRef/>
      </w:r>
      <w:r>
        <w:t xml:space="preserve"> Shënim: Investime të ngjashme supozohen për projeksionet deri në vitin 2040.</w:t>
      </w:r>
    </w:p>
  </w:footnote>
  <w:footnote w:id="18">
    <w:p w14:paraId="10C27ED9" w14:textId="77777777" w:rsidR="004D127F" w:rsidRPr="00976D33" w:rsidRDefault="004D127F" w:rsidP="005C57AD">
      <w:pPr>
        <w:pStyle w:val="FootnoteText"/>
        <w:rPr>
          <w:sz w:val="16"/>
          <w:szCs w:val="16"/>
        </w:rPr>
      </w:pPr>
      <w:r>
        <w:rPr>
          <w:rStyle w:val="FootnoteReference"/>
          <w:rFonts w:asciiTheme="majorHAnsi" w:hAnsiTheme="majorHAnsi"/>
          <w:sz w:val="16"/>
          <w:szCs w:val="16"/>
          <w:lang w:val="en-GB"/>
        </w:rPr>
        <w:footnoteRef/>
      </w:r>
      <w:r>
        <w:rPr>
          <w:rFonts w:asciiTheme="majorHAnsi" w:hAnsiTheme="majorHAnsi"/>
          <w:sz w:val="16"/>
        </w:rPr>
        <w:t xml:space="preserve"> Kursimet e energjisë të llogaritur duke krahasuar rezultatet e WEM sipas një skenari me pjesëmarrje të vazhdueshme të lëndëve djegëse deri në vitin 2030</w:t>
      </w:r>
    </w:p>
  </w:footnote>
  <w:footnote w:id="19">
    <w:p w14:paraId="108911A4" w14:textId="77777777" w:rsidR="004D127F" w:rsidRPr="00976D33" w:rsidRDefault="004D127F" w:rsidP="005C57AD">
      <w:pPr>
        <w:pStyle w:val="FootnoteText"/>
        <w:rPr>
          <w:rFonts w:asciiTheme="majorHAnsi" w:hAnsiTheme="majorHAnsi" w:cstheme="majorHAnsi"/>
        </w:rPr>
      </w:pPr>
      <w:r>
        <w:rPr>
          <w:rStyle w:val="FootnoteReference"/>
          <w:rFonts w:asciiTheme="majorHAnsi" w:hAnsiTheme="majorHAnsi" w:cstheme="majorHAnsi"/>
          <w:sz w:val="16"/>
          <w:szCs w:val="16"/>
          <w:lang w:val="en-GB"/>
        </w:rPr>
        <w:footnoteRef/>
      </w:r>
      <w:r>
        <w:rPr>
          <w:rFonts w:asciiTheme="majorHAnsi" w:hAnsiTheme="majorHAnsi"/>
          <w:sz w:val="16"/>
        </w:rPr>
        <w:t xml:space="preserve"> https://askdata.rks-gov.net/pxweb/en/ASKdata/</w:t>
      </w:r>
    </w:p>
  </w:footnote>
  <w:footnote w:id="20">
    <w:p w14:paraId="027C0475" w14:textId="77777777" w:rsidR="004D127F" w:rsidRPr="00976D33" w:rsidRDefault="004D127F" w:rsidP="00463FC6">
      <w:pPr>
        <w:pStyle w:val="FootnoteText"/>
        <w:rPr>
          <w:rFonts w:ascii="Times New Roman" w:hAnsi="Times New Roman" w:cs="Times New Roman"/>
        </w:rPr>
      </w:pPr>
      <w:r>
        <w:rPr>
          <w:rStyle w:val="FootnoteReference"/>
          <w:rFonts w:ascii="Times New Roman" w:hAnsi="Times New Roman" w:cs="Times New Roman"/>
          <w:lang w:val="en-GB"/>
        </w:rPr>
        <w:footnoteRef/>
      </w:r>
      <w:r>
        <w:rPr>
          <w:rFonts w:ascii="Times New Roman" w:hAnsi="Times New Roman"/>
        </w:rPr>
        <w:t xml:space="preserve"> </w:t>
      </w:r>
      <w:r>
        <w:rPr>
          <w:rFonts w:ascii="Arial" w:hAnsi="Arial"/>
          <w:color w:val="0F0D29" w:themeColor="text1"/>
          <w:sz w:val="18"/>
        </w:rPr>
        <w:t>Universitetet më të suksesshme janë Universiteti i Prishtinës, Universiteti për Biznes dhe Teknologji dhe Universiteti Amerikan në Kosovë</w:t>
      </w:r>
    </w:p>
  </w:footnote>
  <w:footnote w:id="21">
    <w:p w14:paraId="6F3D6DA0" w14:textId="77777777" w:rsidR="004D127F" w:rsidRPr="00976D33" w:rsidRDefault="004D127F" w:rsidP="00463FC6">
      <w:pPr>
        <w:pStyle w:val="FootnoteText"/>
        <w:rPr>
          <w:rFonts w:ascii="Arial" w:hAnsi="Arial" w:cs="Arial"/>
          <w:sz w:val="16"/>
          <w:szCs w:val="16"/>
        </w:rPr>
      </w:pPr>
      <w:r>
        <w:rPr>
          <w:rStyle w:val="FootnoteReference"/>
          <w:rFonts w:cs="Arial"/>
          <w:sz w:val="16"/>
          <w:szCs w:val="16"/>
          <w:lang w:val="en-GB"/>
        </w:rPr>
        <w:footnoteRef/>
      </w:r>
      <w:r>
        <w:rPr>
          <w:rFonts w:ascii="Arial" w:hAnsi="Arial"/>
          <w:sz w:val="16"/>
        </w:rPr>
        <w:t xml:space="preserve"> Prishtina dhe Ferizaj janë qytetet më të mëdha të Kosovës për sa i përket kontributit në BPV.</w:t>
      </w:r>
    </w:p>
  </w:footnote>
  <w:footnote w:id="22">
    <w:p w14:paraId="3D116A32" w14:textId="77777777" w:rsidR="004D127F" w:rsidRPr="00976D33" w:rsidRDefault="004D127F" w:rsidP="00AD0B60">
      <w:pPr>
        <w:pStyle w:val="FootnoteText"/>
        <w:spacing w:after="0"/>
        <w:rPr>
          <w:rFonts w:ascii="Arial" w:hAnsi="Arial" w:cs="Arial"/>
          <w:sz w:val="16"/>
          <w:szCs w:val="16"/>
        </w:rPr>
      </w:pPr>
      <w:r>
        <w:rPr>
          <w:rStyle w:val="FootnoteReference"/>
          <w:rFonts w:cs="Arial"/>
          <w:sz w:val="16"/>
          <w:szCs w:val="16"/>
          <w:lang w:val="en-GB"/>
        </w:rPr>
        <w:footnoteRef/>
      </w:r>
      <w:r>
        <w:rPr>
          <w:rFonts w:ascii="Arial" w:hAnsi="Arial"/>
          <w:sz w:val="16"/>
        </w:rPr>
        <w:t xml:space="preserve"> FMN, PEB 2023</w:t>
      </w:r>
    </w:p>
  </w:footnote>
  <w:footnote w:id="23">
    <w:p w14:paraId="6023CD6A" w14:textId="77777777" w:rsidR="004D127F" w:rsidRPr="00976D33" w:rsidRDefault="004D127F" w:rsidP="00AD0B60">
      <w:pPr>
        <w:pStyle w:val="FootnoteText"/>
        <w:spacing w:after="0"/>
        <w:rPr>
          <w:sz w:val="16"/>
          <w:szCs w:val="16"/>
        </w:rPr>
      </w:pPr>
      <w:r>
        <w:rPr>
          <w:rStyle w:val="FootnoteReference"/>
          <w:rFonts w:cs="Arial"/>
          <w:sz w:val="16"/>
          <w:szCs w:val="16"/>
          <w:lang w:val="en-GB"/>
        </w:rPr>
        <w:footnoteRef/>
      </w:r>
      <w:r>
        <w:rPr>
          <w:rFonts w:ascii="Arial" w:hAnsi="Arial"/>
          <w:sz w:val="16"/>
        </w:rPr>
        <w:t xml:space="preserve"> Kjo vlen për të gjitha vlerat monetare të përdorura në analizë.</w:t>
      </w:r>
    </w:p>
  </w:footnote>
  <w:footnote w:id="24">
    <w:p w14:paraId="588C3FC3" w14:textId="01A1255E" w:rsidR="004D127F" w:rsidRPr="00976D33" w:rsidRDefault="004D127F" w:rsidP="00AD0B60">
      <w:pPr>
        <w:pStyle w:val="FootnoteText"/>
        <w:spacing w:after="0"/>
        <w:rPr>
          <w:rFonts w:asciiTheme="majorHAnsi" w:hAnsiTheme="majorHAnsi" w:cstheme="majorHAnsi"/>
          <w:sz w:val="16"/>
          <w:szCs w:val="16"/>
        </w:rPr>
      </w:pPr>
      <w:r>
        <w:rPr>
          <w:rStyle w:val="FootnoteReference"/>
          <w:rFonts w:asciiTheme="majorHAnsi" w:hAnsiTheme="majorHAnsi" w:cstheme="majorHAnsi"/>
          <w:sz w:val="16"/>
          <w:szCs w:val="16"/>
          <w:lang w:val="en-GB"/>
        </w:rPr>
        <w:footnoteRef/>
      </w:r>
      <w:r>
        <w:rPr>
          <w:rFonts w:asciiTheme="majorHAnsi" w:hAnsiTheme="majorHAnsi"/>
          <w:sz w:val="16"/>
        </w:rPr>
        <w:t xml:space="preserve"> Agjencia e Statistikave të Kosovës -  </w:t>
      </w:r>
      <w:hyperlink r:id="rId3" w:history="1">
        <w:r>
          <w:rPr>
            <w:rStyle w:val="Hyperlink"/>
            <w:rFonts w:asciiTheme="majorHAnsi" w:hAnsiTheme="majorHAnsi"/>
            <w:sz w:val="16"/>
          </w:rPr>
          <w:t>https://askdata.rks-gov.net/pxweb/en/ASKdata/</w:t>
        </w:r>
      </w:hyperlink>
    </w:p>
  </w:footnote>
  <w:footnote w:id="25">
    <w:p w14:paraId="1776F708" w14:textId="77777777" w:rsidR="004D127F" w:rsidRPr="00976D33" w:rsidRDefault="004D127F" w:rsidP="00AD0B60">
      <w:pPr>
        <w:pStyle w:val="FootnoteText"/>
        <w:spacing w:after="0"/>
        <w:rPr>
          <w:rFonts w:asciiTheme="majorHAnsi" w:hAnsiTheme="majorHAnsi" w:cstheme="majorHAnsi"/>
          <w:sz w:val="16"/>
          <w:szCs w:val="16"/>
        </w:rPr>
      </w:pPr>
      <w:r>
        <w:rPr>
          <w:rStyle w:val="FootnoteReference"/>
          <w:rFonts w:asciiTheme="majorHAnsi" w:hAnsiTheme="majorHAnsi" w:cstheme="majorHAnsi"/>
          <w:sz w:val="16"/>
          <w:szCs w:val="16"/>
          <w:lang w:val="en-GB"/>
        </w:rPr>
        <w:footnoteRef/>
      </w:r>
      <w:r>
        <w:rPr>
          <w:rFonts w:asciiTheme="majorHAnsi" w:hAnsiTheme="majorHAnsi"/>
          <w:sz w:val="16"/>
        </w:rPr>
        <w:t xml:space="preserve"> </w:t>
      </w:r>
      <w:r>
        <w:rPr>
          <w:rFonts w:asciiTheme="majorHAnsi" w:hAnsiTheme="majorHAnsi"/>
          <w:color w:val="F49B18"/>
          <w:sz w:val="16"/>
        </w:rPr>
        <w:t>https://ec.europa.eu/eurostat/web/energy/data/energy-balances.</w:t>
      </w:r>
    </w:p>
  </w:footnote>
  <w:footnote w:id="26">
    <w:p w14:paraId="49EFA38E" w14:textId="77777777" w:rsidR="004D127F" w:rsidRPr="00976D33" w:rsidRDefault="004D127F" w:rsidP="00AD0B60">
      <w:pPr>
        <w:pStyle w:val="FootnoteText"/>
        <w:spacing w:after="0"/>
        <w:rPr>
          <w:rFonts w:asciiTheme="majorHAnsi" w:hAnsiTheme="majorHAnsi" w:cstheme="majorHAnsi"/>
          <w:sz w:val="16"/>
          <w:szCs w:val="16"/>
        </w:rPr>
      </w:pPr>
      <w:r>
        <w:rPr>
          <w:rStyle w:val="FootnoteReference"/>
          <w:rFonts w:asciiTheme="majorHAnsi" w:hAnsiTheme="majorHAnsi" w:cstheme="majorHAnsi"/>
          <w:sz w:val="16"/>
          <w:szCs w:val="16"/>
          <w:lang w:val="en-GB"/>
        </w:rPr>
        <w:footnoteRef/>
      </w:r>
      <w:r>
        <w:rPr>
          <w:rFonts w:asciiTheme="majorHAnsi" w:hAnsiTheme="majorHAnsi"/>
          <w:sz w:val="16"/>
        </w:rPr>
        <w:t xml:space="preserve"> </w:t>
      </w:r>
      <w:r>
        <w:rPr>
          <w:rFonts w:asciiTheme="majorHAnsi" w:hAnsiTheme="majorHAnsi"/>
          <w:color w:val="0F0D29" w:themeColor="text1"/>
          <w:sz w:val="16"/>
        </w:rPr>
        <w:t>60% pjesëmarrje rurale në vitin 2021, 57% në vitin 2030 dhe 53% në vitin 2040, pas projeksioneve të ASK-së.</w:t>
      </w:r>
    </w:p>
  </w:footnote>
  <w:footnote w:id="27">
    <w:p w14:paraId="09625A87" w14:textId="77777777" w:rsidR="004D127F" w:rsidRPr="00976D33" w:rsidRDefault="004D127F" w:rsidP="00AD0B60">
      <w:pPr>
        <w:pStyle w:val="FootnoteText"/>
        <w:spacing w:after="0"/>
        <w:rPr>
          <w:sz w:val="16"/>
          <w:szCs w:val="16"/>
        </w:rPr>
      </w:pPr>
      <w:r>
        <w:rPr>
          <w:rStyle w:val="FootnoteReference"/>
          <w:rFonts w:asciiTheme="majorHAnsi" w:hAnsiTheme="majorHAnsi" w:cstheme="majorHAnsi"/>
          <w:sz w:val="16"/>
          <w:szCs w:val="16"/>
          <w:lang w:val="en-GB"/>
        </w:rPr>
        <w:footnoteRef/>
      </w:r>
      <w:r>
        <w:rPr>
          <w:rFonts w:asciiTheme="majorHAnsi" w:hAnsiTheme="majorHAnsi"/>
          <w:sz w:val="16"/>
        </w:rPr>
        <w:t xml:space="preserve"> </w:t>
      </w:r>
      <w:r>
        <w:rPr>
          <w:rFonts w:asciiTheme="majorHAnsi" w:hAnsiTheme="majorHAnsi"/>
          <w:color w:val="0F0D29" w:themeColor="text1"/>
          <w:sz w:val="16"/>
        </w:rPr>
        <w:t>Economic Consulting Associates Limited (2020) - Projekt Strategjia për Rinovimin e Ndërtesave.</w:t>
      </w:r>
      <w:r>
        <w:rPr>
          <w:color w:val="0F0D29" w:themeColor="text1"/>
          <w:sz w:val="16"/>
        </w:rPr>
        <w:t xml:space="preserve"> </w:t>
      </w:r>
    </w:p>
  </w:footnote>
  <w:footnote w:id="28">
    <w:p w14:paraId="1D379BA7" w14:textId="77777777" w:rsidR="004D127F" w:rsidRPr="00976D33" w:rsidRDefault="004D127F" w:rsidP="00AD0B60">
      <w:pPr>
        <w:pStyle w:val="FootnoteText"/>
        <w:spacing w:after="0"/>
        <w:rPr>
          <w:rFonts w:ascii="Arial" w:hAnsi="Arial" w:cs="Arial"/>
          <w:sz w:val="16"/>
          <w:szCs w:val="16"/>
        </w:rPr>
      </w:pPr>
      <w:r>
        <w:rPr>
          <w:rStyle w:val="FootnoteReference"/>
          <w:rFonts w:cs="Arial"/>
          <w:sz w:val="16"/>
          <w:szCs w:val="16"/>
          <w:lang w:val="en-GB"/>
        </w:rPr>
        <w:footnoteRef/>
      </w:r>
      <w:r>
        <w:t xml:space="preserve"> </w:t>
      </w:r>
      <w:r>
        <w:rPr>
          <w:i/>
        </w:rPr>
        <w:t>Po aty.</w:t>
      </w:r>
    </w:p>
  </w:footnote>
  <w:footnote w:id="29">
    <w:p w14:paraId="795B0864" w14:textId="77777777" w:rsidR="004D127F" w:rsidRPr="00976D33" w:rsidRDefault="004D127F" w:rsidP="00AD0B60">
      <w:pPr>
        <w:pStyle w:val="FootnoteText"/>
        <w:spacing w:after="0"/>
        <w:rPr>
          <w:sz w:val="16"/>
          <w:szCs w:val="16"/>
        </w:rPr>
      </w:pPr>
      <w:r>
        <w:rPr>
          <w:rStyle w:val="FootnoteReference"/>
          <w:rFonts w:cs="Arial"/>
          <w:sz w:val="16"/>
          <w:szCs w:val="16"/>
          <w:lang w:val="en-GB"/>
        </w:rPr>
        <w:footnoteRef/>
      </w:r>
      <w:r>
        <w:t xml:space="preserve"> </w:t>
      </w:r>
      <w:r>
        <w:rPr>
          <w:rFonts w:ascii="Arial" w:hAnsi="Arial"/>
          <w:sz w:val="16"/>
        </w:rPr>
        <w:t>Strategjia e Energjisë e Republikës së Kosovës 2022-2031.</w:t>
      </w:r>
    </w:p>
  </w:footnote>
  <w:footnote w:id="30">
    <w:p w14:paraId="345DE368" w14:textId="77777777" w:rsidR="004D127F" w:rsidRPr="00976D33" w:rsidRDefault="004D127F" w:rsidP="00AD0B60">
      <w:pPr>
        <w:pStyle w:val="FootnoteText"/>
        <w:spacing w:after="0"/>
        <w:rPr>
          <w:rFonts w:asciiTheme="majorHAnsi" w:hAnsiTheme="majorHAnsi" w:cstheme="majorHAnsi"/>
          <w:sz w:val="16"/>
          <w:szCs w:val="16"/>
        </w:rPr>
      </w:pPr>
      <w:r>
        <w:rPr>
          <w:rStyle w:val="FootnoteReference"/>
          <w:rFonts w:asciiTheme="majorHAnsi" w:hAnsiTheme="majorHAnsi" w:cstheme="majorHAnsi"/>
          <w:sz w:val="16"/>
          <w:szCs w:val="16"/>
          <w:lang w:val="en-GB"/>
        </w:rPr>
        <w:footnoteRef/>
      </w:r>
      <w:r>
        <w:rPr>
          <w:rFonts w:asciiTheme="majorHAnsi" w:hAnsiTheme="majorHAnsi"/>
          <w:sz w:val="16"/>
        </w:rPr>
        <w:t xml:space="preserve"> Brizard (2019). </w:t>
      </w:r>
      <w:r>
        <w:rPr>
          <w:rFonts w:asciiTheme="majorHAnsi" w:hAnsiTheme="majorHAnsi"/>
          <w:i/>
          <w:sz w:val="16"/>
        </w:rPr>
        <w:t>Projeksionet e konsumit të energjisë dhe potencialit të kursimit të energjisë në Kosovë deri në vitin 2030.</w:t>
      </w:r>
    </w:p>
  </w:footnote>
  <w:footnote w:id="31">
    <w:p w14:paraId="10E9E905" w14:textId="77777777" w:rsidR="004D127F" w:rsidRPr="00976D33" w:rsidRDefault="004D127F" w:rsidP="00AD0B60">
      <w:pPr>
        <w:pStyle w:val="FootnoteText"/>
        <w:rPr>
          <w:rFonts w:asciiTheme="majorHAnsi" w:hAnsiTheme="majorHAnsi" w:cstheme="majorHAnsi"/>
          <w:sz w:val="16"/>
          <w:szCs w:val="16"/>
        </w:rPr>
      </w:pPr>
      <w:r>
        <w:rPr>
          <w:rStyle w:val="FootnoteReference"/>
          <w:rFonts w:asciiTheme="majorHAnsi" w:hAnsiTheme="majorHAnsi" w:cstheme="majorHAnsi"/>
          <w:sz w:val="16"/>
          <w:szCs w:val="16"/>
          <w:lang w:val="en-GB"/>
        </w:rPr>
        <w:footnoteRef/>
      </w:r>
      <w:r>
        <w:rPr>
          <w:rFonts w:asciiTheme="majorHAnsi" w:hAnsiTheme="majorHAnsi"/>
          <w:sz w:val="16"/>
        </w:rPr>
        <w:t xml:space="preserve"> Sekretariati i Komunitetit të Energjisë (2021). </w:t>
      </w:r>
      <w:r>
        <w:rPr>
          <w:rFonts w:asciiTheme="majorHAnsi" w:hAnsiTheme="majorHAnsi"/>
          <w:i/>
          <w:sz w:val="16"/>
        </w:rPr>
        <w:t>Caqet e Interkoneksionit të Energjisë Elektrike në Palët Kontraktuese të Komunitetit të Energjisë.</w:t>
      </w:r>
    </w:p>
  </w:footnote>
  <w:footnote w:id="32">
    <w:p w14:paraId="789D2F4B" w14:textId="485BFFFF" w:rsidR="004D127F" w:rsidRPr="00976D33" w:rsidRDefault="004D127F" w:rsidP="00AD0B60">
      <w:pPr>
        <w:pStyle w:val="FootnoteText"/>
        <w:rPr>
          <w:rFonts w:asciiTheme="majorHAnsi" w:hAnsiTheme="majorHAnsi" w:cstheme="majorHAnsi"/>
          <w:sz w:val="16"/>
          <w:szCs w:val="16"/>
        </w:rPr>
      </w:pPr>
      <w:r>
        <w:rPr>
          <w:rStyle w:val="FootnoteReference"/>
          <w:rFonts w:asciiTheme="majorHAnsi" w:hAnsiTheme="majorHAnsi" w:cstheme="majorHAnsi"/>
          <w:sz w:val="16"/>
          <w:szCs w:val="16"/>
          <w:lang w:val="en-GB"/>
        </w:rPr>
        <w:footnoteRef/>
      </w:r>
      <w:r>
        <w:rPr>
          <w:rFonts w:asciiTheme="majorHAnsi" w:hAnsiTheme="majorHAnsi"/>
          <w:sz w:val="16"/>
        </w:rPr>
        <w:t xml:space="preserve"> </w:t>
      </w:r>
      <w:hyperlink r:id="rId4" w:history="1">
        <w:r>
          <w:rPr>
            <w:rStyle w:val="Hyperlink"/>
            <w:rFonts w:asciiTheme="majorHAnsi" w:hAnsiTheme="majorHAnsi"/>
            <w:sz w:val="16"/>
          </w:rPr>
          <w:t>https://2022.entsos-tyndp-scenarios.eu/download/</w:t>
        </w:r>
      </w:hyperlink>
    </w:p>
  </w:footnote>
  <w:footnote w:id="33">
    <w:p w14:paraId="412C3F37" w14:textId="0E324964" w:rsidR="004D127F" w:rsidRPr="00976D33" w:rsidRDefault="004D127F" w:rsidP="00AD0B60">
      <w:pPr>
        <w:pStyle w:val="FootnoteText"/>
        <w:rPr>
          <w:rFonts w:asciiTheme="majorHAnsi" w:hAnsiTheme="majorHAnsi" w:cstheme="majorHAnsi"/>
          <w:sz w:val="16"/>
          <w:szCs w:val="16"/>
        </w:rPr>
      </w:pPr>
      <w:r>
        <w:rPr>
          <w:rStyle w:val="FootnoteReference"/>
          <w:rFonts w:asciiTheme="majorHAnsi" w:hAnsiTheme="majorHAnsi" w:cstheme="majorHAnsi"/>
          <w:sz w:val="16"/>
          <w:szCs w:val="16"/>
          <w:lang w:val="en-GB"/>
        </w:rPr>
        <w:footnoteRef/>
      </w:r>
      <w:r>
        <w:rPr>
          <w:rFonts w:asciiTheme="majorHAnsi" w:hAnsiTheme="majorHAnsi"/>
          <w:sz w:val="16"/>
        </w:rPr>
        <w:t xml:space="preserve"> </w:t>
      </w:r>
      <w:hyperlink r:id="rId5" w:history="1">
        <w:r>
          <w:rPr>
            <w:rStyle w:val="Hyperlink"/>
            <w:rFonts w:asciiTheme="majorHAnsi" w:hAnsiTheme="majorHAnsi"/>
            <w:sz w:val="16"/>
          </w:rPr>
          <w:t>https://eepublicdownloads.blob.core.windows.net/public-cdn-container/tyndp-documents/TYNDP2022/public/system-needs-report.pdf</w:t>
        </w:r>
      </w:hyperlink>
    </w:p>
  </w:footnote>
  <w:footnote w:id="34">
    <w:p w14:paraId="5981FB45" w14:textId="77777777" w:rsidR="004D127F" w:rsidRPr="00976D33" w:rsidRDefault="004D127F" w:rsidP="00AD0B60">
      <w:pPr>
        <w:pStyle w:val="FootnoteText"/>
        <w:spacing w:after="0"/>
        <w:rPr>
          <w:sz w:val="16"/>
          <w:szCs w:val="16"/>
        </w:rPr>
      </w:pPr>
      <w:r>
        <w:rPr>
          <w:rStyle w:val="FootnoteReference"/>
          <w:rFonts w:asciiTheme="majorHAnsi" w:hAnsiTheme="majorHAnsi" w:cstheme="majorHAnsi"/>
          <w:sz w:val="16"/>
          <w:szCs w:val="16"/>
          <w:lang w:val="en-GB"/>
        </w:rPr>
        <w:footnoteRef/>
      </w:r>
      <w:r>
        <w:rPr>
          <w:rFonts w:asciiTheme="majorHAnsi" w:hAnsiTheme="majorHAnsi"/>
          <w:sz w:val="16"/>
        </w:rPr>
        <w:t xml:space="preserve"> Informacioni që mungon për Moldavinë dhe Ukrainën është siguruar nga projekt strategjitë e energjisë të këtyre vendeve dhe vlerësimi i ekspertëve.</w:t>
      </w:r>
    </w:p>
  </w:footnote>
  <w:footnote w:id="35">
    <w:p w14:paraId="6A915B2F" w14:textId="77777777" w:rsidR="004D127F" w:rsidRPr="00976D33" w:rsidRDefault="004D127F" w:rsidP="00AD0B60">
      <w:pPr>
        <w:pStyle w:val="FootnoteText"/>
        <w:spacing w:after="0"/>
        <w:rPr>
          <w:rFonts w:asciiTheme="majorHAnsi" w:hAnsiTheme="majorHAnsi" w:cstheme="majorHAnsi"/>
          <w:sz w:val="16"/>
          <w:szCs w:val="16"/>
        </w:rPr>
      </w:pPr>
      <w:r>
        <w:rPr>
          <w:rStyle w:val="FootnoteReference"/>
          <w:rFonts w:asciiTheme="majorHAnsi" w:hAnsiTheme="majorHAnsi" w:cstheme="majorHAnsi"/>
          <w:sz w:val="16"/>
          <w:szCs w:val="16"/>
          <w:lang w:val="en-GB"/>
        </w:rPr>
        <w:footnoteRef/>
      </w:r>
      <w:r>
        <w:rPr>
          <w:rFonts w:asciiTheme="majorHAnsi" w:hAnsiTheme="majorHAnsi"/>
          <w:sz w:val="16"/>
        </w:rPr>
        <w:t xml:space="preserve"> Pfenninger, S., &amp; Pickering, B. (2018). Calliope: një kornizë e modelimit të sistemeve të energjisë në shumë shkallë. </w:t>
      </w:r>
      <w:r>
        <w:rPr>
          <w:rFonts w:asciiTheme="majorHAnsi" w:hAnsiTheme="majorHAnsi"/>
          <w:i/>
          <w:sz w:val="16"/>
        </w:rPr>
        <w:t>Journal of Open Source Software, 3</w:t>
      </w:r>
      <w:r>
        <w:rPr>
          <w:rFonts w:asciiTheme="majorHAnsi" w:hAnsiTheme="majorHAnsi"/>
          <w:sz w:val="16"/>
        </w:rPr>
        <w:t>(29), 825.</w:t>
      </w:r>
    </w:p>
  </w:footnote>
  <w:footnote w:id="36">
    <w:p w14:paraId="65640119" w14:textId="77777777" w:rsidR="004D127F" w:rsidRPr="00976D33" w:rsidRDefault="004D127F" w:rsidP="00AD0B60">
      <w:pPr>
        <w:pStyle w:val="FootnoteText"/>
        <w:spacing w:after="0"/>
        <w:rPr>
          <w:rFonts w:asciiTheme="majorHAnsi" w:hAnsiTheme="majorHAnsi" w:cstheme="majorHAnsi"/>
          <w:sz w:val="16"/>
          <w:szCs w:val="16"/>
        </w:rPr>
      </w:pPr>
      <w:r>
        <w:rPr>
          <w:rStyle w:val="FootnoteReference"/>
          <w:rFonts w:asciiTheme="majorHAnsi" w:hAnsiTheme="majorHAnsi" w:cstheme="majorHAnsi"/>
          <w:sz w:val="16"/>
          <w:szCs w:val="16"/>
          <w:lang w:val="en-GB"/>
        </w:rPr>
        <w:footnoteRef/>
      </w:r>
      <w:r>
        <w:rPr>
          <w:rFonts w:asciiTheme="majorHAnsi" w:hAnsiTheme="majorHAnsi"/>
          <w:sz w:val="16"/>
        </w:rPr>
        <w:t xml:space="preserve"> Me përjashtim të Federatës Ruse dhe Bjellorusisë.</w:t>
      </w:r>
    </w:p>
  </w:footnote>
  <w:footnote w:id="37">
    <w:p w14:paraId="488B12EB" w14:textId="77777777" w:rsidR="004D127F" w:rsidRPr="00976D33" w:rsidRDefault="004D127F" w:rsidP="00AD0B60">
      <w:pPr>
        <w:pStyle w:val="FootnoteText"/>
      </w:pPr>
      <w:r>
        <w:rPr>
          <w:rStyle w:val="FootnoteReference"/>
          <w:rFonts w:asciiTheme="majorHAnsi" w:hAnsiTheme="majorHAnsi" w:cstheme="majorHAnsi"/>
          <w:sz w:val="16"/>
          <w:szCs w:val="16"/>
          <w:lang w:val="en-GB"/>
        </w:rPr>
        <w:footnoteRef/>
      </w:r>
      <w:r>
        <w:rPr>
          <w:rFonts w:asciiTheme="majorHAnsi" w:hAnsiTheme="majorHAnsi"/>
          <w:sz w:val="16"/>
        </w:rPr>
        <w:t xml:space="preserve"> Rregullorja 2023/956. Rregullorja (BE) 2023/956 e Parlamentit Evropian dhe e Këshillit e datës 10 maj 2023 për krijimin e një mekanizmi të rregullimit të kufirit të karbonit.</w:t>
      </w:r>
    </w:p>
  </w:footnote>
  <w:footnote w:id="38">
    <w:p w14:paraId="1A619E5C" w14:textId="0FC43057" w:rsidR="004D127F" w:rsidRPr="00976D33" w:rsidRDefault="004D127F" w:rsidP="00AD0B60">
      <w:pPr>
        <w:pStyle w:val="FootnoteText"/>
      </w:pPr>
      <w:r>
        <w:rPr>
          <w:rStyle w:val="FootnoteReference"/>
          <w:lang w:val="en-GB"/>
        </w:rPr>
        <w:footnoteRef/>
      </w:r>
      <w:r>
        <w:t xml:space="preserve"> </w:t>
      </w:r>
      <w:hyperlink r:id="rId6" w:history="1">
        <w:r>
          <w:rPr>
            <w:rStyle w:val="Hyperlink"/>
            <w:sz w:val="16"/>
          </w:rPr>
          <w:t>Müller et al.</w:t>
        </w:r>
      </w:hyperlink>
      <w:hyperlink r:id="rId7" w:history="1">
        <w:r>
          <w:rPr>
            <w:rStyle w:val="Hyperlink"/>
            <w:sz w:val="16"/>
          </w:rPr>
          <w:t xml:space="preserve"> (2023) - Plani Kombëtar për Energji dhe Klimë (PKEK) i Republikës së Kosovës:</w:t>
        </w:r>
      </w:hyperlink>
      <w:hyperlink r:id="rId8" w:history="1">
        <w:r>
          <w:rPr>
            <w:rStyle w:val="Hyperlink"/>
            <w:sz w:val="16"/>
          </w:rPr>
          <w:t>Sektori i BPPTT-së</w:t>
        </w:r>
      </w:hyperlink>
    </w:p>
  </w:footnote>
  <w:footnote w:id="39">
    <w:p w14:paraId="2E04F2DC" w14:textId="77777777" w:rsidR="004D127F" w:rsidRPr="00976D33" w:rsidRDefault="004D127F" w:rsidP="00AD0B60">
      <w:pPr>
        <w:pStyle w:val="FootnoteText"/>
        <w:spacing w:after="0"/>
        <w:rPr>
          <w:rStyle w:val="FootnoteReference"/>
        </w:rPr>
      </w:pPr>
      <w:r>
        <w:rPr>
          <w:rStyle w:val="FootnoteReference"/>
          <w:lang w:val="en-GB"/>
        </w:rPr>
        <w:footnoteRef/>
      </w:r>
      <w:r>
        <w:rPr>
          <w:rStyle w:val="FootnoteReference"/>
        </w:rPr>
        <w:t xml:space="preserve"> MBPZHR 2021. Strategjia për Bujqësi dhe Zhvillim Rural 2022-2028. Prishtinë: Ministria e Bujqësisë, Pylltarisë dhe Zhvillimit Rural.</w:t>
      </w:r>
    </w:p>
  </w:footnote>
  <w:footnote w:id="40">
    <w:p w14:paraId="0EE5A7AF" w14:textId="50E82E28" w:rsidR="004D127F" w:rsidRPr="00976D33" w:rsidRDefault="004D127F" w:rsidP="00AD0B60">
      <w:pPr>
        <w:pStyle w:val="FootnoteText"/>
        <w:rPr>
          <w:rFonts w:asciiTheme="majorHAnsi" w:hAnsiTheme="majorHAnsi" w:cstheme="majorHAnsi"/>
          <w:sz w:val="16"/>
          <w:szCs w:val="16"/>
        </w:rPr>
      </w:pPr>
      <w:r>
        <w:rPr>
          <w:rStyle w:val="FootnoteReference"/>
          <w:rFonts w:asciiTheme="majorHAnsi" w:hAnsiTheme="majorHAnsi" w:cstheme="majorHAnsi"/>
          <w:sz w:val="16"/>
          <w:szCs w:val="16"/>
          <w:lang w:val="en-GB"/>
        </w:rPr>
        <w:footnoteRef/>
      </w:r>
      <w:r>
        <w:rPr>
          <w:rFonts w:asciiTheme="majorHAnsi" w:hAnsiTheme="majorHAnsi"/>
          <w:sz w:val="16"/>
        </w:rPr>
        <w:t xml:space="preserve"> Mantzos, Leonidas; Wiesenthal, Tobias; Neuwahl, Frederik; Rózsai, Máté (2019): POTEnCIA Central-2018 scenario. Komisioni Evropian, Qendra e Përbashkët Hulumtuese (QPH) [Grupi i të dhënave] PID: </w:t>
      </w:r>
      <w:hyperlink r:id="rId9" w:history="1">
        <w:r>
          <w:rPr>
            <w:rStyle w:val="Hyperlink"/>
            <w:rFonts w:asciiTheme="majorHAnsi" w:hAnsiTheme="majorHAnsi"/>
            <w:sz w:val="16"/>
          </w:rPr>
          <w:t>http://data.europa.eu/89h/3182c195-a1fc-46cf-8e7d-44063d9483d8</w:t>
        </w:r>
      </w:hyperlink>
      <w:r>
        <w:rPr>
          <w:rStyle w:val="Hyperlink"/>
          <w:rFonts w:asciiTheme="majorHAnsi" w:hAnsiTheme="majorHAnsi"/>
          <w:sz w:val="16"/>
        </w:rPr>
        <w:t>; Energinet, D. (2016). Të dhëna teknologjike për impiantet energjetike për prodhimin e energjisë elektrike dhe ngrohjes qendrore. (Përditësuar në shkurt 2024)</w:t>
      </w:r>
    </w:p>
  </w:footnote>
  <w:footnote w:id="41">
    <w:p w14:paraId="1B5E9C2C" w14:textId="77777777" w:rsidR="004D127F" w:rsidRPr="00976D33" w:rsidRDefault="004D127F" w:rsidP="00AD0B60">
      <w:pPr>
        <w:pStyle w:val="FootnoteText"/>
        <w:spacing w:after="0"/>
        <w:rPr>
          <w:sz w:val="16"/>
          <w:szCs w:val="16"/>
        </w:rPr>
      </w:pPr>
      <w:r>
        <w:rPr>
          <w:rStyle w:val="FootnoteReference"/>
          <w:rFonts w:asciiTheme="majorHAnsi" w:hAnsiTheme="majorHAnsi" w:cstheme="majorHAnsi"/>
          <w:sz w:val="16"/>
          <w:szCs w:val="16"/>
          <w:lang w:val="en-GB"/>
        </w:rPr>
        <w:footnoteRef/>
      </w:r>
      <w:r>
        <w:rPr>
          <w:rFonts w:asciiTheme="majorHAnsi" w:hAnsiTheme="majorHAnsi"/>
          <w:sz w:val="16"/>
        </w:rPr>
        <w:t xml:space="preserve"> Kostot e shpallura shprehen në 2021-EUR siç përshkruhet në Strategjinë e Energjisë. Kostot përfshijnë zgjatjen e jetës, rinovimin dhe përmirësimin, si dhe përmirësimin teknik të filtrave. Vlerat për kapacitetet e instaluara neto janë marrë nga KEK-u.</w:t>
      </w:r>
    </w:p>
  </w:footnote>
  <w:footnote w:id="42">
    <w:p w14:paraId="288A8CE3" w14:textId="3729062A" w:rsidR="004D127F" w:rsidRPr="00976D33" w:rsidRDefault="004D127F" w:rsidP="00361CB0">
      <w:pPr>
        <w:pStyle w:val="FootnoteText"/>
      </w:pPr>
      <w:r>
        <w:rPr>
          <w:rStyle w:val="FootnoteReference"/>
          <w:lang w:val="en-GB"/>
        </w:rPr>
        <w:footnoteRef/>
      </w:r>
      <w:r>
        <w:t xml:space="preserve"> Një perspektivë e plotë mbi zhvillimin e inventarit kombëtar të emetimeve deri në vitin 2050 do të përfshihet në PKEK-në e ardhshëm bazuar në strategjinë e finalizuar afatgjatë të dekarbonizimit.</w:t>
      </w:r>
    </w:p>
  </w:footnote>
  <w:footnote w:id="43">
    <w:p w14:paraId="664BAC11" w14:textId="77777777" w:rsidR="004D127F" w:rsidRPr="00976D33" w:rsidRDefault="004D127F" w:rsidP="00361CB0">
      <w:pPr>
        <w:pStyle w:val="FootnoteText"/>
        <w:rPr>
          <w:rFonts w:asciiTheme="majorHAnsi" w:hAnsiTheme="majorHAnsi" w:cstheme="majorHAnsi"/>
        </w:rPr>
      </w:pPr>
      <w:r>
        <w:rPr>
          <w:rStyle w:val="FootnoteReference"/>
          <w:rFonts w:asciiTheme="majorHAnsi" w:hAnsiTheme="majorHAnsi" w:cstheme="majorHAnsi"/>
          <w:sz w:val="16"/>
          <w:szCs w:val="16"/>
          <w:lang w:val="en-GB"/>
        </w:rPr>
        <w:footnoteRef/>
      </w:r>
      <w:r>
        <w:rPr>
          <w:rFonts w:asciiTheme="majorHAnsi" w:hAnsiTheme="majorHAnsi"/>
          <w:sz w:val="16"/>
        </w:rPr>
        <w:t xml:space="preserve"> </w:t>
      </w:r>
      <w:r>
        <w:rPr>
          <w:rFonts w:asciiTheme="majorHAnsi" w:hAnsiTheme="majorHAnsi"/>
          <w:color w:val="34ABA2" w:themeColor="accent3"/>
          <w:sz w:val="16"/>
        </w:rPr>
        <w:t>https://www.energy-community.org/news/Energy-Community-News/2023/03/01a.html.</w:t>
      </w:r>
    </w:p>
  </w:footnote>
  <w:footnote w:id="44">
    <w:p w14:paraId="0014EC95" w14:textId="77777777" w:rsidR="004D127F" w:rsidRPr="00976D33" w:rsidRDefault="004D127F" w:rsidP="00361CB0">
      <w:pPr>
        <w:pStyle w:val="FootnoteText"/>
        <w:rPr>
          <w:rFonts w:asciiTheme="majorHAnsi" w:hAnsiTheme="majorHAnsi" w:cstheme="majorHAnsi"/>
        </w:rPr>
      </w:pPr>
      <w:r>
        <w:rPr>
          <w:rStyle w:val="FootnoteReference"/>
          <w:rFonts w:asciiTheme="majorHAnsi" w:hAnsiTheme="majorHAnsi" w:cstheme="majorHAnsi"/>
          <w:sz w:val="16"/>
          <w:szCs w:val="16"/>
          <w:lang w:val="en-GB"/>
        </w:rPr>
        <w:footnoteRef/>
      </w:r>
      <w:r>
        <w:rPr>
          <w:rFonts w:asciiTheme="majorHAnsi" w:hAnsiTheme="majorHAnsi"/>
          <w:sz w:val="16"/>
        </w:rPr>
        <w:t xml:space="preserve"> </w:t>
      </w:r>
      <w:r>
        <w:rPr>
          <w:rFonts w:asciiTheme="majorHAnsi" w:hAnsiTheme="majorHAnsi"/>
          <w:color w:val="34ABA2" w:themeColor="accent3"/>
          <w:sz w:val="16"/>
        </w:rPr>
        <w:t>https://www.energy-community.org/news/Energy-Community-News/2023/03/01a.html.</w:t>
      </w:r>
    </w:p>
  </w:footnote>
  <w:footnote w:id="45">
    <w:p w14:paraId="3DC4D2E4" w14:textId="77777777" w:rsidR="004D127F" w:rsidRPr="00976D33" w:rsidRDefault="004D127F" w:rsidP="00361CB0">
      <w:pPr>
        <w:pStyle w:val="FootnoteText"/>
        <w:rPr>
          <w:rFonts w:ascii="Arial" w:hAnsi="Arial" w:cs="Arial"/>
          <w:sz w:val="16"/>
          <w:szCs w:val="16"/>
        </w:rPr>
      </w:pPr>
      <w:r>
        <w:rPr>
          <w:rStyle w:val="FootnoteReference"/>
          <w:rFonts w:cs="Arial"/>
          <w:sz w:val="16"/>
          <w:szCs w:val="16"/>
          <w:lang w:val="en-GB"/>
        </w:rPr>
        <w:footnoteRef/>
      </w:r>
      <w:r>
        <w:rPr>
          <w:rFonts w:ascii="Arial" w:hAnsi="Arial"/>
          <w:sz w:val="16"/>
        </w:rPr>
        <w:t xml:space="preserve"> Parashikimet vetanake të çmimeve janë të gjitha në çmimet e vitit 2016.</w:t>
      </w:r>
    </w:p>
  </w:footnote>
  <w:footnote w:id="46">
    <w:p w14:paraId="21A3C118" w14:textId="59D0F33A" w:rsidR="004D127F" w:rsidRPr="00976D33" w:rsidRDefault="004D127F">
      <w:pPr>
        <w:pStyle w:val="FootnoteText"/>
      </w:pPr>
      <w:r>
        <w:rPr>
          <w:rStyle w:val="FootnoteReference"/>
          <w:lang w:val="en-GB"/>
        </w:rPr>
        <w:footnoteRef/>
      </w:r>
      <w:r>
        <w:t xml:space="preserve"> Viti bazë për reduktimin e emetimeve nga Betimi Global për Metanin u ndryshua në 2021 nga 2020 për shkak të kufizimeve që lidhen me disponueshmërinë e të dhënave.</w:t>
      </w:r>
    </w:p>
  </w:footnote>
  <w:footnote w:id="47">
    <w:p w14:paraId="685B6C86" w14:textId="77777777" w:rsidR="004D127F" w:rsidRPr="00976D33" w:rsidRDefault="004D127F" w:rsidP="00FD3BFB">
      <w:pPr>
        <w:pStyle w:val="FootnoteText"/>
        <w:rPr>
          <w:rFonts w:ascii="Arial" w:hAnsi="Arial" w:cs="Arial"/>
          <w:sz w:val="16"/>
          <w:szCs w:val="16"/>
        </w:rPr>
      </w:pPr>
      <w:r>
        <w:rPr>
          <w:rStyle w:val="FootnoteReference"/>
          <w:rFonts w:cs="Arial"/>
          <w:sz w:val="16"/>
          <w:szCs w:val="16"/>
          <w:lang w:val="en-GB"/>
        </w:rPr>
        <w:footnoteRef/>
      </w:r>
      <w:r>
        <w:t xml:space="preserve"> </w:t>
      </w:r>
      <w:r>
        <w:rPr>
          <w:rFonts w:ascii="Arial" w:hAnsi="Arial"/>
          <w:sz w:val="16"/>
        </w:rPr>
        <w:t>Shih për shembull: Kim dhe Mohommad, 2022, IEA, 2022 ose Wei, Patadia dhe Kammen, 2010.</w:t>
      </w:r>
    </w:p>
  </w:footnote>
  <w:footnote w:id="48">
    <w:p w14:paraId="165F3144" w14:textId="77777777" w:rsidR="004D127F" w:rsidRPr="005D3BBE" w:rsidRDefault="004D127F" w:rsidP="00FD3BFB">
      <w:pPr>
        <w:pStyle w:val="FootnoteText"/>
        <w:rPr>
          <w:rFonts w:asciiTheme="majorHAnsi" w:hAnsiTheme="majorHAnsi" w:cstheme="majorHAnsi"/>
          <w:sz w:val="16"/>
          <w:szCs w:val="16"/>
        </w:rPr>
      </w:pPr>
      <w:r>
        <w:rPr>
          <w:rStyle w:val="FootnoteReference"/>
          <w:rFonts w:asciiTheme="majorHAnsi" w:hAnsiTheme="majorHAnsi" w:cstheme="majorHAnsi"/>
          <w:sz w:val="16"/>
          <w:szCs w:val="16"/>
          <w:lang w:val="en-GB"/>
        </w:rPr>
        <w:footnoteRef/>
      </w:r>
      <w:r>
        <w:rPr>
          <w:rFonts w:asciiTheme="majorHAnsi" w:hAnsiTheme="majorHAnsi"/>
          <w:sz w:val="16"/>
        </w:rPr>
        <w:t xml:space="preserve"> Banka Botërore, 2019, Menaxhimi i Ndotjes së Ajrit në Kosovë.</w:t>
      </w:r>
    </w:p>
  </w:footnote>
  <w:footnote w:id="49">
    <w:p w14:paraId="5CF1B659" w14:textId="35FC799C" w:rsidR="004D127F" w:rsidRPr="00976D33" w:rsidRDefault="004D127F" w:rsidP="00FD3BFB">
      <w:pPr>
        <w:pStyle w:val="FootnoteText"/>
        <w:rPr>
          <w:sz w:val="16"/>
          <w:szCs w:val="16"/>
        </w:rPr>
      </w:pPr>
      <w:r>
        <w:rPr>
          <w:rStyle w:val="FootnoteReference"/>
          <w:rFonts w:asciiTheme="majorHAnsi" w:hAnsiTheme="majorHAnsi" w:cstheme="majorHAnsi"/>
          <w:sz w:val="16"/>
          <w:szCs w:val="16"/>
          <w:lang w:val="en-GB"/>
        </w:rPr>
        <w:footnoteRef/>
      </w:r>
      <w:r>
        <w:rPr>
          <w:rFonts w:asciiTheme="majorHAnsi" w:hAnsiTheme="majorHAnsi"/>
          <w:sz w:val="16"/>
        </w:rPr>
        <w:t xml:space="preserve"> Numrat në tekst të dhënë për skenarin WAM. 25% dhe 48% reduktim deri në vitin 2030 respektivisht 2040, në skenarin WEM.</w:t>
      </w:r>
    </w:p>
  </w:footnote>
  <w:footnote w:id="50">
    <w:p w14:paraId="70F72484" w14:textId="15BDBB59" w:rsidR="004D127F" w:rsidRPr="0067477A" w:rsidRDefault="004D127F" w:rsidP="0067477A">
      <w:pPr>
        <w:pStyle w:val="FootnoteText"/>
      </w:pPr>
      <w:r>
        <w:rPr>
          <w:rStyle w:val="FootnoteReference"/>
          <w:lang w:val="en-GB"/>
        </w:rPr>
        <w:footnoteRef/>
      </w:r>
      <w:r>
        <w:t xml:space="preserve"> </w:t>
      </w:r>
      <w:hyperlink r:id="rId10" w:history="1">
        <w:r>
          <w:rPr>
            <w:rStyle w:val="Hyperlink"/>
          </w:rPr>
          <w:t>Stubbe et al.</w:t>
        </w:r>
      </w:hyperlink>
      <w:hyperlink r:id="rId11" w:history="1">
        <w:r>
          <w:rPr>
            <w:rStyle w:val="Hyperlink"/>
          </w:rPr>
          <w:t xml:space="preserve"> (2022).</w:t>
        </w:r>
      </w:hyperlink>
      <w:hyperlink r:id="rId12" w:history="1">
        <w:r>
          <w:rPr>
            <w:rStyle w:val="Hyperlink"/>
          </w:rPr>
          <w:t xml:space="preserve"> Liberalizimi dhe integrimi i tregut të energjisë elektrike në Ballkanin Perëndimor.</w:t>
        </w:r>
      </w:hyperlink>
      <w:hyperlink r:id="rId13" w:history="1">
        <w:r>
          <w:rPr>
            <w:rStyle w:val="Hyperlink"/>
          </w:rPr>
          <w:t xml:space="preserve"> </w:t>
        </w:r>
        <w:r>
          <w:rPr>
            <w:rStyle w:val="Hyperlink"/>
            <w:i/>
          </w:rPr>
          <w:t>Studimi i politikave të ekipit ekonomik gjerman.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C28D3" w14:textId="667371F6" w:rsidR="004D127F" w:rsidRPr="00976D33" w:rsidRDefault="00062E07" w:rsidP="00CC47F0">
    <w:pPr>
      <w:pStyle w:val="Header"/>
      <w:pBdr>
        <w:bottom w:val="single" w:sz="4" w:space="1" w:color="D9D9D9" w:themeColor="background1" w:themeShade="D9"/>
      </w:pBdr>
      <w:rPr>
        <w:b/>
        <w:bCs/>
      </w:rPr>
    </w:pPr>
    <w:sdt>
      <w:sdtPr>
        <w:id w:val="33706778"/>
        <w:docPartObj>
          <w:docPartGallery w:val="Page Numbers (Top of Page)"/>
          <w:docPartUnique/>
        </w:docPartObj>
      </w:sdtPr>
      <w:sdtEndPr>
        <w:rPr>
          <w:color w:val="7F7F7F" w:themeColor="background1" w:themeShade="7F"/>
          <w:spacing w:val="60"/>
        </w:rPr>
      </w:sdtEndPr>
      <w:sdtContent>
        <w:r w:rsidR="004D127F" w:rsidRPr="00976D33">
          <w:fldChar w:fldCharType="begin"/>
        </w:r>
        <w:r w:rsidR="004D127F" w:rsidRPr="00976D33">
          <w:instrText xml:space="preserve"> PAGE   \* MERGEFORMAT </w:instrText>
        </w:r>
        <w:r w:rsidR="004D127F" w:rsidRPr="00976D33">
          <w:fldChar w:fldCharType="separate"/>
        </w:r>
        <w:r w:rsidR="0030151B" w:rsidRPr="0030151B">
          <w:rPr>
            <w:b/>
            <w:noProof/>
          </w:rPr>
          <w:t>12</w:t>
        </w:r>
        <w:r w:rsidR="004D127F" w:rsidRPr="00976D33">
          <w:rPr>
            <w:b/>
          </w:rPr>
          <w:fldChar w:fldCharType="end"/>
        </w:r>
        <w:r w:rsidR="004D127F">
          <w:rPr>
            <w:b/>
          </w:rPr>
          <w:t xml:space="preserve"> | </w:t>
        </w:r>
        <w:r w:rsidR="004D127F">
          <w:rPr>
            <w:color w:val="7F7F7F" w:themeColor="background1" w:themeShade="7F"/>
          </w:rPr>
          <w:t>Faqe</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0908474"/>
      <w:docPartObj>
        <w:docPartGallery w:val="Page Numbers (Top of Page)"/>
        <w:docPartUnique/>
      </w:docPartObj>
    </w:sdtPr>
    <w:sdtEndPr>
      <w:rPr>
        <w:color w:val="808080" w:themeColor="background1" w:themeShade="80"/>
        <w:spacing w:val="60"/>
      </w:rPr>
    </w:sdtEndPr>
    <w:sdtContent>
      <w:p w14:paraId="2B0CDC28" w14:textId="5358C3A4" w:rsidR="004D127F" w:rsidRPr="00976D33" w:rsidRDefault="004D127F" w:rsidP="00CC47F0">
        <w:pPr>
          <w:pStyle w:val="Header"/>
          <w:pBdr>
            <w:bottom w:val="single" w:sz="4" w:space="1" w:color="D9D9D9" w:themeColor="background1" w:themeShade="D9"/>
          </w:pBdr>
        </w:pPr>
      </w:p>
      <w:p w14:paraId="2766AE0B" w14:textId="77777777" w:rsidR="004D127F" w:rsidRPr="00976D33" w:rsidRDefault="004D127F" w:rsidP="00CC47F0">
        <w:pPr>
          <w:pStyle w:val="Header"/>
          <w:pBdr>
            <w:bottom w:val="single" w:sz="4" w:space="1" w:color="D9D9D9" w:themeColor="background1" w:themeShade="D9"/>
          </w:pBdr>
        </w:pPr>
      </w:p>
      <w:p w14:paraId="292FA8B9" w14:textId="3444322E" w:rsidR="004D127F" w:rsidRPr="00976D33" w:rsidRDefault="004D127F" w:rsidP="00CC47F0">
        <w:pPr>
          <w:pStyle w:val="Header"/>
          <w:pBdr>
            <w:bottom w:val="single" w:sz="4" w:space="1" w:color="D9D9D9" w:themeColor="background1" w:themeShade="D9"/>
          </w:pBdr>
          <w:rPr>
            <w:b/>
          </w:rPr>
        </w:pPr>
        <w:r w:rsidRPr="00976D33">
          <w:fldChar w:fldCharType="begin"/>
        </w:r>
        <w:r w:rsidRPr="00976D33">
          <w:instrText xml:space="preserve"> PAGE   \* MERGEFORMAT </w:instrText>
        </w:r>
        <w:r w:rsidRPr="00976D33">
          <w:fldChar w:fldCharType="separate"/>
        </w:r>
        <w:r w:rsidR="0030151B" w:rsidRPr="0030151B">
          <w:rPr>
            <w:b/>
            <w:noProof/>
          </w:rPr>
          <w:t>110</w:t>
        </w:r>
        <w:r w:rsidRPr="00976D33">
          <w:rPr>
            <w:b/>
          </w:rPr>
          <w:fldChar w:fldCharType="end"/>
        </w:r>
        <w:r>
          <w:rPr>
            <w:b/>
          </w:rPr>
          <w:t xml:space="preserve"> | </w:t>
        </w:r>
        <w:r>
          <w:rPr>
            <w:color w:val="808080" w:themeColor="background1" w:themeShade="80"/>
          </w:rPr>
          <w:t>Faqe</w: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9879735"/>
      <w:docPartObj>
        <w:docPartGallery w:val="Page Numbers (Top of Page)"/>
        <w:docPartUnique/>
      </w:docPartObj>
    </w:sdtPr>
    <w:sdtEndPr>
      <w:rPr>
        <w:color w:val="808080" w:themeColor="background1" w:themeShade="80"/>
        <w:spacing w:val="60"/>
      </w:rPr>
    </w:sdtEndPr>
    <w:sdtContent>
      <w:p w14:paraId="51479239" w14:textId="2F37394A" w:rsidR="004D127F" w:rsidRPr="00976D33" w:rsidRDefault="004D127F" w:rsidP="006E6E51">
        <w:pPr>
          <w:pStyle w:val="Header"/>
          <w:pBdr>
            <w:bottom w:val="single" w:sz="4" w:space="1" w:color="D9D9D9" w:themeColor="background1" w:themeShade="D9"/>
          </w:pBdr>
          <w:contextualSpacing/>
          <w:rPr>
            <w:b/>
          </w:rPr>
        </w:pPr>
        <w:r w:rsidRPr="00976D33">
          <w:fldChar w:fldCharType="begin"/>
        </w:r>
        <w:r w:rsidRPr="00976D33">
          <w:instrText xml:space="preserve"> PAGE   \* MERGEFORMAT </w:instrText>
        </w:r>
        <w:r w:rsidRPr="00976D33">
          <w:fldChar w:fldCharType="separate"/>
        </w:r>
        <w:r w:rsidR="0030151B" w:rsidRPr="0030151B">
          <w:rPr>
            <w:b/>
            <w:noProof/>
          </w:rPr>
          <w:t>153</w:t>
        </w:r>
        <w:r w:rsidRPr="00976D33">
          <w:rPr>
            <w:b/>
          </w:rPr>
          <w:fldChar w:fldCharType="end"/>
        </w:r>
        <w:r>
          <w:rPr>
            <w:b/>
          </w:rPr>
          <w:t xml:space="preserve"> | </w:t>
        </w:r>
        <w:r>
          <w:rPr>
            <w:color w:val="808080" w:themeColor="background1" w:themeShade="80"/>
          </w:rPr>
          <w:t>Faqe</w:t>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3500759"/>
      <w:docPartObj>
        <w:docPartGallery w:val="Page Numbers (Top of Page)"/>
        <w:docPartUnique/>
      </w:docPartObj>
    </w:sdtPr>
    <w:sdtEndPr>
      <w:rPr>
        <w:color w:val="808080" w:themeColor="background1" w:themeShade="80"/>
        <w:spacing w:val="60"/>
      </w:rPr>
    </w:sdtEndPr>
    <w:sdtContent>
      <w:p w14:paraId="6FFFC932" w14:textId="536C644C" w:rsidR="004D127F" w:rsidRPr="00976D33" w:rsidRDefault="004D127F" w:rsidP="00AA7CDF">
        <w:pPr>
          <w:pStyle w:val="Header"/>
          <w:pBdr>
            <w:bottom w:val="single" w:sz="4" w:space="1" w:color="D9D9D9" w:themeColor="background1" w:themeShade="D9"/>
          </w:pBdr>
          <w:contextualSpacing/>
        </w:pPr>
      </w:p>
      <w:p w14:paraId="5DC945A0" w14:textId="77777777" w:rsidR="004D127F" w:rsidRPr="00976D33" w:rsidRDefault="004D127F" w:rsidP="00AA7CDF">
        <w:pPr>
          <w:pStyle w:val="Header"/>
          <w:pBdr>
            <w:bottom w:val="single" w:sz="4" w:space="1" w:color="D9D9D9" w:themeColor="background1" w:themeShade="D9"/>
          </w:pBdr>
          <w:contextualSpacing/>
        </w:pPr>
      </w:p>
      <w:p w14:paraId="3724BD00" w14:textId="77777777" w:rsidR="004D127F" w:rsidRPr="00976D33" w:rsidRDefault="004D127F" w:rsidP="006E6E51">
        <w:pPr>
          <w:pStyle w:val="Header"/>
          <w:pBdr>
            <w:bottom w:val="single" w:sz="4" w:space="1" w:color="D9D9D9" w:themeColor="background1" w:themeShade="D9"/>
          </w:pBdr>
          <w:contextualSpacing/>
        </w:pPr>
      </w:p>
      <w:p w14:paraId="469F85E4" w14:textId="361B6565" w:rsidR="004D127F" w:rsidRPr="00976D33" w:rsidRDefault="004D127F" w:rsidP="006E6E51">
        <w:pPr>
          <w:pStyle w:val="Header"/>
          <w:pBdr>
            <w:bottom w:val="single" w:sz="4" w:space="1" w:color="D9D9D9" w:themeColor="background1" w:themeShade="D9"/>
          </w:pBdr>
          <w:contextualSpacing/>
          <w:rPr>
            <w:color w:val="808080" w:themeColor="background1" w:themeShade="80"/>
            <w:spacing w:val="60"/>
          </w:rPr>
        </w:pPr>
        <w:r w:rsidRPr="00976D33">
          <w:fldChar w:fldCharType="begin"/>
        </w:r>
        <w:r w:rsidRPr="00976D33">
          <w:instrText xml:space="preserve"> PAGE   \* MERGEFORMAT </w:instrText>
        </w:r>
        <w:r w:rsidRPr="00976D33">
          <w:fldChar w:fldCharType="separate"/>
        </w:r>
        <w:r w:rsidR="0030151B" w:rsidRPr="0030151B">
          <w:rPr>
            <w:b/>
            <w:noProof/>
          </w:rPr>
          <w:t>181</w:t>
        </w:r>
        <w:r w:rsidRPr="00976D33">
          <w:rPr>
            <w:b/>
          </w:rPr>
          <w:fldChar w:fldCharType="end"/>
        </w:r>
        <w:r>
          <w:rPr>
            <w:b/>
          </w:rPr>
          <w:t xml:space="preserve"> | </w:t>
        </w:r>
        <w:r>
          <w:rPr>
            <w:color w:val="808080" w:themeColor="background1" w:themeShade="80"/>
          </w:rPr>
          <w:t>Faqe</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518D8D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D2537"/>
    <w:multiLevelType w:val="hybridMultilevel"/>
    <w:tmpl w:val="40DA7546"/>
    <w:lvl w:ilvl="0" w:tplc="0809000F">
      <w:start w:val="1"/>
      <w:numFmt w:val="decimal"/>
      <w:lvlText w:val="%1."/>
      <w:lvlJc w:val="left"/>
      <w:pPr>
        <w:ind w:left="1080" w:hanging="360"/>
      </w:pPr>
      <w:rPr>
        <w:rFonts w:hint="default"/>
        <w:u w:color="082A75" w:themeColor="text2"/>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96C16B0"/>
    <w:multiLevelType w:val="hybridMultilevel"/>
    <w:tmpl w:val="20F486F4"/>
    <w:lvl w:ilvl="0" w:tplc="CD3CF9C2">
      <w:start w:val="1"/>
      <w:numFmt w:val="bullet"/>
      <w:lvlText w:val="-"/>
      <w:lvlJc w:val="left"/>
      <w:pPr>
        <w:ind w:left="720" w:hanging="360"/>
      </w:pPr>
      <w:rPr>
        <w:rFonts w:ascii="Calibri" w:eastAsia="Calibri" w:hAnsi="Calibri" w:hint="default"/>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100F8"/>
    <w:multiLevelType w:val="hybridMultilevel"/>
    <w:tmpl w:val="8CE4694A"/>
    <w:styleLink w:val="AktuelleListe10"/>
    <w:lvl w:ilvl="0" w:tplc="D09C6642">
      <w:start w:val="1"/>
      <w:numFmt w:val="decimal"/>
      <w:pStyle w:val="AktuelleListe10"/>
      <w:lvlText w:val="%1."/>
      <w:lvlJc w:val="left"/>
      <w:pPr>
        <w:ind w:left="1134" w:hanging="425"/>
      </w:pPr>
      <w:rPr>
        <w:rFonts w:hint="default"/>
        <w:color w:val="34ABA2" w:themeColor="accent3"/>
      </w:rPr>
    </w:lvl>
    <w:lvl w:ilvl="1" w:tplc="6F6047BA">
      <w:start w:val="1"/>
      <w:numFmt w:val="lowerLetter"/>
      <w:lvlText w:val="%2."/>
      <w:lvlJc w:val="left"/>
      <w:pPr>
        <w:ind w:left="1440" w:hanging="360"/>
      </w:pPr>
    </w:lvl>
    <w:lvl w:ilvl="2" w:tplc="23140B70">
      <w:start w:val="1"/>
      <w:numFmt w:val="lowerRoman"/>
      <w:lvlText w:val="%3."/>
      <w:lvlJc w:val="right"/>
      <w:pPr>
        <w:ind w:left="2160" w:hanging="180"/>
      </w:pPr>
    </w:lvl>
    <w:lvl w:ilvl="3" w:tplc="2098D0D4">
      <w:start w:val="1"/>
      <w:numFmt w:val="decimal"/>
      <w:lvlText w:val="%4."/>
      <w:lvlJc w:val="left"/>
      <w:pPr>
        <w:ind w:left="2880" w:hanging="360"/>
      </w:pPr>
    </w:lvl>
    <w:lvl w:ilvl="4" w:tplc="F620D9F8">
      <w:start w:val="1"/>
      <w:numFmt w:val="lowerLetter"/>
      <w:lvlText w:val="%5."/>
      <w:lvlJc w:val="left"/>
      <w:pPr>
        <w:ind w:left="3600" w:hanging="360"/>
      </w:pPr>
    </w:lvl>
    <w:lvl w:ilvl="5" w:tplc="7AA0D112">
      <w:start w:val="1"/>
      <w:numFmt w:val="lowerRoman"/>
      <w:lvlText w:val="%6."/>
      <w:lvlJc w:val="right"/>
      <w:pPr>
        <w:ind w:left="4320" w:hanging="180"/>
      </w:pPr>
    </w:lvl>
    <w:lvl w:ilvl="6" w:tplc="4282CB78">
      <w:start w:val="1"/>
      <w:numFmt w:val="decimal"/>
      <w:lvlText w:val="%7."/>
      <w:lvlJc w:val="left"/>
      <w:pPr>
        <w:ind w:left="5040" w:hanging="360"/>
      </w:pPr>
    </w:lvl>
    <w:lvl w:ilvl="7" w:tplc="787C8E5E">
      <w:start w:val="1"/>
      <w:numFmt w:val="lowerLetter"/>
      <w:lvlText w:val="%8."/>
      <w:lvlJc w:val="left"/>
      <w:pPr>
        <w:ind w:left="5760" w:hanging="360"/>
      </w:pPr>
    </w:lvl>
    <w:lvl w:ilvl="8" w:tplc="54A21A8C">
      <w:start w:val="1"/>
      <w:numFmt w:val="lowerRoman"/>
      <w:lvlText w:val="%9."/>
      <w:lvlJc w:val="right"/>
      <w:pPr>
        <w:ind w:left="6480" w:hanging="180"/>
      </w:pPr>
    </w:lvl>
  </w:abstractNum>
  <w:abstractNum w:abstractNumId="4" w15:restartNumberingAfterBreak="0">
    <w:nsid w:val="0EEB0CC5"/>
    <w:multiLevelType w:val="hybridMultilevel"/>
    <w:tmpl w:val="312E154C"/>
    <w:lvl w:ilvl="0" w:tplc="5B902FAE">
      <w:start w:val="1"/>
      <w:numFmt w:val="bullet"/>
      <w:lvlText w:val="-"/>
      <w:lvlJc w:val="left"/>
      <w:pPr>
        <w:ind w:left="720" w:hanging="360"/>
      </w:pPr>
      <w:rPr>
        <w:rFonts w:ascii="Calibri" w:eastAsiaTheme="minorHAns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062B3B"/>
    <w:multiLevelType w:val="hybridMultilevel"/>
    <w:tmpl w:val="7D2445D4"/>
    <w:lvl w:ilvl="0" w:tplc="319A453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3939B1"/>
    <w:multiLevelType w:val="hybridMultilevel"/>
    <w:tmpl w:val="EFE25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4A423D"/>
    <w:multiLevelType w:val="hybridMultilevel"/>
    <w:tmpl w:val="DD2A39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2696D7C"/>
    <w:multiLevelType w:val="multilevel"/>
    <w:tmpl w:val="1B28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FE4027"/>
    <w:multiLevelType w:val="hybridMultilevel"/>
    <w:tmpl w:val="A0289D2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193543C8"/>
    <w:multiLevelType w:val="hybridMultilevel"/>
    <w:tmpl w:val="0C741040"/>
    <w:styleLink w:val="AktuelleListe4"/>
    <w:lvl w:ilvl="0" w:tplc="A4B2CD66">
      <w:start w:val="1"/>
      <w:numFmt w:val="decimal"/>
      <w:pStyle w:val="AktuelleListe4"/>
      <w:lvlText w:val="%1."/>
      <w:lvlJc w:val="left"/>
      <w:pPr>
        <w:ind w:left="142" w:firstLine="142"/>
      </w:pPr>
      <w:rPr>
        <w:rFonts w:hint="default"/>
        <w:color w:val="34ABA2" w:themeColor="accent3"/>
      </w:rPr>
    </w:lvl>
    <w:lvl w:ilvl="1" w:tplc="7CBE16A8">
      <w:start w:val="1"/>
      <w:numFmt w:val="lowerLetter"/>
      <w:lvlText w:val="%2."/>
      <w:lvlJc w:val="left"/>
      <w:pPr>
        <w:ind w:left="1440" w:hanging="360"/>
      </w:pPr>
    </w:lvl>
    <w:lvl w:ilvl="2" w:tplc="A908231C">
      <w:start w:val="1"/>
      <w:numFmt w:val="lowerRoman"/>
      <w:lvlText w:val="%3."/>
      <w:lvlJc w:val="right"/>
      <w:pPr>
        <w:ind w:left="2160" w:hanging="180"/>
      </w:pPr>
    </w:lvl>
    <w:lvl w:ilvl="3" w:tplc="3B2A0AB4">
      <w:start w:val="1"/>
      <w:numFmt w:val="decimal"/>
      <w:lvlText w:val="%4."/>
      <w:lvlJc w:val="left"/>
      <w:pPr>
        <w:ind w:left="2880" w:hanging="360"/>
      </w:pPr>
    </w:lvl>
    <w:lvl w:ilvl="4" w:tplc="1BACDFC0">
      <w:start w:val="1"/>
      <w:numFmt w:val="lowerLetter"/>
      <w:lvlText w:val="%5."/>
      <w:lvlJc w:val="left"/>
      <w:pPr>
        <w:ind w:left="3600" w:hanging="360"/>
      </w:pPr>
    </w:lvl>
    <w:lvl w:ilvl="5" w:tplc="652A63A2">
      <w:start w:val="1"/>
      <w:numFmt w:val="lowerRoman"/>
      <w:lvlText w:val="%6."/>
      <w:lvlJc w:val="right"/>
      <w:pPr>
        <w:ind w:left="4320" w:hanging="180"/>
      </w:pPr>
    </w:lvl>
    <w:lvl w:ilvl="6" w:tplc="C9DEF8C6">
      <w:start w:val="1"/>
      <w:numFmt w:val="decimal"/>
      <w:lvlText w:val="%7."/>
      <w:lvlJc w:val="left"/>
      <w:pPr>
        <w:ind w:left="5040" w:hanging="360"/>
      </w:pPr>
    </w:lvl>
    <w:lvl w:ilvl="7" w:tplc="6CB4C2EC">
      <w:start w:val="1"/>
      <w:numFmt w:val="lowerLetter"/>
      <w:lvlText w:val="%8."/>
      <w:lvlJc w:val="left"/>
      <w:pPr>
        <w:ind w:left="5760" w:hanging="360"/>
      </w:pPr>
    </w:lvl>
    <w:lvl w:ilvl="8" w:tplc="89866D20">
      <w:start w:val="1"/>
      <w:numFmt w:val="lowerRoman"/>
      <w:lvlText w:val="%9."/>
      <w:lvlJc w:val="right"/>
      <w:pPr>
        <w:ind w:left="6480" w:hanging="180"/>
      </w:pPr>
    </w:lvl>
  </w:abstractNum>
  <w:abstractNum w:abstractNumId="11" w15:restartNumberingAfterBreak="0">
    <w:nsid w:val="1A556728"/>
    <w:multiLevelType w:val="hybridMultilevel"/>
    <w:tmpl w:val="6666B304"/>
    <w:lvl w:ilvl="0" w:tplc="5B902FAE">
      <w:start w:val="1"/>
      <w:numFmt w:val="bullet"/>
      <w:lvlText w:val="-"/>
      <w:lvlJc w:val="left"/>
      <w:pPr>
        <w:ind w:left="720" w:hanging="360"/>
      </w:pPr>
      <w:rPr>
        <w:rFonts w:ascii="Calibri" w:eastAsiaTheme="minorHAns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4F7B90"/>
    <w:multiLevelType w:val="hybridMultilevel"/>
    <w:tmpl w:val="4B9041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06A2C7A"/>
    <w:multiLevelType w:val="hybridMultilevel"/>
    <w:tmpl w:val="04603AA4"/>
    <w:styleLink w:val="AktuelleListe7"/>
    <w:lvl w:ilvl="0" w:tplc="2B6ACAE6">
      <w:start w:val="1"/>
      <w:numFmt w:val="decimal"/>
      <w:pStyle w:val="AktuelleListe7"/>
      <w:lvlText w:val="%1."/>
      <w:lvlJc w:val="left"/>
      <w:pPr>
        <w:ind w:left="567" w:hanging="425"/>
      </w:pPr>
      <w:rPr>
        <w:rFonts w:hint="default"/>
        <w:color w:val="34ABA2" w:themeColor="accent3"/>
      </w:rPr>
    </w:lvl>
    <w:lvl w:ilvl="1" w:tplc="96B66130">
      <w:start w:val="1"/>
      <w:numFmt w:val="lowerLetter"/>
      <w:lvlText w:val="%2."/>
      <w:lvlJc w:val="left"/>
      <w:pPr>
        <w:ind w:left="1440" w:hanging="360"/>
      </w:pPr>
    </w:lvl>
    <w:lvl w:ilvl="2" w:tplc="E8D84C6C">
      <w:start w:val="1"/>
      <w:numFmt w:val="lowerRoman"/>
      <w:lvlText w:val="%3."/>
      <w:lvlJc w:val="right"/>
      <w:pPr>
        <w:ind w:left="2160" w:hanging="180"/>
      </w:pPr>
    </w:lvl>
    <w:lvl w:ilvl="3" w:tplc="1BC6E638">
      <w:start w:val="1"/>
      <w:numFmt w:val="decimal"/>
      <w:lvlText w:val="%4."/>
      <w:lvlJc w:val="left"/>
      <w:pPr>
        <w:ind w:left="2880" w:hanging="360"/>
      </w:pPr>
    </w:lvl>
    <w:lvl w:ilvl="4" w:tplc="BA0E5EB4">
      <w:start w:val="1"/>
      <w:numFmt w:val="lowerLetter"/>
      <w:lvlText w:val="%5."/>
      <w:lvlJc w:val="left"/>
      <w:pPr>
        <w:ind w:left="3600" w:hanging="360"/>
      </w:pPr>
    </w:lvl>
    <w:lvl w:ilvl="5" w:tplc="8A568E72">
      <w:start w:val="1"/>
      <w:numFmt w:val="lowerRoman"/>
      <w:lvlText w:val="%6."/>
      <w:lvlJc w:val="right"/>
      <w:pPr>
        <w:ind w:left="4320" w:hanging="180"/>
      </w:pPr>
    </w:lvl>
    <w:lvl w:ilvl="6" w:tplc="4058BE6C">
      <w:start w:val="1"/>
      <w:numFmt w:val="decimal"/>
      <w:lvlText w:val="%7."/>
      <w:lvlJc w:val="left"/>
      <w:pPr>
        <w:ind w:left="5040" w:hanging="360"/>
      </w:pPr>
    </w:lvl>
    <w:lvl w:ilvl="7" w:tplc="A962ADA2">
      <w:start w:val="1"/>
      <w:numFmt w:val="lowerLetter"/>
      <w:lvlText w:val="%8."/>
      <w:lvlJc w:val="left"/>
      <w:pPr>
        <w:ind w:left="5760" w:hanging="360"/>
      </w:pPr>
    </w:lvl>
    <w:lvl w:ilvl="8" w:tplc="AEC08534">
      <w:start w:val="1"/>
      <w:numFmt w:val="lowerRoman"/>
      <w:lvlText w:val="%9."/>
      <w:lvlJc w:val="right"/>
      <w:pPr>
        <w:ind w:left="6480" w:hanging="180"/>
      </w:pPr>
    </w:lvl>
  </w:abstractNum>
  <w:abstractNum w:abstractNumId="14" w15:restartNumberingAfterBreak="0">
    <w:nsid w:val="20EB19A5"/>
    <w:multiLevelType w:val="multilevel"/>
    <w:tmpl w:val="071AF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3F47B28"/>
    <w:multiLevelType w:val="hybridMultilevel"/>
    <w:tmpl w:val="0D12CB34"/>
    <w:styleLink w:val="AktuelleListe9"/>
    <w:lvl w:ilvl="0" w:tplc="17A205B2">
      <w:start w:val="1"/>
      <w:numFmt w:val="decimal"/>
      <w:pStyle w:val="AktuelleListe9"/>
      <w:lvlText w:val="%1."/>
      <w:lvlJc w:val="left"/>
      <w:pPr>
        <w:ind w:left="1134" w:hanging="425"/>
      </w:pPr>
      <w:rPr>
        <w:rFonts w:hint="default"/>
        <w:color w:val="34ABA2" w:themeColor="accent3"/>
      </w:rPr>
    </w:lvl>
    <w:lvl w:ilvl="1" w:tplc="C66E1266">
      <w:start w:val="1"/>
      <w:numFmt w:val="lowerLetter"/>
      <w:lvlText w:val="%2."/>
      <w:lvlJc w:val="left"/>
      <w:pPr>
        <w:ind w:left="1440" w:hanging="360"/>
      </w:pPr>
    </w:lvl>
    <w:lvl w:ilvl="2" w:tplc="1D54A6BC">
      <w:start w:val="1"/>
      <w:numFmt w:val="lowerRoman"/>
      <w:lvlText w:val="%3."/>
      <w:lvlJc w:val="right"/>
      <w:pPr>
        <w:ind w:left="2160" w:hanging="180"/>
      </w:pPr>
    </w:lvl>
    <w:lvl w:ilvl="3" w:tplc="11AEC618">
      <w:start w:val="1"/>
      <w:numFmt w:val="decimal"/>
      <w:lvlText w:val="%4."/>
      <w:lvlJc w:val="left"/>
      <w:pPr>
        <w:ind w:left="2880" w:hanging="360"/>
      </w:pPr>
    </w:lvl>
    <w:lvl w:ilvl="4" w:tplc="2DEE65FE">
      <w:start w:val="1"/>
      <w:numFmt w:val="lowerLetter"/>
      <w:lvlText w:val="%5."/>
      <w:lvlJc w:val="left"/>
      <w:pPr>
        <w:ind w:left="3600" w:hanging="360"/>
      </w:pPr>
    </w:lvl>
    <w:lvl w:ilvl="5" w:tplc="4FD64884">
      <w:start w:val="1"/>
      <w:numFmt w:val="lowerRoman"/>
      <w:lvlText w:val="%6."/>
      <w:lvlJc w:val="right"/>
      <w:pPr>
        <w:ind w:left="4320" w:hanging="180"/>
      </w:pPr>
    </w:lvl>
    <w:lvl w:ilvl="6" w:tplc="5980DED0">
      <w:start w:val="1"/>
      <w:numFmt w:val="decimal"/>
      <w:lvlText w:val="%7."/>
      <w:lvlJc w:val="left"/>
      <w:pPr>
        <w:ind w:left="5040" w:hanging="360"/>
      </w:pPr>
    </w:lvl>
    <w:lvl w:ilvl="7" w:tplc="5BCAAB72">
      <w:start w:val="1"/>
      <w:numFmt w:val="lowerLetter"/>
      <w:lvlText w:val="%8."/>
      <w:lvlJc w:val="left"/>
      <w:pPr>
        <w:ind w:left="5760" w:hanging="360"/>
      </w:pPr>
    </w:lvl>
    <w:lvl w:ilvl="8" w:tplc="BF36FC26">
      <w:start w:val="1"/>
      <w:numFmt w:val="lowerRoman"/>
      <w:lvlText w:val="%9."/>
      <w:lvlJc w:val="right"/>
      <w:pPr>
        <w:ind w:left="6480" w:hanging="180"/>
      </w:pPr>
    </w:lvl>
  </w:abstractNum>
  <w:abstractNum w:abstractNumId="16" w15:restartNumberingAfterBreak="0">
    <w:nsid w:val="240D48E5"/>
    <w:multiLevelType w:val="multilevel"/>
    <w:tmpl w:val="698A5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6E4AA8"/>
    <w:multiLevelType w:val="hybridMultilevel"/>
    <w:tmpl w:val="BEA693A4"/>
    <w:lvl w:ilvl="0" w:tplc="99586D96">
      <w:start w:val="1"/>
      <w:numFmt w:val="decimal"/>
      <w:pStyle w:val="Nummerierungen"/>
      <w:lvlText w:val="%1."/>
      <w:lvlJc w:val="left"/>
      <w:pPr>
        <w:ind w:left="1134" w:hanging="425"/>
      </w:pPr>
      <w:rPr>
        <w:rFonts w:hint="default"/>
        <w:color w:val="34ABA2" w:themeColor="accent3"/>
      </w:rPr>
    </w:lvl>
    <w:lvl w:ilvl="1" w:tplc="B344A524">
      <w:start w:val="1"/>
      <w:numFmt w:val="lowerLetter"/>
      <w:lvlText w:val="%2."/>
      <w:lvlJc w:val="left"/>
      <w:pPr>
        <w:ind w:left="1440" w:hanging="360"/>
      </w:pPr>
    </w:lvl>
    <w:lvl w:ilvl="2" w:tplc="C9F65B74">
      <w:start w:val="1"/>
      <w:numFmt w:val="lowerRoman"/>
      <w:lvlText w:val="%3."/>
      <w:lvlJc w:val="right"/>
      <w:pPr>
        <w:ind w:left="2160" w:hanging="180"/>
      </w:pPr>
    </w:lvl>
    <w:lvl w:ilvl="3" w:tplc="EEF81E58">
      <w:start w:val="1"/>
      <w:numFmt w:val="decimal"/>
      <w:lvlText w:val="%4."/>
      <w:lvlJc w:val="left"/>
      <w:pPr>
        <w:ind w:left="2880" w:hanging="360"/>
      </w:pPr>
    </w:lvl>
    <w:lvl w:ilvl="4" w:tplc="68FAB00C">
      <w:start w:val="1"/>
      <w:numFmt w:val="lowerLetter"/>
      <w:lvlText w:val="%5."/>
      <w:lvlJc w:val="left"/>
      <w:pPr>
        <w:ind w:left="3600" w:hanging="360"/>
      </w:pPr>
    </w:lvl>
    <w:lvl w:ilvl="5" w:tplc="6D36181E">
      <w:start w:val="1"/>
      <w:numFmt w:val="lowerRoman"/>
      <w:lvlText w:val="%6."/>
      <w:lvlJc w:val="right"/>
      <w:pPr>
        <w:ind w:left="4320" w:hanging="180"/>
      </w:pPr>
    </w:lvl>
    <w:lvl w:ilvl="6" w:tplc="B30C7836">
      <w:start w:val="1"/>
      <w:numFmt w:val="decimal"/>
      <w:lvlText w:val="%7."/>
      <w:lvlJc w:val="left"/>
      <w:pPr>
        <w:ind w:left="5040" w:hanging="360"/>
      </w:pPr>
    </w:lvl>
    <w:lvl w:ilvl="7" w:tplc="26BA3570">
      <w:start w:val="1"/>
      <w:numFmt w:val="lowerLetter"/>
      <w:lvlText w:val="%8."/>
      <w:lvlJc w:val="left"/>
      <w:pPr>
        <w:ind w:left="5760" w:hanging="360"/>
      </w:pPr>
    </w:lvl>
    <w:lvl w:ilvl="8" w:tplc="67687686">
      <w:start w:val="1"/>
      <w:numFmt w:val="lowerRoman"/>
      <w:lvlText w:val="%9."/>
      <w:lvlJc w:val="right"/>
      <w:pPr>
        <w:ind w:left="6480" w:hanging="180"/>
      </w:pPr>
    </w:lvl>
  </w:abstractNum>
  <w:abstractNum w:abstractNumId="18" w15:restartNumberingAfterBreak="0">
    <w:nsid w:val="26373900"/>
    <w:multiLevelType w:val="multilevel"/>
    <w:tmpl w:val="D5FEF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7203F47"/>
    <w:multiLevelType w:val="hybridMultilevel"/>
    <w:tmpl w:val="5F301900"/>
    <w:lvl w:ilvl="0" w:tplc="319A45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C14716"/>
    <w:multiLevelType w:val="hybridMultilevel"/>
    <w:tmpl w:val="990CF0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8173F01"/>
    <w:multiLevelType w:val="multilevel"/>
    <w:tmpl w:val="60808D44"/>
    <w:lvl w:ilvl="0">
      <w:start w:val="1"/>
      <w:numFmt w:val="upperRoman"/>
      <w:pStyle w:val="Heading4"/>
      <w:lvlText w:val="%1."/>
      <w:lvlJc w:val="left"/>
      <w:pPr>
        <w:ind w:left="720" w:hanging="360"/>
      </w:pPr>
      <w:rPr>
        <w:rFonts w:cs="Times New Roman" w:hint="default"/>
      </w:rPr>
    </w:lvl>
    <w:lvl w:ilvl="1">
      <w:start w:val="39"/>
      <w:numFmt w:val="decimal"/>
      <w:isLgl/>
      <w:lvlText w:val="%1.%2"/>
      <w:lvlJc w:val="left"/>
      <w:pPr>
        <w:ind w:left="1260" w:hanging="900"/>
      </w:pPr>
      <w:rPr>
        <w:rFonts w:hint="default"/>
      </w:rPr>
    </w:lvl>
    <w:lvl w:ilvl="2">
      <w:start w:val="1"/>
      <w:numFmt w:val="decimal"/>
      <w:isLgl/>
      <w:lvlText w:val="%1.%2.%3"/>
      <w:lvlJc w:val="left"/>
      <w:pPr>
        <w:ind w:left="1260" w:hanging="900"/>
      </w:pPr>
      <w:rPr>
        <w:rFonts w:hint="default"/>
      </w:rPr>
    </w:lvl>
    <w:lvl w:ilvl="3">
      <w:start w:val="1"/>
      <w:numFmt w:val="decimal"/>
      <w:isLgl/>
      <w:lvlText w:val="%1.%2.%3.%4"/>
      <w:lvlJc w:val="left"/>
      <w:pPr>
        <w:ind w:left="1260" w:hanging="900"/>
      </w:pPr>
      <w:rPr>
        <w:rFonts w:hint="default"/>
      </w:rPr>
    </w:lvl>
    <w:lvl w:ilvl="4">
      <w:start w:val="1"/>
      <w:numFmt w:val="decimal"/>
      <w:isLgl/>
      <w:lvlText w:val="%1.%2.%3.%4.%5"/>
      <w:lvlJc w:val="left"/>
      <w:pPr>
        <w:ind w:left="1260" w:hanging="90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28796093"/>
    <w:multiLevelType w:val="hybridMultilevel"/>
    <w:tmpl w:val="786A1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0B0DA2"/>
    <w:multiLevelType w:val="multilevel"/>
    <w:tmpl w:val="7CF431A0"/>
    <w:styleLink w:val="AktuelleListe1"/>
    <w:lvl w:ilvl="0">
      <w:start w:val="1"/>
      <w:numFmt w:val="decimal"/>
      <w:pStyle w:val="AktuelleListe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2B550733"/>
    <w:multiLevelType w:val="multilevel"/>
    <w:tmpl w:val="25884C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FDB2CB6"/>
    <w:multiLevelType w:val="hybridMultilevel"/>
    <w:tmpl w:val="38020DDE"/>
    <w:lvl w:ilvl="0" w:tplc="62889204">
      <w:start w:val="1"/>
      <w:numFmt w:val="bullet"/>
      <w:pStyle w:val="Aufzhlungen"/>
      <w:lvlText w:val="»"/>
      <w:lvlJc w:val="left"/>
      <w:pPr>
        <w:ind w:left="425" w:hanging="283"/>
      </w:pPr>
      <w:rPr>
        <w:rFonts w:ascii="Arial" w:hAnsi="Arial" w:hint="default"/>
        <w:color w:val="34ABA2" w:themeColor="accent3"/>
      </w:rPr>
    </w:lvl>
    <w:lvl w:ilvl="1" w:tplc="46C0BE76">
      <w:start w:val="1"/>
      <w:numFmt w:val="bullet"/>
      <w:lvlText w:val="o"/>
      <w:lvlJc w:val="left"/>
      <w:pPr>
        <w:ind w:left="1440" w:hanging="360"/>
      </w:pPr>
      <w:rPr>
        <w:rFonts w:ascii="Courier New" w:hAnsi="Courier New" w:cs="Courier New" w:hint="default"/>
      </w:rPr>
    </w:lvl>
    <w:lvl w:ilvl="2" w:tplc="2A623D56">
      <w:start w:val="1"/>
      <w:numFmt w:val="bullet"/>
      <w:lvlText w:val=""/>
      <w:lvlJc w:val="left"/>
      <w:pPr>
        <w:ind w:left="2160" w:hanging="360"/>
      </w:pPr>
      <w:rPr>
        <w:rFonts w:ascii="Wingdings" w:hAnsi="Wingdings" w:hint="default"/>
      </w:rPr>
    </w:lvl>
    <w:lvl w:ilvl="3" w:tplc="8CECBEC8">
      <w:start w:val="1"/>
      <w:numFmt w:val="bullet"/>
      <w:lvlText w:val=""/>
      <w:lvlJc w:val="left"/>
      <w:pPr>
        <w:ind w:left="2880" w:hanging="360"/>
      </w:pPr>
      <w:rPr>
        <w:rFonts w:ascii="Symbol" w:hAnsi="Symbol" w:hint="default"/>
      </w:rPr>
    </w:lvl>
    <w:lvl w:ilvl="4" w:tplc="805E0DCA">
      <w:start w:val="1"/>
      <w:numFmt w:val="bullet"/>
      <w:lvlText w:val="o"/>
      <w:lvlJc w:val="left"/>
      <w:pPr>
        <w:ind w:left="3600" w:hanging="360"/>
      </w:pPr>
      <w:rPr>
        <w:rFonts w:ascii="Courier New" w:hAnsi="Courier New" w:cs="Courier New" w:hint="default"/>
      </w:rPr>
    </w:lvl>
    <w:lvl w:ilvl="5" w:tplc="4446A1AC">
      <w:start w:val="1"/>
      <w:numFmt w:val="bullet"/>
      <w:lvlText w:val=""/>
      <w:lvlJc w:val="left"/>
      <w:pPr>
        <w:ind w:left="4320" w:hanging="360"/>
      </w:pPr>
      <w:rPr>
        <w:rFonts w:ascii="Wingdings" w:hAnsi="Wingdings" w:hint="default"/>
      </w:rPr>
    </w:lvl>
    <w:lvl w:ilvl="6" w:tplc="CB8A1926">
      <w:start w:val="1"/>
      <w:numFmt w:val="bullet"/>
      <w:lvlText w:val=""/>
      <w:lvlJc w:val="left"/>
      <w:pPr>
        <w:ind w:left="5040" w:hanging="360"/>
      </w:pPr>
      <w:rPr>
        <w:rFonts w:ascii="Symbol" w:hAnsi="Symbol" w:hint="default"/>
      </w:rPr>
    </w:lvl>
    <w:lvl w:ilvl="7" w:tplc="4B1CE334">
      <w:start w:val="1"/>
      <w:numFmt w:val="bullet"/>
      <w:lvlText w:val="o"/>
      <w:lvlJc w:val="left"/>
      <w:pPr>
        <w:ind w:left="5760" w:hanging="360"/>
      </w:pPr>
      <w:rPr>
        <w:rFonts w:ascii="Courier New" w:hAnsi="Courier New" w:cs="Courier New" w:hint="default"/>
      </w:rPr>
    </w:lvl>
    <w:lvl w:ilvl="8" w:tplc="EF04EB72">
      <w:start w:val="1"/>
      <w:numFmt w:val="bullet"/>
      <w:lvlText w:val=""/>
      <w:lvlJc w:val="left"/>
      <w:pPr>
        <w:ind w:left="6480" w:hanging="360"/>
      </w:pPr>
      <w:rPr>
        <w:rFonts w:ascii="Wingdings" w:hAnsi="Wingdings" w:hint="default"/>
      </w:rPr>
    </w:lvl>
  </w:abstractNum>
  <w:abstractNum w:abstractNumId="26" w15:restartNumberingAfterBreak="0">
    <w:nsid w:val="305D1647"/>
    <w:multiLevelType w:val="multilevel"/>
    <w:tmpl w:val="B446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06E2CE8"/>
    <w:multiLevelType w:val="hybridMultilevel"/>
    <w:tmpl w:val="BD80489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356101F4"/>
    <w:multiLevelType w:val="hybridMultilevel"/>
    <w:tmpl w:val="23D2A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2B301E"/>
    <w:multiLevelType w:val="hybridMultilevel"/>
    <w:tmpl w:val="5240BE10"/>
    <w:lvl w:ilvl="0" w:tplc="319A453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77F35B4"/>
    <w:multiLevelType w:val="multilevel"/>
    <w:tmpl w:val="03649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78A5D50"/>
    <w:multiLevelType w:val="hybridMultilevel"/>
    <w:tmpl w:val="109CAFE0"/>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2" w15:restartNumberingAfterBreak="0">
    <w:nsid w:val="37A60BC8"/>
    <w:multiLevelType w:val="hybridMultilevel"/>
    <w:tmpl w:val="62C6DDB2"/>
    <w:lvl w:ilvl="0" w:tplc="5B902FAE">
      <w:start w:val="1"/>
      <w:numFmt w:val="bullet"/>
      <w:lvlText w:val="-"/>
      <w:lvlJc w:val="left"/>
      <w:pPr>
        <w:ind w:left="720" w:hanging="360"/>
      </w:pPr>
      <w:rPr>
        <w:rFonts w:ascii="Calibri" w:eastAsiaTheme="minorHAns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263E49"/>
    <w:multiLevelType w:val="hybridMultilevel"/>
    <w:tmpl w:val="610ECC86"/>
    <w:lvl w:ilvl="0" w:tplc="9ACAB856">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38AD01DD"/>
    <w:multiLevelType w:val="hybridMultilevel"/>
    <w:tmpl w:val="B9C08EB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AB577A4"/>
    <w:multiLevelType w:val="hybridMultilevel"/>
    <w:tmpl w:val="37AAD814"/>
    <w:styleLink w:val="AktuelleListe3"/>
    <w:lvl w:ilvl="0" w:tplc="0BAE6952">
      <w:start w:val="1"/>
      <w:numFmt w:val="decimal"/>
      <w:pStyle w:val="AktuelleListe3"/>
      <w:lvlText w:val="%1."/>
      <w:lvlJc w:val="left"/>
      <w:pPr>
        <w:ind w:left="142" w:firstLine="142"/>
      </w:pPr>
      <w:rPr>
        <w:rFonts w:hint="default"/>
        <w:color w:val="34ABA2" w:themeColor="accent3"/>
      </w:rPr>
    </w:lvl>
    <w:lvl w:ilvl="1" w:tplc="071E6BF4">
      <w:start w:val="1"/>
      <w:numFmt w:val="lowerLetter"/>
      <w:lvlText w:val="%2."/>
      <w:lvlJc w:val="left"/>
      <w:pPr>
        <w:ind w:left="1440" w:hanging="360"/>
      </w:pPr>
    </w:lvl>
    <w:lvl w:ilvl="2" w:tplc="E3E08C60">
      <w:start w:val="1"/>
      <w:numFmt w:val="lowerRoman"/>
      <w:lvlText w:val="%3."/>
      <w:lvlJc w:val="right"/>
      <w:pPr>
        <w:ind w:left="2160" w:hanging="180"/>
      </w:pPr>
    </w:lvl>
    <w:lvl w:ilvl="3" w:tplc="B99C2586">
      <w:start w:val="1"/>
      <w:numFmt w:val="decimal"/>
      <w:lvlText w:val="%4."/>
      <w:lvlJc w:val="left"/>
      <w:pPr>
        <w:ind w:left="2880" w:hanging="360"/>
      </w:pPr>
    </w:lvl>
    <w:lvl w:ilvl="4" w:tplc="CD0A844C">
      <w:start w:val="1"/>
      <w:numFmt w:val="lowerLetter"/>
      <w:lvlText w:val="%5."/>
      <w:lvlJc w:val="left"/>
      <w:pPr>
        <w:ind w:left="3600" w:hanging="360"/>
      </w:pPr>
    </w:lvl>
    <w:lvl w:ilvl="5" w:tplc="EADEDFD2">
      <w:start w:val="1"/>
      <w:numFmt w:val="lowerRoman"/>
      <w:lvlText w:val="%6."/>
      <w:lvlJc w:val="right"/>
      <w:pPr>
        <w:ind w:left="4320" w:hanging="180"/>
      </w:pPr>
    </w:lvl>
    <w:lvl w:ilvl="6" w:tplc="2D5CAD24">
      <w:start w:val="1"/>
      <w:numFmt w:val="decimal"/>
      <w:lvlText w:val="%7."/>
      <w:lvlJc w:val="left"/>
      <w:pPr>
        <w:ind w:left="5040" w:hanging="360"/>
      </w:pPr>
    </w:lvl>
    <w:lvl w:ilvl="7" w:tplc="C9C8A19A">
      <w:start w:val="1"/>
      <w:numFmt w:val="lowerLetter"/>
      <w:lvlText w:val="%8."/>
      <w:lvlJc w:val="left"/>
      <w:pPr>
        <w:ind w:left="5760" w:hanging="360"/>
      </w:pPr>
    </w:lvl>
    <w:lvl w:ilvl="8" w:tplc="1688E866">
      <w:start w:val="1"/>
      <w:numFmt w:val="lowerRoman"/>
      <w:lvlText w:val="%9."/>
      <w:lvlJc w:val="right"/>
      <w:pPr>
        <w:ind w:left="6480" w:hanging="180"/>
      </w:pPr>
    </w:lvl>
  </w:abstractNum>
  <w:abstractNum w:abstractNumId="36" w15:restartNumberingAfterBreak="0">
    <w:nsid w:val="3FC81835"/>
    <w:multiLevelType w:val="hybridMultilevel"/>
    <w:tmpl w:val="A64AF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418F4508"/>
    <w:multiLevelType w:val="multilevel"/>
    <w:tmpl w:val="1F904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3072911"/>
    <w:multiLevelType w:val="hybridMultilevel"/>
    <w:tmpl w:val="849E1B60"/>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454400D7"/>
    <w:multiLevelType w:val="multilevel"/>
    <w:tmpl w:val="B454A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8D301FE"/>
    <w:multiLevelType w:val="hybridMultilevel"/>
    <w:tmpl w:val="4F98E96E"/>
    <w:styleLink w:val="AktuelleListe6"/>
    <w:lvl w:ilvl="0" w:tplc="DC1225F2">
      <w:start w:val="1"/>
      <w:numFmt w:val="decimal"/>
      <w:pStyle w:val="AktuelleListe6"/>
      <w:lvlText w:val="%1."/>
      <w:lvlJc w:val="left"/>
      <w:pPr>
        <w:ind w:left="567" w:hanging="425"/>
      </w:pPr>
      <w:rPr>
        <w:rFonts w:hint="default"/>
        <w:color w:val="34ABA2" w:themeColor="accent3"/>
      </w:rPr>
    </w:lvl>
    <w:lvl w:ilvl="1" w:tplc="2B640990">
      <w:start w:val="1"/>
      <w:numFmt w:val="lowerLetter"/>
      <w:lvlText w:val="%2."/>
      <w:lvlJc w:val="left"/>
      <w:pPr>
        <w:ind w:left="1440" w:hanging="360"/>
      </w:pPr>
    </w:lvl>
    <w:lvl w:ilvl="2" w:tplc="412ED20A">
      <w:start w:val="1"/>
      <w:numFmt w:val="lowerRoman"/>
      <w:lvlText w:val="%3."/>
      <w:lvlJc w:val="right"/>
      <w:pPr>
        <w:ind w:left="2160" w:hanging="180"/>
      </w:pPr>
    </w:lvl>
    <w:lvl w:ilvl="3" w:tplc="80D04E6E">
      <w:start w:val="1"/>
      <w:numFmt w:val="decimal"/>
      <w:lvlText w:val="%4."/>
      <w:lvlJc w:val="left"/>
      <w:pPr>
        <w:ind w:left="2880" w:hanging="360"/>
      </w:pPr>
    </w:lvl>
    <w:lvl w:ilvl="4" w:tplc="699AA792">
      <w:start w:val="1"/>
      <w:numFmt w:val="lowerLetter"/>
      <w:lvlText w:val="%5."/>
      <w:lvlJc w:val="left"/>
      <w:pPr>
        <w:ind w:left="3600" w:hanging="360"/>
      </w:pPr>
    </w:lvl>
    <w:lvl w:ilvl="5" w:tplc="11E856BE">
      <w:start w:val="1"/>
      <w:numFmt w:val="lowerRoman"/>
      <w:lvlText w:val="%6."/>
      <w:lvlJc w:val="right"/>
      <w:pPr>
        <w:ind w:left="4320" w:hanging="180"/>
      </w:pPr>
    </w:lvl>
    <w:lvl w:ilvl="6" w:tplc="1DDCE97E">
      <w:start w:val="1"/>
      <w:numFmt w:val="decimal"/>
      <w:lvlText w:val="%7."/>
      <w:lvlJc w:val="left"/>
      <w:pPr>
        <w:ind w:left="5040" w:hanging="360"/>
      </w:pPr>
    </w:lvl>
    <w:lvl w:ilvl="7" w:tplc="0730368A">
      <w:start w:val="1"/>
      <w:numFmt w:val="lowerLetter"/>
      <w:lvlText w:val="%8."/>
      <w:lvlJc w:val="left"/>
      <w:pPr>
        <w:ind w:left="5760" w:hanging="360"/>
      </w:pPr>
    </w:lvl>
    <w:lvl w:ilvl="8" w:tplc="A224DB58">
      <w:start w:val="1"/>
      <w:numFmt w:val="lowerRoman"/>
      <w:lvlText w:val="%9."/>
      <w:lvlJc w:val="right"/>
      <w:pPr>
        <w:ind w:left="6480" w:hanging="180"/>
      </w:pPr>
    </w:lvl>
  </w:abstractNum>
  <w:abstractNum w:abstractNumId="41" w15:restartNumberingAfterBreak="0">
    <w:nsid w:val="4DFA29F9"/>
    <w:multiLevelType w:val="hybridMultilevel"/>
    <w:tmpl w:val="4C2EE0F2"/>
    <w:lvl w:ilvl="0" w:tplc="775A3818">
      <w:start w:val="1"/>
      <w:numFmt w:val="bullet"/>
      <w:lvlText w:val=""/>
      <w:lvlJc w:val="left"/>
      <w:pPr>
        <w:ind w:left="360" w:hanging="360"/>
      </w:pPr>
      <w:rPr>
        <w:rFonts w:ascii="Wingdings" w:hAnsi="Wingdings" w:hint="default"/>
      </w:rPr>
    </w:lvl>
    <w:lvl w:ilvl="1" w:tplc="775A3818">
      <w:start w:val="1"/>
      <w:numFmt w:val="bullet"/>
      <w:lvlText w:val=""/>
      <w:lvlJc w:val="left"/>
      <w:pPr>
        <w:ind w:left="1080" w:hanging="360"/>
      </w:pPr>
      <w:rPr>
        <w:rFonts w:ascii="Wingdings" w:hAnsi="Wingdings"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2" w15:restartNumberingAfterBreak="0">
    <w:nsid w:val="4DFB5028"/>
    <w:multiLevelType w:val="hybridMultilevel"/>
    <w:tmpl w:val="AD54F0D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15:restartNumberingAfterBreak="0">
    <w:nsid w:val="4F2034B8"/>
    <w:multiLevelType w:val="hybridMultilevel"/>
    <w:tmpl w:val="4DBC93E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50A172D5"/>
    <w:multiLevelType w:val="hybridMultilevel"/>
    <w:tmpl w:val="9A1CBDE0"/>
    <w:lvl w:ilvl="0" w:tplc="0809000F">
      <w:start w:val="1"/>
      <w:numFmt w:val="decimal"/>
      <w:lvlText w:val="%1."/>
      <w:lvlJc w:val="left"/>
      <w:pPr>
        <w:ind w:left="1080" w:hanging="360"/>
      </w:pPr>
      <w:rPr>
        <w:rFonts w:hint="default"/>
        <w:u w:color="082A75" w:themeColor="text2"/>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15:restartNumberingAfterBreak="0">
    <w:nsid w:val="54464DD4"/>
    <w:multiLevelType w:val="multilevel"/>
    <w:tmpl w:val="FCB6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5AA2B2F"/>
    <w:multiLevelType w:val="hybridMultilevel"/>
    <w:tmpl w:val="E07CA1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55B96E24"/>
    <w:multiLevelType w:val="hybridMultilevel"/>
    <w:tmpl w:val="54EEBFCC"/>
    <w:styleLink w:val="AktuelleListe5"/>
    <w:lvl w:ilvl="0" w:tplc="ABBE1E88">
      <w:start w:val="1"/>
      <w:numFmt w:val="decimal"/>
      <w:pStyle w:val="AktuelleListe5"/>
      <w:lvlText w:val="%1."/>
      <w:lvlJc w:val="left"/>
      <w:pPr>
        <w:tabs>
          <w:tab w:val="num" w:pos="425"/>
        </w:tabs>
        <w:ind w:left="425" w:hanging="283"/>
      </w:pPr>
      <w:rPr>
        <w:rFonts w:hint="default"/>
        <w:color w:val="34ABA2" w:themeColor="accent3"/>
      </w:rPr>
    </w:lvl>
    <w:lvl w:ilvl="1" w:tplc="BF06EE24">
      <w:start w:val="1"/>
      <w:numFmt w:val="lowerLetter"/>
      <w:lvlText w:val="%2."/>
      <w:lvlJc w:val="left"/>
      <w:pPr>
        <w:ind w:left="1440" w:hanging="360"/>
      </w:pPr>
    </w:lvl>
    <w:lvl w:ilvl="2" w:tplc="9B0ECF1A">
      <w:start w:val="1"/>
      <w:numFmt w:val="lowerRoman"/>
      <w:lvlText w:val="%3."/>
      <w:lvlJc w:val="right"/>
      <w:pPr>
        <w:ind w:left="2160" w:hanging="180"/>
      </w:pPr>
    </w:lvl>
    <w:lvl w:ilvl="3" w:tplc="D688D006">
      <w:start w:val="1"/>
      <w:numFmt w:val="decimal"/>
      <w:lvlText w:val="%4."/>
      <w:lvlJc w:val="left"/>
      <w:pPr>
        <w:ind w:left="2880" w:hanging="360"/>
      </w:pPr>
    </w:lvl>
    <w:lvl w:ilvl="4" w:tplc="10921138">
      <w:start w:val="1"/>
      <w:numFmt w:val="lowerLetter"/>
      <w:lvlText w:val="%5."/>
      <w:lvlJc w:val="left"/>
      <w:pPr>
        <w:ind w:left="3600" w:hanging="360"/>
      </w:pPr>
    </w:lvl>
    <w:lvl w:ilvl="5" w:tplc="05EC8158">
      <w:start w:val="1"/>
      <w:numFmt w:val="lowerRoman"/>
      <w:lvlText w:val="%6."/>
      <w:lvlJc w:val="right"/>
      <w:pPr>
        <w:ind w:left="4320" w:hanging="180"/>
      </w:pPr>
    </w:lvl>
    <w:lvl w:ilvl="6" w:tplc="77C43B5C">
      <w:start w:val="1"/>
      <w:numFmt w:val="decimal"/>
      <w:lvlText w:val="%7."/>
      <w:lvlJc w:val="left"/>
      <w:pPr>
        <w:ind w:left="5040" w:hanging="360"/>
      </w:pPr>
    </w:lvl>
    <w:lvl w:ilvl="7" w:tplc="A4AE5694">
      <w:start w:val="1"/>
      <w:numFmt w:val="lowerLetter"/>
      <w:lvlText w:val="%8."/>
      <w:lvlJc w:val="left"/>
      <w:pPr>
        <w:ind w:left="5760" w:hanging="360"/>
      </w:pPr>
    </w:lvl>
    <w:lvl w:ilvl="8" w:tplc="C158E360">
      <w:start w:val="1"/>
      <w:numFmt w:val="lowerRoman"/>
      <w:lvlText w:val="%9."/>
      <w:lvlJc w:val="right"/>
      <w:pPr>
        <w:ind w:left="6480" w:hanging="180"/>
      </w:pPr>
    </w:lvl>
  </w:abstractNum>
  <w:abstractNum w:abstractNumId="48" w15:restartNumberingAfterBreak="0">
    <w:nsid w:val="56583F5C"/>
    <w:multiLevelType w:val="hybridMultilevel"/>
    <w:tmpl w:val="BB122824"/>
    <w:styleLink w:val="AktuelleListe8"/>
    <w:lvl w:ilvl="0" w:tplc="5D202338">
      <w:start w:val="1"/>
      <w:numFmt w:val="decimal"/>
      <w:pStyle w:val="AktuelleListe8"/>
      <w:lvlText w:val="%1."/>
      <w:lvlJc w:val="left"/>
      <w:pPr>
        <w:ind w:left="567" w:hanging="425"/>
      </w:pPr>
      <w:rPr>
        <w:rFonts w:hint="default"/>
        <w:color w:val="34ABA2" w:themeColor="accent3"/>
      </w:rPr>
    </w:lvl>
    <w:lvl w:ilvl="1" w:tplc="A1384EA0">
      <w:start w:val="1"/>
      <w:numFmt w:val="lowerLetter"/>
      <w:lvlText w:val="%2."/>
      <w:lvlJc w:val="left"/>
      <w:pPr>
        <w:ind w:left="1440" w:hanging="360"/>
      </w:pPr>
    </w:lvl>
    <w:lvl w:ilvl="2" w:tplc="DB40A8B2">
      <w:start w:val="1"/>
      <w:numFmt w:val="lowerRoman"/>
      <w:lvlText w:val="%3."/>
      <w:lvlJc w:val="right"/>
      <w:pPr>
        <w:ind w:left="2160" w:hanging="180"/>
      </w:pPr>
    </w:lvl>
    <w:lvl w:ilvl="3" w:tplc="5EDCB9B0">
      <w:start w:val="1"/>
      <w:numFmt w:val="decimal"/>
      <w:lvlText w:val="%4."/>
      <w:lvlJc w:val="left"/>
      <w:pPr>
        <w:ind w:left="2880" w:hanging="360"/>
      </w:pPr>
    </w:lvl>
    <w:lvl w:ilvl="4" w:tplc="2DA6B3DE">
      <w:start w:val="1"/>
      <w:numFmt w:val="lowerLetter"/>
      <w:lvlText w:val="%5."/>
      <w:lvlJc w:val="left"/>
      <w:pPr>
        <w:ind w:left="3600" w:hanging="360"/>
      </w:pPr>
    </w:lvl>
    <w:lvl w:ilvl="5" w:tplc="F968BF64">
      <w:start w:val="1"/>
      <w:numFmt w:val="lowerRoman"/>
      <w:lvlText w:val="%6."/>
      <w:lvlJc w:val="right"/>
      <w:pPr>
        <w:ind w:left="4320" w:hanging="180"/>
      </w:pPr>
    </w:lvl>
    <w:lvl w:ilvl="6" w:tplc="EF624C28">
      <w:start w:val="1"/>
      <w:numFmt w:val="decimal"/>
      <w:lvlText w:val="%7."/>
      <w:lvlJc w:val="left"/>
      <w:pPr>
        <w:ind w:left="5040" w:hanging="360"/>
      </w:pPr>
    </w:lvl>
    <w:lvl w:ilvl="7" w:tplc="053E5AC8">
      <w:start w:val="1"/>
      <w:numFmt w:val="lowerLetter"/>
      <w:lvlText w:val="%8."/>
      <w:lvlJc w:val="left"/>
      <w:pPr>
        <w:ind w:left="5760" w:hanging="360"/>
      </w:pPr>
    </w:lvl>
    <w:lvl w:ilvl="8" w:tplc="0B4A6BC8">
      <w:start w:val="1"/>
      <w:numFmt w:val="lowerRoman"/>
      <w:lvlText w:val="%9."/>
      <w:lvlJc w:val="right"/>
      <w:pPr>
        <w:ind w:left="6480" w:hanging="180"/>
      </w:pPr>
    </w:lvl>
  </w:abstractNum>
  <w:abstractNum w:abstractNumId="49" w15:restartNumberingAfterBreak="0">
    <w:nsid w:val="58C83745"/>
    <w:multiLevelType w:val="multilevel"/>
    <w:tmpl w:val="004E2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923684F"/>
    <w:multiLevelType w:val="multilevel"/>
    <w:tmpl w:val="B9E4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C092102"/>
    <w:multiLevelType w:val="hybridMultilevel"/>
    <w:tmpl w:val="F57E707A"/>
    <w:lvl w:ilvl="0" w:tplc="8FD081AE">
      <w:start w:val="1"/>
      <w:numFmt w:val="decimal"/>
      <w:lvlText w:val="%1)"/>
      <w:lvlJc w:val="left"/>
      <w:pPr>
        <w:ind w:left="1020" w:hanging="360"/>
      </w:pPr>
    </w:lvl>
    <w:lvl w:ilvl="1" w:tplc="53C41E86">
      <w:start w:val="1"/>
      <w:numFmt w:val="decimal"/>
      <w:lvlText w:val="%2)"/>
      <w:lvlJc w:val="left"/>
      <w:pPr>
        <w:ind w:left="1020" w:hanging="360"/>
      </w:pPr>
    </w:lvl>
    <w:lvl w:ilvl="2" w:tplc="5BF08D22">
      <w:start w:val="1"/>
      <w:numFmt w:val="decimal"/>
      <w:lvlText w:val="%3)"/>
      <w:lvlJc w:val="left"/>
      <w:pPr>
        <w:ind w:left="1020" w:hanging="360"/>
      </w:pPr>
    </w:lvl>
    <w:lvl w:ilvl="3" w:tplc="DF5EBB76">
      <w:start w:val="1"/>
      <w:numFmt w:val="decimal"/>
      <w:lvlText w:val="%4)"/>
      <w:lvlJc w:val="left"/>
      <w:pPr>
        <w:ind w:left="1020" w:hanging="360"/>
      </w:pPr>
    </w:lvl>
    <w:lvl w:ilvl="4" w:tplc="24C60246">
      <w:start w:val="1"/>
      <w:numFmt w:val="decimal"/>
      <w:lvlText w:val="%5)"/>
      <w:lvlJc w:val="left"/>
      <w:pPr>
        <w:ind w:left="1020" w:hanging="360"/>
      </w:pPr>
    </w:lvl>
    <w:lvl w:ilvl="5" w:tplc="89C00B24">
      <w:start w:val="1"/>
      <w:numFmt w:val="decimal"/>
      <w:lvlText w:val="%6)"/>
      <w:lvlJc w:val="left"/>
      <w:pPr>
        <w:ind w:left="1020" w:hanging="360"/>
      </w:pPr>
    </w:lvl>
    <w:lvl w:ilvl="6" w:tplc="B89A63EE">
      <w:start w:val="1"/>
      <w:numFmt w:val="decimal"/>
      <w:lvlText w:val="%7)"/>
      <w:lvlJc w:val="left"/>
      <w:pPr>
        <w:ind w:left="1020" w:hanging="360"/>
      </w:pPr>
    </w:lvl>
    <w:lvl w:ilvl="7" w:tplc="FC60BBCE">
      <w:start w:val="1"/>
      <w:numFmt w:val="decimal"/>
      <w:lvlText w:val="%8)"/>
      <w:lvlJc w:val="left"/>
      <w:pPr>
        <w:ind w:left="1020" w:hanging="360"/>
      </w:pPr>
    </w:lvl>
    <w:lvl w:ilvl="8" w:tplc="738C5AAE">
      <w:start w:val="1"/>
      <w:numFmt w:val="decimal"/>
      <w:lvlText w:val="%9)"/>
      <w:lvlJc w:val="left"/>
      <w:pPr>
        <w:ind w:left="1020" w:hanging="360"/>
      </w:pPr>
    </w:lvl>
  </w:abstractNum>
  <w:abstractNum w:abstractNumId="52" w15:restartNumberingAfterBreak="0">
    <w:nsid w:val="5C753AFF"/>
    <w:multiLevelType w:val="multilevel"/>
    <w:tmpl w:val="7BC6D39E"/>
    <w:lvl w:ilvl="0">
      <w:start w:val="1"/>
      <w:numFmt w:val="decimal"/>
      <w:lvlText w:val="%1."/>
      <w:lvlJc w:val="left"/>
      <w:pPr>
        <w:ind w:left="1080" w:hanging="360"/>
      </w:pPr>
      <w:rPr>
        <w:rFonts w:hint="default"/>
        <w:u w:color="082A75" w:themeColor="text2"/>
      </w:rPr>
    </w:lvl>
    <w:lvl w:ilvl="1">
      <w:start w:val="7"/>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53" w15:restartNumberingAfterBreak="0">
    <w:nsid w:val="5E3F5AEF"/>
    <w:multiLevelType w:val="hybridMultilevel"/>
    <w:tmpl w:val="8B6C1D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5F87193B"/>
    <w:multiLevelType w:val="hybridMultilevel"/>
    <w:tmpl w:val="68E20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0D47F12"/>
    <w:multiLevelType w:val="multilevel"/>
    <w:tmpl w:val="701A2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0EE59DB"/>
    <w:multiLevelType w:val="hybridMultilevel"/>
    <w:tmpl w:val="46047A66"/>
    <w:lvl w:ilvl="0" w:tplc="0807000F">
      <w:start w:val="1"/>
      <w:numFmt w:val="decimal"/>
      <w:lvlText w:val="%1."/>
      <w:lvlJc w:val="left"/>
      <w:pPr>
        <w:ind w:left="720" w:hanging="360"/>
      </w:pPr>
      <w:rPr>
        <w:rFonts w:hint="default"/>
      </w:rPr>
    </w:lvl>
    <w:lvl w:ilvl="1" w:tplc="08070017">
      <w:start w:val="1"/>
      <w:numFmt w:val="lowerLetter"/>
      <w:lvlText w:val="%2)"/>
      <w:lvlJc w:val="left"/>
      <w:pPr>
        <w:ind w:left="1440" w:hanging="360"/>
      </w:pPr>
      <w:rPr>
        <w:rFonts w:hint="default"/>
      </w:rPr>
    </w:lvl>
    <w:lvl w:ilvl="2" w:tplc="08070001">
      <w:start w:val="1"/>
      <w:numFmt w:val="bullet"/>
      <w:lvlText w:val=""/>
      <w:lvlJc w:val="left"/>
      <w:pPr>
        <w:ind w:left="2160" w:hanging="180"/>
      </w:pPr>
      <w:rPr>
        <w:rFonts w:ascii="Symbol" w:hAnsi="Symbol" w:hint="default"/>
      </w:r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7" w15:restartNumberingAfterBreak="0">
    <w:nsid w:val="624246CC"/>
    <w:multiLevelType w:val="multilevel"/>
    <w:tmpl w:val="20F26D32"/>
    <w:lvl w:ilvl="0">
      <w:start w:val="1"/>
      <w:numFmt w:val="decimal"/>
      <w:pStyle w:val="Heading1"/>
      <w:lvlText w:val="%1"/>
      <w:lvlJc w:val="left"/>
      <w:pPr>
        <w:ind w:left="716"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8" w15:restartNumberingAfterBreak="0">
    <w:nsid w:val="672D02FA"/>
    <w:multiLevelType w:val="hybridMultilevel"/>
    <w:tmpl w:val="C930B3EC"/>
    <w:lvl w:ilvl="0" w:tplc="CD3CF9C2">
      <w:start w:val="1"/>
      <w:numFmt w:val="bullet"/>
      <w:lvlText w:val="-"/>
      <w:lvlJc w:val="left"/>
      <w:pPr>
        <w:ind w:left="720" w:hanging="360"/>
      </w:pPr>
      <w:rPr>
        <w:rFonts w:ascii="Calibri" w:eastAsia="Calibri" w:hAnsi="Calibri" w:hint="default"/>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75F017C"/>
    <w:multiLevelType w:val="hybridMultilevel"/>
    <w:tmpl w:val="663C80C8"/>
    <w:lvl w:ilvl="0" w:tplc="CC9AD270">
      <w:start w:val="1"/>
      <w:numFmt w:val="bullet"/>
      <w:pStyle w:val="ListParagraph"/>
      <w:lvlText w:val=""/>
      <w:lvlJc w:val="left"/>
      <w:pPr>
        <w:ind w:left="1080" w:hanging="360"/>
      </w:pPr>
      <w:rPr>
        <w:rFonts w:ascii="Symbol" w:hAnsi="Symbol" w:cs="Symbol" w:hint="default"/>
        <w:u w:color="082A75" w:themeColor="text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69B33FDE"/>
    <w:multiLevelType w:val="hybridMultilevel"/>
    <w:tmpl w:val="8E9092F0"/>
    <w:lvl w:ilvl="0" w:tplc="08070017">
      <w:start w:val="1"/>
      <w:numFmt w:val="lowerLetter"/>
      <w:lvlText w:val="%1)"/>
      <w:lvlJc w:val="left"/>
      <w:pPr>
        <w:ind w:left="72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1" w15:restartNumberingAfterBreak="0">
    <w:nsid w:val="6B0E528F"/>
    <w:multiLevelType w:val="hybridMultilevel"/>
    <w:tmpl w:val="AE486D2C"/>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2" w15:restartNumberingAfterBreak="0">
    <w:nsid w:val="6B6C4A5F"/>
    <w:multiLevelType w:val="hybridMultilevel"/>
    <w:tmpl w:val="4AB42B90"/>
    <w:lvl w:ilvl="0" w:tplc="5B902FAE">
      <w:start w:val="1"/>
      <w:numFmt w:val="bullet"/>
      <w:lvlText w:val="-"/>
      <w:lvlJc w:val="left"/>
      <w:pPr>
        <w:ind w:left="720" w:hanging="360"/>
      </w:pPr>
      <w:rPr>
        <w:rFonts w:ascii="Calibri" w:eastAsiaTheme="minorHAns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C0D7F68"/>
    <w:multiLevelType w:val="hybridMultilevel"/>
    <w:tmpl w:val="A9AE26A0"/>
    <w:lvl w:ilvl="0" w:tplc="B67E8684">
      <w:start w:val="1"/>
      <w:numFmt w:val="upperRoman"/>
      <w:pStyle w:val="Heading3"/>
      <w:lvlText w:val="%1."/>
      <w:lvlJc w:val="left"/>
      <w:pPr>
        <w:ind w:left="45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C6E1411"/>
    <w:multiLevelType w:val="hybridMultilevel"/>
    <w:tmpl w:val="8E22304C"/>
    <w:lvl w:ilvl="0" w:tplc="08341B38">
      <w:numFmt w:val="bullet"/>
      <w:lvlText w:val="-"/>
      <w:lvlJc w:val="left"/>
      <w:pPr>
        <w:ind w:left="720" w:hanging="360"/>
      </w:pPr>
      <w:rPr>
        <w:rFonts w:ascii="Arial" w:eastAsiaTheme="minorEastAsia"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E73704D"/>
    <w:multiLevelType w:val="multilevel"/>
    <w:tmpl w:val="0198731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0F24DE6"/>
    <w:multiLevelType w:val="hybridMultilevel"/>
    <w:tmpl w:val="54582D18"/>
    <w:lvl w:ilvl="0" w:tplc="054C9C34">
      <w:start w:val="1"/>
      <w:numFmt w:val="bullet"/>
      <w:lvlText w:val="-"/>
      <w:lvlJc w:val="left"/>
      <w:pPr>
        <w:ind w:left="1080" w:hanging="360"/>
      </w:pPr>
      <w:rPr>
        <w:rFonts w:ascii="Times New Roman" w:eastAsiaTheme="minorHAnsi" w:hAnsi="Times New Roman" w:cs="Times New Roman" w:hint="default"/>
      </w:rPr>
    </w:lvl>
    <w:lvl w:ilvl="1" w:tplc="08070017">
      <w:start w:val="1"/>
      <w:numFmt w:val="lowerLetter"/>
      <w:lvlText w:val="%2)"/>
      <w:lvlJc w:val="left"/>
      <w:pPr>
        <w:ind w:left="1800" w:hanging="360"/>
      </w:pPr>
      <w:rPr>
        <w:rFonts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67" w15:restartNumberingAfterBreak="0">
    <w:nsid w:val="72033C66"/>
    <w:multiLevelType w:val="multilevel"/>
    <w:tmpl w:val="C122B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24C0D55"/>
    <w:multiLevelType w:val="hybridMultilevel"/>
    <w:tmpl w:val="5E647D6A"/>
    <w:lvl w:ilvl="0" w:tplc="7FA69548">
      <w:numFmt w:val="bullet"/>
      <w:lvlText w:val="•"/>
      <w:lvlJc w:val="left"/>
      <w:pPr>
        <w:ind w:left="720" w:hanging="360"/>
      </w:pPr>
      <w:rPr>
        <w:rFonts w:ascii="Cambria" w:eastAsiaTheme="majorEastAsia" w:hAnsi="Cambria" w:cstheme="maj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15:restartNumberingAfterBreak="0">
    <w:nsid w:val="74A7087C"/>
    <w:multiLevelType w:val="hybridMultilevel"/>
    <w:tmpl w:val="697AEA20"/>
    <w:lvl w:ilvl="0" w:tplc="FFFFFFFF">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62A7D2A"/>
    <w:multiLevelType w:val="multilevel"/>
    <w:tmpl w:val="0AF0F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6F86D13"/>
    <w:multiLevelType w:val="hybridMultilevel"/>
    <w:tmpl w:val="696E24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2" w15:restartNumberingAfterBreak="0">
    <w:nsid w:val="782445CB"/>
    <w:multiLevelType w:val="hybridMultilevel"/>
    <w:tmpl w:val="C8C84166"/>
    <w:lvl w:ilvl="0" w:tplc="CD3CF9C2">
      <w:start w:val="1"/>
      <w:numFmt w:val="bullet"/>
      <w:lvlText w:val="-"/>
      <w:lvlJc w:val="left"/>
      <w:pPr>
        <w:ind w:left="720" w:hanging="360"/>
      </w:pPr>
      <w:rPr>
        <w:rFonts w:ascii="Calibri" w:eastAsia="Calibri" w:hAnsi="Calibri" w:hint="default"/>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84F5054"/>
    <w:multiLevelType w:val="hybridMultilevel"/>
    <w:tmpl w:val="B77C9E86"/>
    <w:styleLink w:val="AktuelleListe2"/>
    <w:lvl w:ilvl="0" w:tplc="0F28B394">
      <w:start w:val="1"/>
      <w:numFmt w:val="decimal"/>
      <w:pStyle w:val="AktuelleListe2"/>
      <w:lvlText w:val="%1."/>
      <w:lvlJc w:val="left"/>
      <w:pPr>
        <w:ind w:left="142" w:firstLine="142"/>
      </w:pPr>
      <w:rPr>
        <w:rFonts w:hint="default"/>
        <w:color w:val="34ABA2" w:themeColor="accent3"/>
      </w:rPr>
    </w:lvl>
    <w:lvl w:ilvl="1" w:tplc="E35AAE8E">
      <w:start w:val="1"/>
      <w:numFmt w:val="lowerLetter"/>
      <w:lvlText w:val="%2."/>
      <w:lvlJc w:val="left"/>
      <w:pPr>
        <w:ind w:left="1440" w:hanging="360"/>
      </w:pPr>
    </w:lvl>
    <w:lvl w:ilvl="2" w:tplc="19760274">
      <w:start w:val="1"/>
      <w:numFmt w:val="lowerRoman"/>
      <w:lvlText w:val="%3."/>
      <w:lvlJc w:val="right"/>
      <w:pPr>
        <w:ind w:left="2160" w:hanging="180"/>
      </w:pPr>
    </w:lvl>
    <w:lvl w:ilvl="3" w:tplc="6F78B684">
      <w:start w:val="1"/>
      <w:numFmt w:val="decimal"/>
      <w:lvlText w:val="%4."/>
      <w:lvlJc w:val="left"/>
      <w:pPr>
        <w:ind w:left="2880" w:hanging="360"/>
      </w:pPr>
    </w:lvl>
    <w:lvl w:ilvl="4" w:tplc="58F04AF2">
      <w:start w:val="1"/>
      <w:numFmt w:val="lowerLetter"/>
      <w:lvlText w:val="%5."/>
      <w:lvlJc w:val="left"/>
      <w:pPr>
        <w:ind w:left="3600" w:hanging="360"/>
      </w:pPr>
    </w:lvl>
    <w:lvl w:ilvl="5" w:tplc="A59A6DAE">
      <w:start w:val="1"/>
      <w:numFmt w:val="lowerRoman"/>
      <w:lvlText w:val="%6."/>
      <w:lvlJc w:val="right"/>
      <w:pPr>
        <w:ind w:left="4320" w:hanging="180"/>
      </w:pPr>
    </w:lvl>
    <w:lvl w:ilvl="6" w:tplc="2B1C3170">
      <w:start w:val="1"/>
      <w:numFmt w:val="decimal"/>
      <w:lvlText w:val="%7."/>
      <w:lvlJc w:val="left"/>
      <w:pPr>
        <w:ind w:left="5040" w:hanging="360"/>
      </w:pPr>
    </w:lvl>
    <w:lvl w:ilvl="7" w:tplc="DC461614">
      <w:start w:val="1"/>
      <w:numFmt w:val="lowerLetter"/>
      <w:lvlText w:val="%8."/>
      <w:lvlJc w:val="left"/>
      <w:pPr>
        <w:ind w:left="5760" w:hanging="360"/>
      </w:pPr>
    </w:lvl>
    <w:lvl w:ilvl="8" w:tplc="44504572">
      <w:start w:val="1"/>
      <w:numFmt w:val="lowerRoman"/>
      <w:lvlText w:val="%9."/>
      <w:lvlJc w:val="right"/>
      <w:pPr>
        <w:ind w:left="6480" w:hanging="180"/>
      </w:pPr>
    </w:lvl>
  </w:abstractNum>
  <w:abstractNum w:abstractNumId="74" w15:restartNumberingAfterBreak="0">
    <w:nsid w:val="7A3C1C4B"/>
    <w:multiLevelType w:val="multilevel"/>
    <w:tmpl w:val="53649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F4E19DB"/>
    <w:multiLevelType w:val="hybridMultilevel"/>
    <w:tmpl w:val="AFB0964A"/>
    <w:lvl w:ilvl="0" w:tplc="0809000F">
      <w:start w:val="1"/>
      <w:numFmt w:val="decimal"/>
      <w:lvlText w:val="%1."/>
      <w:lvlJc w:val="left"/>
      <w:pPr>
        <w:ind w:left="1080" w:hanging="360"/>
      </w:pPr>
      <w:rPr>
        <w:rFonts w:hint="default"/>
        <w:u w:color="082A75" w:themeColor="text2"/>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abstractNumId w:val="57"/>
  </w:num>
  <w:num w:numId="2">
    <w:abstractNumId w:val="63"/>
    <w:lvlOverride w:ilvl="0">
      <w:startOverride w:val="1"/>
    </w:lvlOverride>
  </w:num>
  <w:num w:numId="3">
    <w:abstractNumId w:val="63"/>
    <w:lvlOverride w:ilvl="0">
      <w:startOverride w:val="1"/>
    </w:lvlOverride>
  </w:num>
  <w:num w:numId="4">
    <w:abstractNumId w:val="63"/>
    <w:lvlOverride w:ilvl="0">
      <w:startOverride w:val="1"/>
    </w:lvlOverride>
  </w:num>
  <w:num w:numId="5">
    <w:abstractNumId w:val="21"/>
    <w:lvlOverride w:ilvl="0">
      <w:startOverride w:val="1"/>
    </w:lvlOverride>
  </w:num>
  <w:num w:numId="6">
    <w:abstractNumId w:val="63"/>
    <w:lvlOverride w:ilvl="0">
      <w:startOverride w:val="1"/>
    </w:lvlOverride>
  </w:num>
  <w:num w:numId="7">
    <w:abstractNumId w:val="63"/>
    <w:lvlOverride w:ilvl="0">
      <w:startOverride w:val="1"/>
    </w:lvlOverride>
  </w:num>
  <w:num w:numId="8">
    <w:abstractNumId w:val="21"/>
    <w:lvlOverride w:ilvl="0">
      <w:startOverride w:val="1"/>
    </w:lvlOverride>
  </w:num>
  <w:num w:numId="9">
    <w:abstractNumId w:val="21"/>
    <w:lvlOverride w:ilvl="0">
      <w:startOverride w:val="1"/>
    </w:lvlOverride>
  </w:num>
  <w:num w:numId="10">
    <w:abstractNumId w:val="21"/>
    <w:lvlOverride w:ilvl="0">
      <w:startOverride w:val="1"/>
    </w:lvlOverride>
  </w:num>
  <w:num w:numId="11">
    <w:abstractNumId w:val="63"/>
    <w:lvlOverride w:ilvl="0">
      <w:startOverride w:val="1"/>
    </w:lvlOverride>
  </w:num>
  <w:num w:numId="12">
    <w:abstractNumId w:val="21"/>
  </w:num>
  <w:num w:numId="13">
    <w:abstractNumId w:val="63"/>
    <w:lvlOverride w:ilvl="0">
      <w:startOverride w:val="1"/>
    </w:lvlOverride>
  </w:num>
  <w:num w:numId="14">
    <w:abstractNumId w:val="21"/>
    <w:lvlOverride w:ilvl="0">
      <w:startOverride w:val="1"/>
    </w:lvlOverride>
  </w:num>
  <w:num w:numId="15">
    <w:abstractNumId w:val="63"/>
    <w:lvlOverride w:ilvl="0">
      <w:startOverride w:val="1"/>
    </w:lvlOverride>
  </w:num>
  <w:num w:numId="16">
    <w:abstractNumId w:val="21"/>
    <w:lvlOverride w:ilvl="0">
      <w:startOverride w:val="1"/>
    </w:lvlOverride>
  </w:num>
  <w:num w:numId="17">
    <w:abstractNumId w:val="21"/>
    <w:lvlOverride w:ilvl="0">
      <w:startOverride w:val="1"/>
    </w:lvlOverride>
  </w:num>
  <w:num w:numId="18">
    <w:abstractNumId w:val="21"/>
    <w:lvlOverride w:ilvl="0">
      <w:startOverride w:val="1"/>
    </w:lvlOverride>
  </w:num>
  <w:num w:numId="19">
    <w:abstractNumId w:val="63"/>
    <w:lvlOverride w:ilvl="0">
      <w:startOverride w:val="1"/>
    </w:lvlOverride>
  </w:num>
  <w:num w:numId="20">
    <w:abstractNumId w:val="63"/>
    <w:lvlOverride w:ilvl="0">
      <w:startOverride w:val="1"/>
    </w:lvlOverride>
  </w:num>
  <w:num w:numId="21">
    <w:abstractNumId w:val="21"/>
    <w:lvlOverride w:ilvl="0">
      <w:startOverride w:val="1"/>
    </w:lvlOverride>
  </w:num>
  <w:num w:numId="22">
    <w:abstractNumId w:val="59"/>
  </w:num>
  <w:num w:numId="23">
    <w:abstractNumId w:val="52"/>
  </w:num>
  <w:num w:numId="24">
    <w:abstractNumId w:val="41"/>
  </w:num>
  <w:num w:numId="25">
    <w:abstractNumId w:val="56"/>
  </w:num>
  <w:num w:numId="26">
    <w:abstractNumId w:val="66"/>
  </w:num>
  <w:num w:numId="27">
    <w:abstractNumId w:val="42"/>
  </w:num>
  <w:num w:numId="28">
    <w:abstractNumId w:val="60"/>
  </w:num>
  <w:num w:numId="29">
    <w:abstractNumId w:val="27"/>
  </w:num>
  <w:num w:numId="30">
    <w:abstractNumId w:val="71"/>
  </w:num>
  <w:num w:numId="31">
    <w:abstractNumId w:val="58"/>
  </w:num>
  <w:num w:numId="32">
    <w:abstractNumId w:val="72"/>
  </w:num>
  <w:num w:numId="33">
    <w:abstractNumId w:val="2"/>
  </w:num>
  <w:num w:numId="34">
    <w:abstractNumId w:val="11"/>
  </w:num>
  <w:num w:numId="35">
    <w:abstractNumId w:val="4"/>
  </w:num>
  <w:num w:numId="36">
    <w:abstractNumId w:val="62"/>
  </w:num>
  <w:num w:numId="37">
    <w:abstractNumId w:val="32"/>
  </w:num>
  <w:num w:numId="38">
    <w:abstractNumId w:val="22"/>
  </w:num>
  <w:num w:numId="39">
    <w:abstractNumId w:val="34"/>
  </w:num>
  <w:num w:numId="40">
    <w:abstractNumId w:val="69"/>
  </w:num>
  <w:num w:numId="41">
    <w:abstractNumId w:val="63"/>
    <w:lvlOverride w:ilvl="0">
      <w:startOverride w:val="1"/>
    </w:lvlOverride>
  </w:num>
  <w:num w:numId="42">
    <w:abstractNumId w:val="25"/>
  </w:num>
  <w:num w:numId="43">
    <w:abstractNumId w:val="23"/>
  </w:num>
  <w:num w:numId="44">
    <w:abstractNumId w:val="73"/>
  </w:num>
  <w:num w:numId="45">
    <w:abstractNumId w:val="35"/>
  </w:num>
  <w:num w:numId="46">
    <w:abstractNumId w:val="10"/>
  </w:num>
  <w:num w:numId="47">
    <w:abstractNumId w:val="47"/>
  </w:num>
  <w:num w:numId="48">
    <w:abstractNumId w:val="40"/>
  </w:num>
  <w:num w:numId="49">
    <w:abstractNumId w:val="17"/>
  </w:num>
  <w:num w:numId="50">
    <w:abstractNumId w:val="13"/>
  </w:num>
  <w:num w:numId="51">
    <w:abstractNumId w:val="48"/>
  </w:num>
  <w:num w:numId="52">
    <w:abstractNumId w:val="15"/>
  </w:num>
  <w:num w:numId="53">
    <w:abstractNumId w:val="3"/>
  </w:num>
  <w:num w:numId="54">
    <w:abstractNumId w:val="0"/>
  </w:num>
  <w:num w:numId="55">
    <w:abstractNumId w:val="63"/>
  </w:num>
  <w:num w:numId="5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8"/>
  </w:num>
  <w:num w:numId="59">
    <w:abstractNumId w:val="64"/>
  </w:num>
  <w:num w:numId="60">
    <w:abstractNumId w:val="19"/>
  </w:num>
  <w:num w:numId="61">
    <w:abstractNumId w:val="5"/>
  </w:num>
  <w:num w:numId="62">
    <w:abstractNumId w:val="29"/>
  </w:num>
  <w:num w:numId="63">
    <w:abstractNumId w:val="63"/>
    <w:lvlOverride w:ilvl="0">
      <w:startOverride w:val="1"/>
    </w:lvlOverride>
  </w:num>
  <w:num w:numId="64">
    <w:abstractNumId w:val="63"/>
    <w:lvlOverride w:ilvl="0">
      <w:startOverride w:val="1"/>
    </w:lvlOverride>
  </w:num>
  <w:num w:numId="65">
    <w:abstractNumId w:val="63"/>
    <w:lvlOverride w:ilvl="0">
      <w:startOverride w:val="1"/>
    </w:lvlOverride>
  </w:num>
  <w:num w:numId="66">
    <w:abstractNumId w:val="63"/>
    <w:lvlOverride w:ilvl="0">
      <w:startOverride w:val="1"/>
    </w:lvlOverride>
  </w:num>
  <w:num w:numId="67">
    <w:abstractNumId w:val="21"/>
    <w:lvlOverride w:ilvl="0">
      <w:startOverride w:val="1"/>
    </w:lvlOverride>
  </w:num>
  <w:num w:numId="68">
    <w:abstractNumId w:val="21"/>
    <w:lvlOverride w:ilvl="0">
      <w:startOverride w:val="1"/>
    </w:lvlOverride>
  </w:num>
  <w:num w:numId="69">
    <w:abstractNumId w:val="20"/>
  </w:num>
  <w:num w:numId="70">
    <w:abstractNumId w:val="75"/>
  </w:num>
  <w:num w:numId="71">
    <w:abstractNumId w:val="1"/>
  </w:num>
  <w:num w:numId="72">
    <w:abstractNumId w:val="44"/>
  </w:num>
  <w:num w:numId="73">
    <w:abstractNumId w:val="63"/>
    <w:lvlOverride w:ilvl="0">
      <w:startOverride w:val="1"/>
    </w:lvlOverride>
  </w:num>
  <w:num w:numId="74">
    <w:abstractNumId w:val="21"/>
    <w:lvlOverride w:ilvl="0">
      <w:startOverride w:val="1"/>
    </w:lvlOverride>
  </w:num>
  <w:num w:numId="75">
    <w:abstractNumId w:val="63"/>
    <w:lvlOverride w:ilvl="0">
      <w:startOverride w:val="1"/>
    </w:lvlOverride>
  </w:num>
  <w:num w:numId="76">
    <w:abstractNumId w:val="21"/>
    <w:lvlOverride w:ilvl="0">
      <w:startOverride w:val="1"/>
    </w:lvlOverride>
  </w:num>
  <w:num w:numId="77">
    <w:abstractNumId w:val="21"/>
    <w:lvlOverride w:ilvl="0">
      <w:startOverride w:val="1"/>
    </w:lvlOverride>
  </w:num>
  <w:num w:numId="78">
    <w:abstractNumId w:val="63"/>
    <w:lvlOverride w:ilvl="0">
      <w:startOverride w:val="1"/>
    </w:lvlOverride>
  </w:num>
  <w:num w:numId="79">
    <w:abstractNumId w:val="63"/>
    <w:lvlOverride w:ilvl="0">
      <w:startOverride w:val="1"/>
    </w:lvlOverride>
  </w:num>
  <w:num w:numId="80">
    <w:abstractNumId w:val="7"/>
  </w:num>
  <w:num w:numId="81">
    <w:abstractNumId w:val="46"/>
  </w:num>
  <w:num w:numId="82">
    <w:abstractNumId w:val="61"/>
  </w:num>
  <w:num w:numId="83">
    <w:abstractNumId w:val="38"/>
  </w:num>
  <w:num w:numId="84">
    <w:abstractNumId w:val="43"/>
  </w:num>
  <w:num w:numId="85">
    <w:abstractNumId w:val="65"/>
  </w:num>
  <w:num w:numId="86">
    <w:abstractNumId w:val="31"/>
  </w:num>
  <w:num w:numId="87">
    <w:abstractNumId w:val="24"/>
  </w:num>
  <w:num w:numId="88">
    <w:abstractNumId w:val="33"/>
  </w:num>
  <w:num w:numId="89">
    <w:abstractNumId w:val="36"/>
  </w:num>
  <w:num w:numId="90">
    <w:abstractNumId w:val="14"/>
  </w:num>
  <w:num w:numId="91">
    <w:abstractNumId w:val="67"/>
  </w:num>
  <w:num w:numId="92">
    <w:abstractNumId w:val="26"/>
  </w:num>
  <w:num w:numId="93">
    <w:abstractNumId w:val="45"/>
  </w:num>
  <w:num w:numId="94">
    <w:abstractNumId w:val="55"/>
  </w:num>
  <w:num w:numId="95">
    <w:abstractNumId w:val="37"/>
  </w:num>
  <w:num w:numId="96">
    <w:abstractNumId w:val="39"/>
  </w:num>
  <w:num w:numId="97">
    <w:abstractNumId w:val="18"/>
  </w:num>
  <w:num w:numId="98">
    <w:abstractNumId w:val="8"/>
  </w:num>
  <w:num w:numId="99">
    <w:abstractNumId w:val="50"/>
  </w:num>
  <w:num w:numId="100">
    <w:abstractNumId w:val="49"/>
  </w:num>
  <w:num w:numId="101">
    <w:abstractNumId w:val="70"/>
  </w:num>
  <w:num w:numId="102">
    <w:abstractNumId w:val="30"/>
  </w:num>
  <w:num w:numId="103">
    <w:abstractNumId w:val="74"/>
  </w:num>
  <w:num w:numId="104">
    <w:abstractNumId w:val="6"/>
  </w:num>
  <w:num w:numId="105">
    <w:abstractNumId w:val="63"/>
  </w:num>
  <w:num w:numId="106">
    <w:abstractNumId w:val="16"/>
  </w:num>
  <w:num w:numId="107">
    <w:abstractNumId w:val="28"/>
  </w:num>
  <w:num w:numId="108">
    <w:abstractNumId w:val="54"/>
  </w:num>
  <w:num w:numId="109">
    <w:abstractNumId w:val="12"/>
  </w:num>
  <w:num w:numId="110">
    <w:abstractNumId w:val="63"/>
    <w:lvlOverride w:ilvl="0">
      <w:startOverride w:val="1"/>
    </w:lvlOverride>
  </w:num>
  <w:num w:numId="111">
    <w:abstractNumId w:val="63"/>
    <w:lvlOverride w:ilvl="0">
      <w:startOverride w:val="1"/>
    </w:lvlOverride>
  </w:num>
  <w:num w:numId="112">
    <w:abstractNumId w:val="63"/>
    <w:lvlOverride w:ilvl="0">
      <w:startOverride w:val="1"/>
    </w:lvlOverride>
  </w:num>
  <w:num w:numId="113">
    <w:abstractNumId w:val="51"/>
  </w:num>
  <w:num w:numId="114">
    <w:abstractNumId w:val="63"/>
    <w:lvlOverride w:ilvl="0">
      <w:startOverride w:val="1"/>
    </w:lvlOverride>
  </w:num>
  <w:num w:numId="115">
    <w:abstractNumId w:val="9"/>
  </w:num>
  <w:num w:numId="116">
    <w:abstractNumId w:val="53"/>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GrammaticalErrors/>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YwMDI0MDGzMDU0sDRW0lEKTi0uzszPAykwNq8FALQu/d4tAAAA"/>
  </w:docVars>
  <w:rsids>
    <w:rsidRoot w:val="0088143A"/>
    <w:rsid w:val="000002DB"/>
    <w:rsid w:val="00000539"/>
    <w:rsid w:val="00000612"/>
    <w:rsid w:val="00000925"/>
    <w:rsid w:val="00000D7C"/>
    <w:rsid w:val="00000F2F"/>
    <w:rsid w:val="00001148"/>
    <w:rsid w:val="000016FE"/>
    <w:rsid w:val="00001BD3"/>
    <w:rsid w:val="00001E24"/>
    <w:rsid w:val="00001E67"/>
    <w:rsid w:val="00002283"/>
    <w:rsid w:val="0000252C"/>
    <w:rsid w:val="000027F9"/>
    <w:rsid w:val="0000296A"/>
    <w:rsid w:val="00002D19"/>
    <w:rsid w:val="00003101"/>
    <w:rsid w:val="0000319E"/>
    <w:rsid w:val="00003DD1"/>
    <w:rsid w:val="00003F15"/>
    <w:rsid w:val="000040C0"/>
    <w:rsid w:val="000040D7"/>
    <w:rsid w:val="00004328"/>
    <w:rsid w:val="00004360"/>
    <w:rsid w:val="00004722"/>
    <w:rsid w:val="00004865"/>
    <w:rsid w:val="00004910"/>
    <w:rsid w:val="00004B93"/>
    <w:rsid w:val="0000514B"/>
    <w:rsid w:val="000053DD"/>
    <w:rsid w:val="000057E6"/>
    <w:rsid w:val="00005A5B"/>
    <w:rsid w:val="00005AB8"/>
    <w:rsid w:val="00005CD4"/>
    <w:rsid w:val="00005E04"/>
    <w:rsid w:val="0000615D"/>
    <w:rsid w:val="00006202"/>
    <w:rsid w:val="00006320"/>
    <w:rsid w:val="00006468"/>
    <w:rsid w:val="000065C6"/>
    <w:rsid w:val="0000663E"/>
    <w:rsid w:val="00006C74"/>
    <w:rsid w:val="0000702F"/>
    <w:rsid w:val="00007144"/>
    <w:rsid w:val="00007272"/>
    <w:rsid w:val="000073C2"/>
    <w:rsid w:val="00007481"/>
    <w:rsid w:val="00007955"/>
    <w:rsid w:val="00007ABB"/>
    <w:rsid w:val="00007B08"/>
    <w:rsid w:val="00007E81"/>
    <w:rsid w:val="00010697"/>
    <w:rsid w:val="00011134"/>
    <w:rsid w:val="00011423"/>
    <w:rsid w:val="00011713"/>
    <w:rsid w:val="0001178A"/>
    <w:rsid w:val="000118ED"/>
    <w:rsid w:val="00011A5B"/>
    <w:rsid w:val="00011A5D"/>
    <w:rsid w:val="000120AE"/>
    <w:rsid w:val="00012649"/>
    <w:rsid w:val="000128E9"/>
    <w:rsid w:val="00012B56"/>
    <w:rsid w:val="00012D92"/>
    <w:rsid w:val="00012DA1"/>
    <w:rsid w:val="000131B1"/>
    <w:rsid w:val="000133EC"/>
    <w:rsid w:val="00013412"/>
    <w:rsid w:val="00013482"/>
    <w:rsid w:val="000134F2"/>
    <w:rsid w:val="0001386E"/>
    <w:rsid w:val="00013BC3"/>
    <w:rsid w:val="00013E4B"/>
    <w:rsid w:val="00014070"/>
    <w:rsid w:val="00014427"/>
    <w:rsid w:val="000145E3"/>
    <w:rsid w:val="00014B62"/>
    <w:rsid w:val="00014CAE"/>
    <w:rsid w:val="00014DD5"/>
    <w:rsid w:val="000158EF"/>
    <w:rsid w:val="00015931"/>
    <w:rsid w:val="00015AFC"/>
    <w:rsid w:val="00015B0E"/>
    <w:rsid w:val="00015D61"/>
    <w:rsid w:val="00015E93"/>
    <w:rsid w:val="00015EFA"/>
    <w:rsid w:val="00015F3F"/>
    <w:rsid w:val="00015FBD"/>
    <w:rsid w:val="00016073"/>
    <w:rsid w:val="000168DE"/>
    <w:rsid w:val="00016C4D"/>
    <w:rsid w:val="000175A4"/>
    <w:rsid w:val="00017745"/>
    <w:rsid w:val="00017A69"/>
    <w:rsid w:val="00017AAD"/>
    <w:rsid w:val="00017B41"/>
    <w:rsid w:val="00017DAE"/>
    <w:rsid w:val="00017EC1"/>
    <w:rsid w:val="00017FA5"/>
    <w:rsid w:val="00017FD2"/>
    <w:rsid w:val="00020080"/>
    <w:rsid w:val="000202A7"/>
    <w:rsid w:val="000206DE"/>
    <w:rsid w:val="00020830"/>
    <w:rsid w:val="0002091A"/>
    <w:rsid w:val="00020A08"/>
    <w:rsid w:val="00021358"/>
    <w:rsid w:val="000213C3"/>
    <w:rsid w:val="0002169C"/>
    <w:rsid w:val="00021967"/>
    <w:rsid w:val="00021973"/>
    <w:rsid w:val="00021C89"/>
    <w:rsid w:val="00021CB4"/>
    <w:rsid w:val="00021EFE"/>
    <w:rsid w:val="00022128"/>
    <w:rsid w:val="00022160"/>
    <w:rsid w:val="00022383"/>
    <w:rsid w:val="0002256D"/>
    <w:rsid w:val="000228D7"/>
    <w:rsid w:val="00022A6C"/>
    <w:rsid w:val="00022AD8"/>
    <w:rsid w:val="00023998"/>
    <w:rsid w:val="000239C8"/>
    <w:rsid w:val="0002418C"/>
    <w:rsid w:val="00024271"/>
    <w:rsid w:val="0002427A"/>
    <w:rsid w:val="000246E4"/>
    <w:rsid w:val="0002482E"/>
    <w:rsid w:val="00024B71"/>
    <w:rsid w:val="00024D75"/>
    <w:rsid w:val="00024E28"/>
    <w:rsid w:val="00025230"/>
    <w:rsid w:val="00025412"/>
    <w:rsid w:val="000255E5"/>
    <w:rsid w:val="00025C44"/>
    <w:rsid w:val="00025D2E"/>
    <w:rsid w:val="00025DD1"/>
    <w:rsid w:val="00025EF6"/>
    <w:rsid w:val="00026058"/>
    <w:rsid w:val="000260B7"/>
    <w:rsid w:val="0002643A"/>
    <w:rsid w:val="000266DB"/>
    <w:rsid w:val="00026964"/>
    <w:rsid w:val="00026CAC"/>
    <w:rsid w:val="00026F14"/>
    <w:rsid w:val="00026F42"/>
    <w:rsid w:val="0002721C"/>
    <w:rsid w:val="000275D5"/>
    <w:rsid w:val="0002782A"/>
    <w:rsid w:val="000278E1"/>
    <w:rsid w:val="00027CD0"/>
    <w:rsid w:val="0003007B"/>
    <w:rsid w:val="000300C2"/>
    <w:rsid w:val="0003039C"/>
    <w:rsid w:val="00030763"/>
    <w:rsid w:val="0003083F"/>
    <w:rsid w:val="000310FA"/>
    <w:rsid w:val="00031897"/>
    <w:rsid w:val="00031C60"/>
    <w:rsid w:val="00032239"/>
    <w:rsid w:val="000322B4"/>
    <w:rsid w:val="00032615"/>
    <w:rsid w:val="000329C7"/>
    <w:rsid w:val="0003385B"/>
    <w:rsid w:val="00033A9E"/>
    <w:rsid w:val="00033B1A"/>
    <w:rsid w:val="00034112"/>
    <w:rsid w:val="000342DA"/>
    <w:rsid w:val="00034559"/>
    <w:rsid w:val="00034625"/>
    <w:rsid w:val="00034D63"/>
    <w:rsid w:val="00036264"/>
    <w:rsid w:val="00036581"/>
    <w:rsid w:val="000366E0"/>
    <w:rsid w:val="000368F5"/>
    <w:rsid w:val="000372DD"/>
    <w:rsid w:val="000378A3"/>
    <w:rsid w:val="00037945"/>
    <w:rsid w:val="00037AD1"/>
    <w:rsid w:val="00037E2B"/>
    <w:rsid w:val="000401D4"/>
    <w:rsid w:val="00040345"/>
    <w:rsid w:val="00040DB8"/>
    <w:rsid w:val="0004100A"/>
    <w:rsid w:val="00041756"/>
    <w:rsid w:val="00041DF1"/>
    <w:rsid w:val="00042018"/>
    <w:rsid w:val="00042219"/>
    <w:rsid w:val="00042962"/>
    <w:rsid w:val="00043486"/>
    <w:rsid w:val="0004351A"/>
    <w:rsid w:val="0004355D"/>
    <w:rsid w:val="000436B7"/>
    <w:rsid w:val="000436BD"/>
    <w:rsid w:val="000436D0"/>
    <w:rsid w:val="00043770"/>
    <w:rsid w:val="0004394F"/>
    <w:rsid w:val="000439F6"/>
    <w:rsid w:val="00043B4B"/>
    <w:rsid w:val="00043BFF"/>
    <w:rsid w:val="00043DED"/>
    <w:rsid w:val="00044003"/>
    <w:rsid w:val="0004421B"/>
    <w:rsid w:val="000448C6"/>
    <w:rsid w:val="00044E4C"/>
    <w:rsid w:val="0004504A"/>
    <w:rsid w:val="000450F6"/>
    <w:rsid w:val="000454B0"/>
    <w:rsid w:val="000456D3"/>
    <w:rsid w:val="000458DB"/>
    <w:rsid w:val="000458EA"/>
    <w:rsid w:val="0004597F"/>
    <w:rsid w:val="00045BDB"/>
    <w:rsid w:val="00045C44"/>
    <w:rsid w:val="000461AA"/>
    <w:rsid w:val="0004630E"/>
    <w:rsid w:val="00046683"/>
    <w:rsid w:val="0004671C"/>
    <w:rsid w:val="000467D6"/>
    <w:rsid w:val="00046943"/>
    <w:rsid w:val="0004696A"/>
    <w:rsid w:val="00046A2F"/>
    <w:rsid w:val="00046D4C"/>
    <w:rsid w:val="00046D74"/>
    <w:rsid w:val="00046E82"/>
    <w:rsid w:val="000470DB"/>
    <w:rsid w:val="000471DE"/>
    <w:rsid w:val="00047E51"/>
    <w:rsid w:val="0005016C"/>
    <w:rsid w:val="000501D9"/>
    <w:rsid w:val="00050324"/>
    <w:rsid w:val="000503A9"/>
    <w:rsid w:val="00050607"/>
    <w:rsid w:val="00050926"/>
    <w:rsid w:val="00050D21"/>
    <w:rsid w:val="00050FC2"/>
    <w:rsid w:val="00051063"/>
    <w:rsid w:val="000510E5"/>
    <w:rsid w:val="00051578"/>
    <w:rsid w:val="0005175E"/>
    <w:rsid w:val="00051920"/>
    <w:rsid w:val="00051A98"/>
    <w:rsid w:val="00051B3E"/>
    <w:rsid w:val="00051BA3"/>
    <w:rsid w:val="000520DA"/>
    <w:rsid w:val="0005215C"/>
    <w:rsid w:val="0005218E"/>
    <w:rsid w:val="00052220"/>
    <w:rsid w:val="000526E2"/>
    <w:rsid w:val="0005271D"/>
    <w:rsid w:val="00052C6A"/>
    <w:rsid w:val="00052D28"/>
    <w:rsid w:val="00053B53"/>
    <w:rsid w:val="00053E56"/>
    <w:rsid w:val="0005459E"/>
    <w:rsid w:val="00054E6E"/>
    <w:rsid w:val="00054FFF"/>
    <w:rsid w:val="00055180"/>
    <w:rsid w:val="000556EA"/>
    <w:rsid w:val="000557F0"/>
    <w:rsid w:val="00055DDB"/>
    <w:rsid w:val="00055EF9"/>
    <w:rsid w:val="00056924"/>
    <w:rsid w:val="00056C99"/>
    <w:rsid w:val="00056F44"/>
    <w:rsid w:val="00056FE5"/>
    <w:rsid w:val="00057272"/>
    <w:rsid w:val="000576CA"/>
    <w:rsid w:val="00057AD0"/>
    <w:rsid w:val="00057EAC"/>
    <w:rsid w:val="00057FC8"/>
    <w:rsid w:val="000604D0"/>
    <w:rsid w:val="0006055D"/>
    <w:rsid w:val="00060FC9"/>
    <w:rsid w:val="00061090"/>
    <w:rsid w:val="000610BB"/>
    <w:rsid w:val="00061265"/>
    <w:rsid w:val="00061689"/>
    <w:rsid w:val="00061702"/>
    <w:rsid w:val="0006173B"/>
    <w:rsid w:val="00061B1B"/>
    <w:rsid w:val="00061C79"/>
    <w:rsid w:val="00061D8C"/>
    <w:rsid w:val="00062525"/>
    <w:rsid w:val="00062A11"/>
    <w:rsid w:val="00062BB8"/>
    <w:rsid w:val="00062C28"/>
    <w:rsid w:val="00062E07"/>
    <w:rsid w:val="0006334F"/>
    <w:rsid w:val="00063671"/>
    <w:rsid w:val="0006390D"/>
    <w:rsid w:val="00063988"/>
    <w:rsid w:val="00063D21"/>
    <w:rsid w:val="00064C07"/>
    <w:rsid w:val="00064C78"/>
    <w:rsid w:val="00064CD4"/>
    <w:rsid w:val="00065C2C"/>
    <w:rsid w:val="0006620F"/>
    <w:rsid w:val="00066C06"/>
    <w:rsid w:val="00066C08"/>
    <w:rsid w:val="000671B7"/>
    <w:rsid w:val="000672BB"/>
    <w:rsid w:val="0006758A"/>
    <w:rsid w:val="00067602"/>
    <w:rsid w:val="00067B13"/>
    <w:rsid w:val="000702EF"/>
    <w:rsid w:val="000704ED"/>
    <w:rsid w:val="0007059E"/>
    <w:rsid w:val="00070650"/>
    <w:rsid w:val="00070928"/>
    <w:rsid w:val="00070A71"/>
    <w:rsid w:val="000710AF"/>
    <w:rsid w:val="00071510"/>
    <w:rsid w:val="00071698"/>
    <w:rsid w:val="00071733"/>
    <w:rsid w:val="00071920"/>
    <w:rsid w:val="000721C7"/>
    <w:rsid w:val="0007290B"/>
    <w:rsid w:val="00072AB0"/>
    <w:rsid w:val="00072AE3"/>
    <w:rsid w:val="00072CC1"/>
    <w:rsid w:val="00072D4A"/>
    <w:rsid w:val="00072EEE"/>
    <w:rsid w:val="0007303E"/>
    <w:rsid w:val="000735C3"/>
    <w:rsid w:val="00073709"/>
    <w:rsid w:val="000738F2"/>
    <w:rsid w:val="00073B21"/>
    <w:rsid w:val="00073B70"/>
    <w:rsid w:val="00073CB9"/>
    <w:rsid w:val="00073DC1"/>
    <w:rsid w:val="0007402C"/>
    <w:rsid w:val="00074135"/>
    <w:rsid w:val="000741E2"/>
    <w:rsid w:val="000749CB"/>
    <w:rsid w:val="00074AB6"/>
    <w:rsid w:val="00074D9E"/>
    <w:rsid w:val="00074EDA"/>
    <w:rsid w:val="00074F8E"/>
    <w:rsid w:val="00075DC3"/>
    <w:rsid w:val="00075EF7"/>
    <w:rsid w:val="00076006"/>
    <w:rsid w:val="00076463"/>
    <w:rsid w:val="000768A5"/>
    <w:rsid w:val="00076A1B"/>
    <w:rsid w:val="00076BD1"/>
    <w:rsid w:val="00076C1C"/>
    <w:rsid w:val="00076F2D"/>
    <w:rsid w:val="000770EC"/>
    <w:rsid w:val="00077267"/>
    <w:rsid w:val="00077410"/>
    <w:rsid w:val="000774D1"/>
    <w:rsid w:val="00077897"/>
    <w:rsid w:val="00077CCB"/>
    <w:rsid w:val="00080356"/>
    <w:rsid w:val="0008044D"/>
    <w:rsid w:val="0008076B"/>
    <w:rsid w:val="00080C4E"/>
    <w:rsid w:val="00080DA2"/>
    <w:rsid w:val="0008102D"/>
    <w:rsid w:val="00081107"/>
    <w:rsid w:val="00081156"/>
    <w:rsid w:val="00081507"/>
    <w:rsid w:val="0008154F"/>
    <w:rsid w:val="00081A99"/>
    <w:rsid w:val="00081AB2"/>
    <w:rsid w:val="00081BAD"/>
    <w:rsid w:val="00081BE4"/>
    <w:rsid w:val="00082093"/>
    <w:rsid w:val="0008221C"/>
    <w:rsid w:val="0008286B"/>
    <w:rsid w:val="00082D01"/>
    <w:rsid w:val="00082E89"/>
    <w:rsid w:val="00082EA7"/>
    <w:rsid w:val="000830D5"/>
    <w:rsid w:val="000831CA"/>
    <w:rsid w:val="000834B5"/>
    <w:rsid w:val="00083598"/>
    <w:rsid w:val="000836C7"/>
    <w:rsid w:val="00083972"/>
    <w:rsid w:val="0008397B"/>
    <w:rsid w:val="00083BFD"/>
    <w:rsid w:val="00083C10"/>
    <w:rsid w:val="00083F49"/>
    <w:rsid w:val="00084A87"/>
    <w:rsid w:val="00084BB6"/>
    <w:rsid w:val="00084BE2"/>
    <w:rsid w:val="00084BFF"/>
    <w:rsid w:val="000851A1"/>
    <w:rsid w:val="00085217"/>
    <w:rsid w:val="0008549D"/>
    <w:rsid w:val="00085563"/>
    <w:rsid w:val="000856DE"/>
    <w:rsid w:val="00085720"/>
    <w:rsid w:val="000858CB"/>
    <w:rsid w:val="0008602E"/>
    <w:rsid w:val="00086247"/>
    <w:rsid w:val="000863F6"/>
    <w:rsid w:val="00086543"/>
    <w:rsid w:val="00086791"/>
    <w:rsid w:val="000869BE"/>
    <w:rsid w:val="00086BF2"/>
    <w:rsid w:val="00086E03"/>
    <w:rsid w:val="00086F15"/>
    <w:rsid w:val="000870BD"/>
    <w:rsid w:val="000870C7"/>
    <w:rsid w:val="00087312"/>
    <w:rsid w:val="00087A4D"/>
    <w:rsid w:val="00090681"/>
    <w:rsid w:val="00090690"/>
    <w:rsid w:val="000906F8"/>
    <w:rsid w:val="00090970"/>
    <w:rsid w:val="00090C8E"/>
    <w:rsid w:val="00090F1B"/>
    <w:rsid w:val="00091119"/>
    <w:rsid w:val="00091220"/>
    <w:rsid w:val="00091283"/>
    <w:rsid w:val="0009128D"/>
    <w:rsid w:val="00091586"/>
    <w:rsid w:val="00091633"/>
    <w:rsid w:val="00091950"/>
    <w:rsid w:val="00091AF0"/>
    <w:rsid w:val="00092137"/>
    <w:rsid w:val="0009251D"/>
    <w:rsid w:val="00092AD1"/>
    <w:rsid w:val="00092EAB"/>
    <w:rsid w:val="00092FEA"/>
    <w:rsid w:val="000930DC"/>
    <w:rsid w:val="00093252"/>
    <w:rsid w:val="000932E7"/>
    <w:rsid w:val="00093689"/>
    <w:rsid w:val="00093946"/>
    <w:rsid w:val="00093952"/>
    <w:rsid w:val="00093D3A"/>
    <w:rsid w:val="00093ECE"/>
    <w:rsid w:val="00094054"/>
    <w:rsid w:val="00094181"/>
    <w:rsid w:val="0009424D"/>
    <w:rsid w:val="00094280"/>
    <w:rsid w:val="000947DC"/>
    <w:rsid w:val="000948F1"/>
    <w:rsid w:val="000949D6"/>
    <w:rsid w:val="00094C46"/>
    <w:rsid w:val="00094C5A"/>
    <w:rsid w:val="00094DD5"/>
    <w:rsid w:val="00094E43"/>
    <w:rsid w:val="00095038"/>
    <w:rsid w:val="00095155"/>
    <w:rsid w:val="000952AE"/>
    <w:rsid w:val="0009549C"/>
    <w:rsid w:val="000955B0"/>
    <w:rsid w:val="0009566A"/>
    <w:rsid w:val="0009566B"/>
    <w:rsid w:val="00095C11"/>
    <w:rsid w:val="00095C93"/>
    <w:rsid w:val="00095CF5"/>
    <w:rsid w:val="00095EF2"/>
    <w:rsid w:val="000963C0"/>
    <w:rsid w:val="000963E1"/>
    <w:rsid w:val="000965A8"/>
    <w:rsid w:val="00096F8D"/>
    <w:rsid w:val="000975EC"/>
    <w:rsid w:val="0009762B"/>
    <w:rsid w:val="00097696"/>
    <w:rsid w:val="000977AF"/>
    <w:rsid w:val="00097B2E"/>
    <w:rsid w:val="000A0150"/>
    <w:rsid w:val="000A062A"/>
    <w:rsid w:val="000A07CE"/>
    <w:rsid w:val="000A07F4"/>
    <w:rsid w:val="000A0ADB"/>
    <w:rsid w:val="000A0BE8"/>
    <w:rsid w:val="000A138F"/>
    <w:rsid w:val="000A15F8"/>
    <w:rsid w:val="000A1731"/>
    <w:rsid w:val="000A198A"/>
    <w:rsid w:val="000A19AD"/>
    <w:rsid w:val="000A19EF"/>
    <w:rsid w:val="000A24BF"/>
    <w:rsid w:val="000A24EE"/>
    <w:rsid w:val="000A2925"/>
    <w:rsid w:val="000A2DC9"/>
    <w:rsid w:val="000A31E2"/>
    <w:rsid w:val="000A32FB"/>
    <w:rsid w:val="000A4285"/>
    <w:rsid w:val="000A4B24"/>
    <w:rsid w:val="000A4F1C"/>
    <w:rsid w:val="000A54C1"/>
    <w:rsid w:val="000A5C30"/>
    <w:rsid w:val="000A5DC9"/>
    <w:rsid w:val="000A5E29"/>
    <w:rsid w:val="000A5E8A"/>
    <w:rsid w:val="000A6507"/>
    <w:rsid w:val="000A653B"/>
    <w:rsid w:val="000A65E6"/>
    <w:rsid w:val="000A66D4"/>
    <w:rsid w:val="000A6732"/>
    <w:rsid w:val="000A6923"/>
    <w:rsid w:val="000A717A"/>
    <w:rsid w:val="000A72C5"/>
    <w:rsid w:val="000A7414"/>
    <w:rsid w:val="000A773C"/>
    <w:rsid w:val="000A7A2B"/>
    <w:rsid w:val="000A7A7F"/>
    <w:rsid w:val="000A7C68"/>
    <w:rsid w:val="000A7C84"/>
    <w:rsid w:val="000A7D41"/>
    <w:rsid w:val="000A7D44"/>
    <w:rsid w:val="000B0015"/>
    <w:rsid w:val="000B00CA"/>
    <w:rsid w:val="000B02CC"/>
    <w:rsid w:val="000B0AAF"/>
    <w:rsid w:val="000B0AE7"/>
    <w:rsid w:val="000B102F"/>
    <w:rsid w:val="000B1393"/>
    <w:rsid w:val="000B1484"/>
    <w:rsid w:val="000B14D3"/>
    <w:rsid w:val="000B1858"/>
    <w:rsid w:val="000B185A"/>
    <w:rsid w:val="000B1C9E"/>
    <w:rsid w:val="000B1E18"/>
    <w:rsid w:val="000B1EBD"/>
    <w:rsid w:val="000B2045"/>
    <w:rsid w:val="000B21B5"/>
    <w:rsid w:val="000B2315"/>
    <w:rsid w:val="000B28EA"/>
    <w:rsid w:val="000B2D68"/>
    <w:rsid w:val="000B3077"/>
    <w:rsid w:val="000B30AB"/>
    <w:rsid w:val="000B3186"/>
    <w:rsid w:val="000B357C"/>
    <w:rsid w:val="000B35ED"/>
    <w:rsid w:val="000B3765"/>
    <w:rsid w:val="000B3874"/>
    <w:rsid w:val="000B39E8"/>
    <w:rsid w:val="000B3A99"/>
    <w:rsid w:val="000B3B6A"/>
    <w:rsid w:val="000B3B80"/>
    <w:rsid w:val="000B4163"/>
    <w:rsid w:val="000B4171"/>
    <w:rsid w:val="000B485C"/>
    <w:rsid w:val="000B4873"/>
    <w:rsid w:val="000B49B8"/>
    <w:rsid w:val="000B4A7F"/>
    <w:rsid w:val="000B51A8"/>
    <w:rsid w:val="000B533C"/>
    <w:rsid w:val="000B550C"/>
    <w:rsid w:val="000B5B39"/>
    <w:rsid w:val="000B5E40"/>
    <w:rsid w:val="000B629A"/>
    <w:rsid w:val="000B62FB"/>
    <w:rsid w:val="000B640C"/>
    <w:rsid w:val="000B6531"/>
    <w:rsid w:val="000B6554"/>
    <w:rsid w:val="000B66D3"/>
    <w:rsid w:val="000B66DF"/>
    <w:rsid w:val="000B6D2A"/>
    <w:rsid w:val="000B6E2F"/>
    <w:rsid w:val="000B70B7"/>
    <w:rsid w:val="000B71C7"/>
    <w:rsid w:val="000B72D6"/>
    <w:rsid w:val="000B7BC7"/>
    <w:rsid w:val="000B7FC8"/>
    <w:rsid w:val="000C0655"/>
    <w:rsid w:val="000C065E"/>
    <w:rsid w:val="000C08BA"/>
    <w:rsid w:val="000C092D"/>
    <w:rsid w:val="000C0AEE"/>
    <w:rsid w:val="000C0B34"/>
    <w:rsid w:val="000C0D92"/>
    <w:rsid w:val="000C10A5"/>
    <w:rsid w:val="000C12C0"/>
    <w:rsid w:val="000C1369"/>
    <w:rsid w:val="000C13F7"/>
    <w:rsid w:val="000C157A"/>
    <w:rsid w:val="000C157C"/>
    <w:rsid w:val="000C16EA"/>
    <w:rsid w:val="000C25C4"/>
    <w:rsid w:val="000C295B"/>
    <w:rsid w:val="000C3B0B"/>
    <w:rsid w:val="000C3C3A"/>
    <w:rsid w:val="000C3D81"/>
    <w:rsid w:val="000C400A"/>
    <w:rsid w:val="000C402A"/>
    <w:rsid w:val="000C4236"/>
    <w:rsid w:val="000C45DC"/>
    <w:rsid w:val="000C47F7"/>
    <w:rsid w:val="000C4A7F"/>
    <w:rsid w:val="000C4EAE"/>
    <w:rsid w:val="000C5033"/>
    <w:rsid w:val="000C51C2"/>
    <w:rsid w:val="000C5364"/>
    <w:rsid w:val="000C551B"/>
    <w:rsid w:val="000C5551"/>
    <w:rsid w:val="000C56A4"/>
    <w:rsid w:val="000C5829"/>
    <w:rsid w:val="000C5E27"/>
    <w:rsid w:val="000C6071"/>
    <w:rsid w:val="000C62E1"/>
    <w:rsid w:val="000C630D"/>
    <w:rsid w:val="000C670D"/>
    <w:rsid w:val="000C67CB"/>
    <w:rsid w:val="000C6D8F"/>
    <w:rsid w:val="000C75D0"/>
    <w:rsid w:val="000C7A89"/>
    <w:rsid w:val="000C7D03"/>
    <w:rsid w:val="000C7DDD"/>
    <w:rsid w:val="000C7E51"/>
    <w:rsid w:val="000C7E97"/>
    <w:rsid w:val="000C7FD0"/>
    <w:rsid w:val="000D07D2"/>
    <w:rsid w:val="000D0FDE"/>
    <w:rsid w:val="000D12BE"/>
    <w:rsid w:val="000D17F7"/>
    <w:rsid w:val="000D1964"/>
    <w:rsid w:val="000D1ADB"/>
    <w:rsid w:val="000D1F53"/>
    <w:rsid w:val="000D1F70"/>
    <w:rsid w:val="000D26BC"/>
    <w:rsid w:val="000D2A31"/>
    <w:rsid w:val="000D2F1C"/>
    <w:rsid w:val="000D2F85"/>
    <w:rsid w:val="000D315E"/>
    <w:rsid w:val="000D317A"/>
    <w:rsid w:val="000D3209"/>
    <w:rsid w:val="000D32EA"/>
    <w:rsid w:val="000D3C16"/>
    <w:rsid w:val="000D4083"/>
    <w:rsid w:val="000D43D8"/>
    <w:rsid w:val="000D43E8"/>
    <w:rsid w:val="000D4942"/>
    <w:rsid w:val="000D4B51"/>
    <w:rsid w:val="000D53C3"/>
    <w:rsid w:val="000D5626"/>
    <w:rsid w:val="000D57AE"/>
    <w:rsid w:val="000D5889"/>
    <w:rsid w:val="000D5CFC"/>
    <w:rsid w:val="000D5D06"/>
    <w:rsid w:val="000D62AA"/>
    <w:rsid w:val="000D664A"/>
    <w:rsid w:val="000D6807"/>
    <w:rsid w:val="000D6B19"/>
    <w:rsid w:val="000D6FBD"/>
    <w:rsid w:val="000D731E"/>
    <w:rsid w:val="000D77B1"/>
    <w:rsid w:val="000D781F"/>
    <w:rsid w:val="000D7D4B"/>
    <w:rsid w:val="000D7EA2"/>
    <w:rsid w:val="000E014A"/>
    <w:rsid w:val="000E04F6"/>
    <w:rsid w:val="000E066C"/>
    <w:rsid w:val="000E081E"/>
    <w:rsid w:val="000E08A2"/>
    <w:rsid w:val="000E0D73"/>
    <w:rsid w:val="000E0D98"/>
    <w:rsid w:val="000E0DE2"/>
    <w:rsid w:val="000E0DF9"/>
    <w:rsid w:val="000E0E0B"/>
    <w:rsid w:val="000E0F86"/>
    <w:rsid w:val="000E10F4"/>
    <w:rsid w:val="000E1156"/>
    <w:rsid w:val="000E11D1"/>
    <w:rsid w:val="000E1341"/>
    <w:rsid w:val="000E1405"/>
    <w:rsid w:val="000E1B11"/>
    <w:rsid w:val="000E1D86"/>
    <w:rsid w:val="000E1F27"/>
    <w:rsid w:val="000E1FEA"/>
    <w:rsid w:val="000E2013"/>
    <w:rsid w:val="000E2228"/>
    <w:rsid w:val="000E2445"/>
    <w:rsid w:val="000E28BA"/>
    <w:rsid w:val="000E2D16"/>
    <w:rsid w:val="000E2F7D"/>
    <w:rsid w:val="000E30C5"/>
    <w:rsid w:val="000E3150"/>
    <w:rsid w:val="000E3167"/>
    <w:rsid w:val="000E31CD"/>
    <w:rsid w:val="000E32EA"/>
    <w:rsid w:val="000E3EAF"/>
    <w:rsid w:val="000E3FD4"/>
    <w:rsid w:val="000E4070"/>
    <w:rsid w:val="000E42A8"/>
    <w:rsid w:val="000E4474"/>
    <w:rsid w:val="000E4618"/>
    <w:rsid w:val="000E48EF"/>
    <w:rsid w:val="000E4A4F"/>
    <w:rsid w:val="000E4AB1"/>
    <w:rsid w:val="000E4BF6"/>
    <w:rsid w:val="000E4EE6"/>
    <w:rsid w:val="000E52D6"/>
    <w:rsid w:val="000E5E1E"/>
    <w:rsid w:val="000E5E5B"/>
    <w:rsid w:val="000E6399"/>
    <w:rsid w:val="000E63C9"/>
    <w:rsid w:val="000E64D4"/>
    <w:rsid w:val="000E6587"/>
    <w:rsid w:val="000E6765"/>
    <w:rsid w:val="000E68D7"/>
    <w:rsid w:val="000E697D"/>
    <w:rsid w:val="000E6C37"/>
    <w:rsid w:val="000E6E1F"/>
    <w:rsid w:val="000E6F66"/>
    <w:rsid w:val="000E6FDC"/>
    <w:rsid w:val="000E7194"/>
    <w:rsid w:val="000E79FC"/>
    <w:rsid w:val="000E7ADF"/>
    <w:rsid w:val="000E7BB1"/>
    <w:rsid w:val="000E7C18"/>
    <w:rsid w:val="000F0036"/>
    <w:rsid w:val="000F030E"/>
    <w:rsid w:val="000F042A"/>
    <w:rsid w:val="000F081A"/>
    <w:rsid w:val="000F0D0D"/>
    <w:rsid w:val="000F0E04"/>
    <w:rsid w:val="000F0F1D"/>
    <w:rsid w:val="000F148B"/>
    <w:rsid w:val="000F1A94"/>
    <w:rsid w:val="000F1D06"/>
    <w:rsid w:val="000F1F92"/>
    <w:rsid w:val="000F2580"/>
    <w:rsid w:val="000F29B2"/>
    <w:rsid w:val="000F3A9E"/>
    <w:rsid w:val="000F423E"/>
    <w:rsid w:val="000F4345"/>
    <w:rsid w:val="000F4651"/>
    <w:rsid w:val="000F4765"/>
    <w:rsid w:val="000F4A1F"/>
    <w:rsid w:val="000F4AFD"/>
    <w:rsid w:val="000F4D08"/>
    <w:rsid w:val="000F4FF9"/>
    <w:rsid w:val="000F5435"/>
    <w:rsid w:val="000F56BD"/>
    <w:rsid w:val="000F572C"/>
    <w:rsid w:val="000F579D"/>
    <w:rsid w:val="000F59C9"/>
    <w:rsid w:val="000F5B5D"/>
    <w:rsid w:val="000F5C34"/>
    <w:rsid w:val="000F5DB9"/>
    <w:rsid w:val="000F5E86"/>
    <w:rsid w:val="000F5FE0"/>
    <w:rsid w:val="000F61A3"/>
    <w:rsid w:val="000F63D2"/>
    <w:rsid w:val="000F6453"/>
    <w:rsid w:val="000F64F9"/>
    <w:rsid w:val="000F6535"/>
    <w:rsid w:val="000F65A2"/>
    <w:rsid w:val="000F673D"/>
    <w:rsid w:val="000F6AB8"/>
    <w:rsid w:val="000F6C01"/>
    <w:rsid w:val="000F7418"/>
    <w:rsid w:val="000F7693"/>
    <w:rsid w:val="000F7821"/>
    <w:rsid w:val="000F7999"/>
    <w:rsid w:val="000F7AC1"/>
    <w:rsid w:val="000F7BB5"/>
    <w:rsid w:val="000F7CC3"/>
    <w:rsid w:val="001003D4"/>
    <w:rsid w:val="0010043B"/>
    <w:rsid w:val="00100666"/>
    <w:rsid w:val="00101088"/>
    <w:rsid w:val="00101259"/>
    <w:rsid w:val="001014DF"/>
    <w:rsid w:val="0010150B"/>
    <w:rsid w:val="00101564"/>
    <w:rsid w:val="00101652"/>
    <w:rsid w:val="00101AE9"/>
    <w:rsid w:val="00101D75"/>
    <w:rsid w:val="0010208C"/>
    <w:rsid w:val="001020DF"/>
    <w:rsid w:val="00102181"/>
    <w:rsid w:val="001023FB"/>
    <w:rsid w:val="001027CA"/>
    <w:rsid w:val="00102843"/>
    <w:rsid w:val="001028BB"/>
    <w:rsid w:val="00102931"/>
    <w:rsid w:val="00102DDC"/>
    <w:rsid w:val="00102E9C"/>
    <w:rsid w:val="00103B4C"/>
    <w:rsid w:val="00103F1D"/>
    <w:rsid w:val="00103F79"/>
    <w:rsid w:val="00104219"/>
    <w:rsid w:val="00104474"/>
    <w:rsid w:val="0010460F"/>
    <w:rsid w:val="001046F6"/>
    <w:rsid w:val="001047BA"/>
    <w:rsid w:val="00104979"/>
    <w:rsid w:val="00104AEF"/>
    <w:rsid w:val="00104B06"/>
    <w:rsid w:val="00104C6A"/>
    <w:rsid w:val="001050A0"/>
    <w:rsid w:val="0010543A"/>
    <w:rsid w:val="00105497"/>
    <w:rsid w:val="001054BF"/>
    <w:rsid w:val="001054D4"/>
    <w:rsid w:val="0010573F"/>
    <w:rsid w:val="00105A12"/>
    <w:rsid w:val="00106377"/>
    <w:rsid w:val="0010645C"/>
    <w:rsid w:val="001066CC"/>
    <w:rsid w:val="0010670F"/>
    <w:rsid w:val="001069FF"/>
    <w:rsid w:val="00106D48"/>
    <w:rsid w:val="00106E0E"/>
    <w:rsid w:val="001074AC"/>
    <w:rsid w:val="001077B5"/>
    <w:rsid w:val="00107A15"/>
    <w:rsid w:val="00107A4D"/>
    <w:rsid w:val="00107FD8"/>
    <w:rsid w:val="00110025"/>
    <w:rsid w:val="0011088F"/>
    <w:rsid w:val="001112B0"/>
    <w:rsid w:val="00111ABE"/>
    <w:rsid w:val="00112083"/>
    <w:rsid w:val="0011269A"/>
    <w:rsid w:val="00112A21"/>
    <w:rsid w:val="00112A77"/>
    <w:rsid w:val="00112B3B"/>
    <w:rsid w:val="00112C4E"/>
    <w:rsid w:val="0011317A"/>
    <w:rsid w:val="0011330A"/>
    <w:rsid w:val="00113484"/>
    <w:rsid w:val="00113774"/>
    <w:rsid w:val="001138F7"/>
    <w:rsid w:val="001139EE"/>
    <w:rsid w:val="00113B96"/>
    <w:rsid w:val="00113C61"/>
    <w:rsid w:val="00113E6F"/>
    <w:rsid w:val="00113FB9"/>
    <w:rsid w:val="001142EC"/>
    <w:rsid w:val="0011451C"/>
    <w:rsid w:val="00114535"/>
    <w:rsid w:val="0011469E"/>
    <w:rsid w:val="00114785"/>
    <w:rsid w:val="00114AC3"/>
    <w:rsid w:val="00114B6E"/>
    <w:rsid w:val="00114D36"/>
    <w:rsid w:val="00114E50"/>
    <w:rsid w:val="001151FE"/>
    <w:rsid w:val="001155F1"/>
    <w:rsid w:val="00115E99"/>
    <w:rsid w:val="00115F7C"/>
    <w:rsid w:val="00116511"/>
    <w:rsid w:val="00116735"/>
    <w:rsid w:val="0011787B"/>
    <w:rsid w:val="001179F2"/>
    <w:rsid w:val="00117BFD"/>
    <w:rsid w:val="00117F01"/>
    <w:rsid w:val="00117F38"/>
    <w:rsid w:val="00117FCE"/>
    <w:rsid w:val="0012088C"/>
    <w:rsid w:val="00120B0D"/>
    <w:rsid w:val="00120B3D"/>
    <w:rsid w:val="00120D63"/>
    <w:rsid w:val="00120EC0"/>
    <w:rsid w:val="00120F14"/>
    <w:rsid w:val="00121011"/>
    <w:rsid w:val="0012149B"/>
    <w:rsid w:val="001214EE"/>
    <w:rsid w:val="001215A8"/>
    <w:rsid w:val="0012196B"/>
    <w:rsid w:val="00121CC4"/>
    <w:rsid w:val="0012222F"/>
    <w:rsid w:val="001228FB"/>
    <w:rsid w:val="00122960"/>
    <w:rsid w:val="00122B75"/>
    <w:rsid w:val="00122CB4"/>
    <w:rsid w:val="00122F0F"/>
    <w:rsid w:val="00123653"/>
    <w:rsid w:val="001238B9"/>
    <w:rsid w:val="0012395A"/>
    <w:rsid w:val="001239FA"/>
    <w:rsid w:val="00123A3D"/>
    <w:rsid w:val="00123BEC"/>
    <w:rsid w:val="00123C74"/>
    <w:rsid w:val="00123EE3"/>
    <w:rsid w:val="00123F2A"/>
    <w:rsid w:val="00124C2C"/>
    <w:rsid w:val="00125118"/>
    <w:rsid w:val="00125324"/>
    <w:rsid w:val="0012552B"/>
    <w:rsid w:val="0012597D"/>
    <w:rsid w:val="00125ACA"/>
    <w:rsid w:val="00125B64"/>
    <w:rsid w:val="00125DCB"/>
    <w:rsid w:val="00125EC4"/>
    <w:rsid w:val="00126143"/>
    <w:rsid w:val="00126734"/>
    <w:rsid w:val="0012673E"/>
    <w:rsid w:val="00126CD2"/>
    <w:rsid w:val="00126CED"/>
    <w:rsid w:val="00126F92"/>
    <w:rsid w:val="001272F2"/>
    <w:rsid w:val="0012740E"/>
    <w:rsid w:val="001274D0"/>
    <w:rsid w:val="00127659"/>
    <w:rsid w:val="00127776"/>
    <w:rsid w:val="00127997"/>
    <w:rsid w:val="00127A65"/>
    <w:rsid w:val="00127ABB"/>
    <w:rsid w:val="0013059F"/>
    <w:rsid w:val="00130A52"/>
    <w:rsid w:val="00130D44"/>
    <w:rsid w:val="00130E9D"/>
    <w:rsid w:val="00130F38"/>
    <w:rsid w:val="0013112F"/>
    <w:rsid w:val="00131417"/>
    <w:rsid w:val="00131754"/>
    <w:rsid w:val="00131A27"/>
    <w:rsid w:val="00131B2A"/>
    <w:rsid w:val="00131C75"/>
    <w:rsid w:val="00131D05"/>
    <w:rsid w:val="0013205D"/>
    <w:rsid w:val="00132792"/>
    <w:rsid w:val="00133028"/>
    <w:rsid w:val="00133197"/>
    <w:rsid w:val="0013353A"/>
    <w:rsid w:val="001335D0"/>
    <w:rsid w:val="00133846"/>
    <w:rsid w:val="00133AF9"/>
    <w:rsid w:val="00133F6C"/>
    <w:rsid w:val="00134005"/>
    <w:rsid w:val="0013485C"/>
    <w:rsid w:val="001348F0"/>
    <w:rsid w:val="00134A8E"/>
    <w:rsid w:val="00134F84"/>
    <w:rsid w:val="00135008"/>
    <w:rsid w:val="001352A0"/>
    <w:rsid w:val="0013570E"/>
    <w:rsid w:val="00135766"/>
    <w:rsid w:val="00135B6D"/>
    <w:rsid w:val="00135BE8"/>
    <w:rsid w:val="00135DC6"/>
    <w:rsid w:val="00135EAA"/>
    <w:rsid w:val="0013646E"/>
    <w:rsid w:val="0013657F"/>
    <w:rsid w:val="001367C1"/>
    <w:rsid w:val="00136819"/>
    <w:rsid w:val="00136EEB"/>
    <w:rsid w:val="00136F44"/>
    <w:rsid w:val="001371D2"/>
    <w:rsid w:val="0013720A"/>
    <w:rsid w:val="001373BF"/>
    <w:rsid w:val="001375C2"/>
    <w:rsid w:val="00137A98"/>
    <w:rsid w:val="00137B9F"/>
    <w:rsid w:val="00137BE4"/>
    <w:rsid w:val="00137C06"/>
    <w:rsid w:val="00140426"/>
    <w:rsid w:val="001405D8"/>
    <w:rsid w:val="001405F9"/>
    <w:rsid w:val="001406F0"/>
    <w:rsid w:val="0014076F"/>
    <w:rsid w:val="00140982"/>
    <w:rsid w:val="0014117B"/>
    <w:rsid w:val="001412DB"/>
    <w:rsid w:val="00141ADE"/>
    <w:rsid w:val="00142020"/>
    <w:rsid w:val="0014205C"/>
    <w:rsid w:val="001422CE"/>
    <w:rsid w:val="001422EB"/>
    <w:rsid w:val="0014237F"/>
    <w:rsid w:val="00142467"/>
    <w:rsid w:val="00142494"/>
    <w:rsid w:val="00142576"/>
    <w:rsid w:val="001425DB"/>
    <w:rsid w:val="00142BF2"/>
    <w:rsid w:val="00142FA0"/>
    <w:rsid w:val="0014300C"/>
    <w:rsid w:val="00143A91"/>
    <w:rsid w:val="00143AC9"/>
    <w:rsid w:val="00143EC1"/>
    <w:rsid w:val="00143F79"/>
    <w:rsid w:val="00144088"/>
    <w:rsid w:val="001446F7"/>
    <w:rsid w:val="00144907"/>
    <w:rsid w:val="00144ADF"/>
    <w:rsid w:val="00144BE3"/>
    <w:rsid w:val="00144F06"/>
    <w:rsid w:val="0014521D"/>
    <w:rsid w:val="001452FF"/>
    <w:rsid w:val="0014554C"/>
    <w:rsid w:val="001456EF"/>
    <w:rsid w:val="0014581E"/>
    <w:rsid w:val="00145B6C"/>
    <w:rsid w:val="00145D78"/>
    <w:rsid w:val="00145F55"/>
    <w:rsid w:val="00146418"/>
    <w:rsid w:val="001465F9"/>
    <w:rsid w:val="00146B2D"/>
    <w:rsid w:val="00146C9C"/>
    <w:rsid w:val="00146CDE"/>
    <w:rsid w:val="00147015"/>
    <w:rsid w:val="001470C0"/>
    <w:rsid w:val="001471C7"/>
    <w:rsid w:val="00147301"/>
    <w:rsid w:val="00147591"/>
    <w:rsid w:val="00147811"/>
    <w:rsid w:val="00147A76"/>
    <w:rsid w:val="00147C2C"/>
    <w:rsid w:val="00147EB2"/>
    <w:rsid w:val="00150026"/>
    <w:rsid w:val="001502FF"/>
    <w:rsid w:val="001504E2"/>
    <w:rsid w:val="00150A6D"/>
    <w:rsid w:val="00150E5E"/>
    <w:rsid w:val="001511A9"/>
    <w:rsid w:val="00151326"/>
    <w:rsid w:val="001515A4"/>
    <w:rsid w:val="001518F9"/>
    <w:rsid w:val="00151E5A"/>
    <w:rsid w:val="00151F91"/>
    <w:rsid w:val="001521C8"/>
    <w:rsid w:val="0015231B"/>
    <w:rsid w:val="00152546"/>
    <w:rsid w:val="00152B81"/>
    <w:rsid w:val="00152D93"/>
    <w:rsid w:val="00152E0C"/>
    <w:rsid w:val="00153784"/>
    <w:rsid w:val="00153D35"/>
    <w:rsid w:val="0015407C"/>
    <w:rsid w:val="0015415D"/>
    <w:rsid w:val="0015415F"/>
    <w:rsid w:val="001541CD"/>
    <w:rsid w:val="00154958"/>
    <w:rsid w:val="001552C0"/>
    <w:rsid w:val="00155378"/>
    <w:rsid w:val="0015542E"/>
    <w:rsid w:val="00155C53"/>
    <w:rsid w:val="00155D2A"/>
    <w:rsid w:val="00156278"/>
    <w:rsid w:val="001563F0"/>
    <w:rsid w:val="001566AE"/>
    <w:rsid w:val="00156B98"/>
    <w:rsid w:val="00156C04"/>
    <w:rsid w:val="00156E25"/>
    <w:rsid w:val="00156F3A"/>
    <w:rsid w:val="00157604"/>
    <w:rsid w:val="001578ED"/>
    <w:rsid w:val="00157A98"/>
    <w:rsid w:val="00157B0A"/>
    <w:rsid w:val="00157D9B"/>
    <w:rsid w:val="001600F4"/>
    <w:rsid w:val="001604B3"/>
    <w:rsid w:val="00160538"/>
    <w:rsid w:val="00160670"/>
    <w:rsid w:val="00160787"/>
    <w:rsid w:val="00160898"/>
    <w:rsid w:val="00160970"/>
    <w:rsid w:val="00160998"/>
    <w:rsid w:val="00160A7D"/>
    <w:rsid w:val="00160D4B"/>
    <w:rsid w:val="00160DBB"/>
    <w:rsid w:val="00160F5D"/>
    <w:rsid w:val="00160FA4"/>
    <w:rsid w:val="00161095"/>
    <w:rsid w:val="00161460"/>
    <w:rsid w:val="00161BAF"/>
    <w:rsid w:val="00161C45"/>
    <w:rsid w:val="001621E9"/>
    <w:rsid w:val="00162513"/>
    <w:rsid w:val="001625A1"/>
    <w:rsid w:val="0016272B"/>
    <w:rsid w:val="001628C2"/>
    <w:rsid w:val="00162A33"/>
    <w:rsid w:val="00162B15"/>
    <w:rsid w:val="00162B19"/>
    <w:rsid w:val="00162C4B"/>
    <w:rsid w:val="00162EBE"/>
    <w:rsid w:val="001630A2"/>
    <w:rsid w:val="001630C3"/>
    <w:rsid w:val="00163320"/>
    <w:rsid w:val="0016339B"/>
    <w:rsid w:val="00163663"/>
    <w:rsid w:val="001636C2"/>
    <w:rsid w:val="00163AA2"/>
    <w:rsid w:val="00163F2A"/>
    <w:rsid w:val="0016446F"/>
    <w:rsid w:val="001645DA"/>
    <w:rsid w:val="00164672"/>
    <w:rsid w:val="00164720"/>
    <w:rsid w:val="00164C59"/>
    <w:rsid w:val="00165225"/>
    <w:rsid w:val="001652AD"/>
    <w:rsid w:val="001657C9"/>
    <w:rsid w:val="001663BC"/>
    <w:rsid w:val="0016675F"/>
    <w:rsid w:val="00166A57"/>
    <w:rsid w:val="00166BC4"/>
    <w:rsid w:val="00167236"/>
    <w:rsid w:val="001673ED"/>
    <w:rsid w:val="0016774A"/>
    <w:rsid w:val="00167866"/>
    <w:rsid w:val="001678E7"/>
    <w:rsid w:val="00167964"/>
    <w:rsid w:val="001679CE"/>
    <w:rsid w:val="00167B7A"/>
    <w:rsid w:val="00167F1D"/>
    <w:rsid w:val="001709F9"/>
    <w:rsid w:val="00170F1C"/>
    <w:rsid w:val="00170F28"/>
    <w:rsid w:val="00170FFE"/>
    <w:rsid w:val="00171107"/>
    <w:rsid w:val="00171156"/>
    <w:rsid w:val="001712FC"/>
    <w:rsid w:val="00171461"/>
    <w:rsid w:val="001714FA"/>
    <w:rsid w:val="00171591"/>
    <w:rsid w:val="00171F77"/>
    <w:rsid w:val="00171FDF"/>
    <w:rsid w:val="00172470"/>
    <w:rsid w:val="0017257B"/>
    <w:rsid w:val="001725C7"/>
    <w:rsid w:val="00172A36"/>
    <w:rsid w:val="00172AAE"/>
    <w:rsid w:val="00172CDF"/>
    <w:rsid w:val="00173207"/>
    <w:rsid w:val="0017334B"/>
    <w:rsid w:val="00173AA1"/>
    <w:rsid w:val="00173BC5"/>
    <w:rsid w:val="00173C86"/>
    <w:rsid w:val="00174185"/>
    <w:rsid w:val="00174508"/>
    <w:rsid w:val="001745BA"/>
    <w:rsid w:val="001747E7"/>
    <w:rsid w:val="001748F1"/>
    <w:rsid w:val="00174D7F"/>
    <w:rsid w:val="00174E94"/>
    <w:rsid w:val="00174EC4"/>
    <w:rsid w:val="00174FDA"/>
    <w:rsid w:val="00174FFC"/>
    <w:rsid w:val="00175131"/>
    <w:rsid w:val="0017533C"/>
    <w:rsid w:val="001754E8"/>
    <w:rsid w:val="00175D15"/>
    <w:rsid w:val="001762FF"/>
    <w:rsid w:val="0017663E"/>
    <w:rsid w:val="00176F6E"/>
    <w:rsid w:val="00176FF8"/>
    <w:rsid w:val="00177233"/>
    <w:rsid w:val="0017799A"/>
    <w:rsid w:val="00177D3C"/>
    <w:rsid w:val="001803A2"/>
    <w:rsid w:val="001807ED"/>
    <w:rsid w:val="001808F0"/>
    <w:rsid w:val="0018099C"/>
    <w:rsid w:val="001809C3"/>
    <w:rsid w:val="00181663"/>
    <w:rsid w:val="001817B2"/>
    <w:rsid w:val="00181BA3"/>
    <w:rsid w:val="001822E9"/>
    <w:rsid w:val="00182A06"/>
    <w:rsid w:val="00182AE1"/>
    <w:rsid w:val="00182DC6"/>
    <w:rsid w:val="00182E28"/>
    <w:rsid w:val="00182F0A"/>
    <w:rsid w:val="00182FA5"/>
    <w:rsid w:val="001832E4"/>
    <w:rsid w:val="0018369D"/>
    <w:rsid w:val="001836FD"/>
    <w:rsid w:val="00183868"/>
    <w:rsid w:val="0018442A"/>
    <w:rsid w:val="001844AA"/>
    <w:rsid w:val="0018479D"/>
    <w:rsid w:val="00184857"/>
    <w:rsid w:val="00184A66"/>
    <w:rsid w:val="00184B11"/>
    <w:rsid w:val="001850EB"/>
    <w:rsid w:val="00185674"/>
    <w:rsid w:val="0018593A"/>
    <w:rsid w:val="00185B35"/>
    <w:rsid w:val="00185C78"/>
    <w:rsid w:val="00186470"/>
    <w:rsid w:val="00186614"/>
    <w:rsid w:val="001869CD"/>
    <w:rsid w:val="00186DC7"/>
    <w:rsid w:val="00186F22"/>
    <w:rsid w:val="00186FF1"/>
    <w:rsid w:val="0018759B"/>
    <w:rsid w:val="00187971"/>
    <w:rsid w:val="0019016C"/>
    <w:rsid w:val="0019058E"/>
    <w:rsid w:val="00190AEC"/>
    <w:rsid w:val="00191184"/>
    <w:rsid w:val="00191552"/>
    <w:rsid w:val="00191A18"/>
    <w:rsid w:val="00191B24"/>
    <w:rsid w:val="00191D78"/>
    <w:rsid w:val="0019213D"/>
    <w:rsid w:val="00192C17"/>
    <w:rsid w:val="00192CB9"/>
    <w:rsid w:val="00192F4C"/>
    <w:rsid w:val="001937ED"/>
    <w:rsid w:val="00193800"/>
    <w:rsid w:val="00193B67"/>
    <w:rsid w:val="00194127"/>
    <w:rsid w:val="001943C2"/>
    <w:rsid w:val="00194DC2"/>
    <w:rsid w:val="00194F54"/>
    <w:rsid w:val="00195315"/>
    <w:rsid w:val="001953A0"/>
    <w:rsid w:val="001953FF"/>
    <w:rsid w:val="00195659"/>
    <w:rsid w:val="001956CB"/>
    <w:rsid w:val="001959ED"/>
    <w:rsid w:val="00195B3A"/>
    <w:rsid w:val="00195D46"/>
    <w:rsid w:val="00195DEF"/>
    <w:rsid w:val="00195E27"/>
    <w:rsid w:val="00195ED7"/>
    <w:rsid w:val="00195F5E"/>
    <w:rsid w:val="0019611B"/>
    <w:rsid w:val="001963AF"/>
    <w:rsid w:val="001969E1"/>
    <w:rsid w:val="00196A44"/>
    <w:rsid w:val="00196AF3"/>
    <w:rsid w:val="00196DC9"/>
    <w:rsid w:val="00196F91"/>
    <w:rsid w:val="00196FCF"/>
    <w:rsid w:val="00197057"/>
    <w:rsid w:val="00197175"/>
    <w:rsid w:val="001976FB"/>
    <w:rsid w:val="00197970"/>
    <w:rsid w:val="001979F1"/>
    <w:rsid w:val="00197C39"/>
    <w:rsid w:val="00197DA9"/>
    <w:rsid w:val="001A0058"/>
    <w:rsid w:val="001A0186"/>
    <w:rsid w:val="001A0890"/>
    <w:rsid w:val="001A0A78"/>
    <w:rsid w:val="001A0AFC"/>
    <w:rsid w:val="001A0DEA"/>
    <w:rsid w:val="001A10A7"/>
    <w:rsid w:val="001A12A5"/>
    <w:rsid w:val="001A148E"/>
    <w:rsid w:val="001A1579"/>
    <w:rsid w:val="001A17DC"/>
    <w:rsid w:val="001A1876"/>
    <w:rsid w:val="001A1C74"/>
    <w:rsid w:val="001A1DDC"/>
    <w:rsid w:val="001A2534"/>
    <w:rsid w:val="001A267C"/>
    <w:rsid w:val="001A2E52"/>
    <w:rsid w:val="001A3A43"/>
    <w:rsid w:val="001A3C64"/>
    <w:rsid w:val="001A3DE8"/>
    <w:rsid w:val="001A3EF2"/>
    <w:rsid w:val="001A43D1"/>
    <w:rsid w:val="001A4492"/>
    <w:rsid w:val="001A55A9"/>
    <w:rsid w:val="001A55E9"/>
    <w:rsid w:val="001A564E"/>
    <w:rsid w:val="001A58F7"/>
    <w:rsid w:val="001A5B00"/>
    <w:rsid w:val="001A5B26"/>
    <w:rsid w:val="001A6441"/>
    <w:rsid w:val="001A65E6"/>
    <w:rsid w:val="001A6937"/>
    <w:rsid w:val="001A6991"/>
    <w:rsid w:val="001A6FC2"/>
    <w:rsid w:val="001A73A1"/>
    <w:rsid w:val="001A7467"/>
    <w:rsid w:val="001A7478"/>
    <w:rsid w:val="001A7770"/>
    <w:rsid w:val="001A77AE"/>
    <w:rsid w:val="001A7833"/>
    <w:rsid w:val="001A7931"/>
    <w:rsid w:val="001A7BB2"/>
    <w:rsid w:val="001A7C1E"/>
    <w:rsid w:val="001A7FBE"/>
    <w:rsid w:val="001B00B0"/>
    <w:rsid w:val="001B02FA"/>
    <w:rsid w:val="001B059D"/>
    <w:rsid w:val="001B063C"/>
    <w:rsid w:val="001B06D5"/>
    <w:rsid w:val="001B0E8E"/>
    <w:rsid w:val="001B0F50"/>
    <w:rsid w:val="001B108C"/>
    <w:rsid w:val="001B12E8"/>
    <w:rsid w:val="001B15EA"/>
    <w:rsid w:val="001B19CA"/>
    <w:rsid w:val="001B1C40"/>
    <w:rsid w:val="001B212D"/>
    <w:rsid w:val="001B223B"/>
    <w:rsid w:val="001B22A5"/>
    <w:rsid w:val="001B2510"/>
    <w:rsid w:val="001B297C"/>
    <w:rsid w:val="001B2C35"/>
    <w:rsid w:val="001B2F22"/>
    <w:rsid w:val="001B309E"/>
    <w:rsid w:val="001B3123"/>
    <w:rsid w:val="001B31B5"/>
    <w:rsid w:val="001B3279"/>
    <w:rsid w:val="001B32F0"/>
    <w:rsid w:val="001B3712"/>
    <w:rsid w:val="001B37BE"/>
    <w:rsid w:val="001B3AB4"/>
    <w:rsid w:val="001B3F31"/>
    <w:rsid w:val="001B42F2"/>
    <w:rsid w:val="001B4534"/>
    <w:rsid w:val="001B480D"/>
    <w:rsid w:val="001B4B55"/>
    <w:rsid w:val="001B4D64"/>
    <w:rsid w:val="001B4DA0"/>
    <w:rsid w:val="001B506E"/>
    <w:rsid w:val="001B51F0"/>
    <w:rsid w:val="001B5765"/>
    <w:rsid w:val="001B57E5"/>
    <w:rsid w:val="001B584E"/>
    <w:rsid w:val="001B590D"/>
    <w:rsid w:val="001B5BF2"/>
    <w:rsid w:val="001B5C19"/>
    <w:rsid w:val="001B5DF3"/>
    <w:rsid w:val="001B5F2A"/>
    <w:rsid w:val="001B5F36"/>
    <w:rsid w:val="001B5F63"/>
    <w:rsid w:val="001B6088"/>
    <w:rsid w:val="001B62F3"/>
    <w:rsid w:val="001B6944"/>
    <w:rsid w:val="001B6CAD"/>
    <w:rsid w:val="001B6FE4"/>
    <w:rsid w:val="001B706A"/>
    <w:rsid w:val="001B7137"/>
    <w:rsid w:val="001B74EE"/>
    <w:rsid w:val="001B7574"/>
    <w:rsid w:val="001B76C0"/>
    <w:rsid w:val="001C03BE"/>
    <w:rsid w:val="001C05D0"/>
    <w:rsid w:val="001C0677"/>
    <w:rsid w:val="001C06AF"/>
    <w:rsid w:val="001C0C7B"/>
    <w:rsid w:val="001C0E85"/>
    <w:rsid w:val="001C102D"/>
    <w:rsid w:val="001C10A7"/>
    <w:rsid w:val="001C1674"/>
    <w:rsid w:val="001C18EB"/>
    <w:rsid w:val="001C1B8F"/>
    <w:rsid w:val="001C2800"/>
    <w:rsid w:val="001C2AA6"/>
    <w:rsid w:val="001C30FA"/>
    <w:rsid w:val="001C31B9"/>
    <w:rsid w:val="001C37E8"/>
    <w:rsid w:val="001C3ACB"/>
    <w:rsid w:val="001C3C86"/>
    <w:rsid w:val="001C3CB5"/>
    <w:rsid w:val="001C42F2"/>
    <w:rsid w:val="001C46B5"/>
    <w:rsid w:val="001C48BC"/>
    <w:rsid w:val="001C4A91"/>
    <w:rsid w:val="001C4AC3"/>
    <w:rsid w:val="001C4C5D"/>
    <w:rsid w:val="001C5245"/>
    <w:rsid w:val="001C558D"/>
    <w:rsid w:val="001C5658"/>
    <w:rsid w:val="001C578C"/>
    <w:rsid w:val="001C5CBB"/>
    <w:rsid w:val="001C637A"/>
    <w:rsid w:val="001C64B0"/>
    <w:rsid w:val="001C6598"/>
    <w:rsid w:val="001C684F"/>
    <w:rsid w:val="001C6949"/>
    <w:rsid w:val="001C6C4B"/>
    <w:rsid w:val="001C6F45"/>
    <w:rsid w:val="001C7038"/>
    <w:rsid w:val="001C718A"/>
    <w:rsid w:val="001C740F"/>
    <w:rsid w:val="001C75AA"/>
    <w:rsid w:val="001C76B1"/>
    <w:rsid w:val="001C7807"/>
    <w:rsid w:val="001C7EE3"/>
    <w:rsid w:val="001C7F49"/>
    <w:rsid w:val="001D00B4"/>
    <w:rsid w:val="001D0855"/>
    <w:rsid w:val="001D0AEB"/>
    <w:rsid w:val="001D0E71"/>
    <w:rsid w:val="001D10FA"/>
    <w:rsid w:val="001D14C2"/>
    <w:rsid w:val="001D1695"/>
    <w:rsid w:val="001D1974"/>
    <w:rsid w:val="001D1A88"/>
    <w:rsid w:val="001D1C4C"/>
    <w:rsid w:val="001D1CE6"/>
    <w:rsid w:val="001D20B1"/>
    <w:rsid w:val="001D20FE"/>
    <w:rsid w:val="001D212D"/>
    <w:rsid w:val="001D222E"/>
    <w:rsid w:val="001D2CF2"/>
    <w:rsid w:val="001D2DCE"/>
    <w:rsid w:val="001D2E56"/>
    <w:rsid w:val="001D2ECB"/>
    <w:rsid w:val="001D338B"/>
    <w:rsid w:val="001D3466"/>
    <w:rsid w:val="001D35ED"/>
    <w:rsid w:val="001D3CBE"/>
    <w:rsid w:val="001D3CC2"/>
    <w:rsid w:val="001D3EB4"/>
    <w:rsid w:val="001D3FDF"/>
    <w:rsid w:val="001D4170"/>
    <w:rsid w:val="001D42E8"/>
    <w:rsid w:val="001D4591"/>
    <w:rsid w:val="001D45E4"/>
    <w:rsid w:val="001D45F0"/>
    <w:rsid w:val="001D46F2"/>
    <w:rsid w:val="001D50B1"/>
    <w:rsid w:val="001D5122"/>
    <w:rsid w:val="001D5361"/>
    <w:rsid w:val="001D5695"/>
    <w:rsid w:val="001D56D0"/>
    <w:rsid w:val="001D5A27"/>
    <w:rsid w:val="001D5CED"/>
    <w:rsid w:val="001D5FB0"/>
    <w:rsid w:val="001D6214"/>
    <w:rsid w:val="001D6349"/>
    <w:rsid w:val="001D639D"/>
    <w:rsid w:val="001D6443"/>
    <w:rsid w:val="001D65EF"/>
    <w:rsid w:val="001D679E"/>
    <w:rsid w:val="001D68E5"/>
    <w:rsid w:val="001D6A21"/>
    <w:rsid w:val="001D6F7E"/>
    <w:rsid w:val="001D7077"/>
    <w:rsid w:val="001D74E3"/>
    <w:rsid w:val="001D7A30"/>
    <w:rsid w:val="001D7ED1"/>
    <w:rsid w:val="001D7FF2"/>
    <w:rsid w:val="001E0563"/>
    <w:rsid w:val="001E07C2"/>
    <w:rsid w:val="001E09ED"/>
    <w:rsid w:val="001E0BB4"/>
    <w:rsid w:val="001E1065"/>
    <w:rsid w:val="001E1AAB"/>
    <w:rsid w:val="001E1B1F"/>
    <w:rsid w:val="001E20AE"/>
    <w:rsid w:val="001E29D2"/>
    <w:rsid w:val="001E29FD"/>
    <w:rsid w:val="001E2A01"/>
    <w:rsid w:val="001E2B66"/>
    <w:rsid w:val="001E2BE4"/>
    <w:rsid w:val="001E306D"/>
    <w:rsid w:val="001E3297"/>
    <w:rsid w:val="001E3847"/>
    <w:rsid w:val="001E38B7"/>
    <w:rsid w:val="001E3AF2"/>
    <w:rsid w:val="001E3E43"/>
    <w:rsid w:val="001E3FA3"/>
    <w:rsid w:val="001E4189"/>
    <w:rsid w:val="001E43EE"/>
    <w:rsid w:val="001E4FC7"/>
    <w:rsid w:val="001E5051"/>
    <w:rsid w:val="001E5167"/>
    <w:rsid w:val="001E5509"/>
    <w:rsid w:val="001E5675"/>
    <w:rsid w:val="001E57AD"/>
    <w:rsid w:val="001E5A84"/>
    <w:rsid w:val="001E5B74"/>
    <w:rsid w:val="001E5C8E"/>
    <w:rsid w:val="001E5CA4"/>
    <w:rsid w:val="001E5F1A"/>
    <w:rsid w:val="001E5F87"/>
    <w:rsid w:val="001E60F3"/>
    <w:rsid w:val="001E6254"/>
    <w:rsid w:val="001E6487"/>
    <w:rsid w:val="001E664E"/>
    <w:rsid w:val="001E6779"/>
    <w:rsid w:val="001E6E1B"/>
    <w:rsid w:val="001E7F72"/>
    <w:rsid w:val="001F019E"/>
    <w:rsid w:val="001F07B7"/>
    <w:rsid w:val="001F07DD"/>
    <w:rsid w:val="001F08C0"/>
    <w:rsid w:val="001F0AB5"/>
    <w:rsid w:val="001F0ACD"/>
    <w:rsid w:val="001F0B83"/>
    <w:rsid w:val="001F11C1"/>
    <w:rsid w:val="001F12E8"/>
    <w:rsid w:val="001F162C"/>
    <w:rsid w:val="001F1974"/>
    <w:rsid w:val="001F1A95"/>
    <w:rsid w:val="001F1C31"/>
    <w:rsid w:val="001F1C7C"/>
    <w:rsid w:val="001F1D5C"/>
    <w:rsid w:val="001F1E34"/>
    <w:rsid w:val="001F2300"/>
    <w:rsid w:val="001F261B"/>
    <w:rsid w:val="001F2654"/>
    <w:rsid w:val="001F2BC8"/>
    <w:rsid w:val="001F2EAA"/>
    <w:rsid w:val="001F2F22"/>
    <w:rsid w:val="001F3106"/>
    <w:rsid w:val="001F3289"/>
    <w:rsid w:val="001F36E2"/>
    <w:rsid w:val="001F371A"/>
    <w:rsid w:val="001F39E4"/>
    <w:rsid w:val="001F3D11"/>
    <w:rsid w:val="001F3F2D"/>
    <w:rsid w:val="001F3F84"/>
    <w:rsid w:val="001F4548"/>
    <w:rsid w:val="001F4720"/>
    <w:rsid w:val="001F4722"/>
    <w:rsid w:val="001F47D4"/>
    <w:rsid w:val="001F4865"/>
    <w:rsid w:val="001F4906"/>
    <w:rsid w:val="001F4B8A"/>
    <w:rsid w:val="001F4C6C"/>
    <w:rsid w:val="001F4DE2"/>
    <w:rsid w:val="001F4E44"/>
    <w:rsid w:val="001F56E7"/>
    <w:rsid w:val="001F5BDD"/>
    <w:rsid w:val="001F5C15"/>
    <w:rsid w:val="001F5F6B"/>
    <w:rsid w:val="001F6AE3"/>
    <w:rsid w:val="001F6CB1"/>
    <w:rsid w:val="001F6E58"/>
    <w:rsid w:val="001F70BB"/>
    <w:rsid w:val="001F7164"/>
    <w:rsid w:val="001F71C9"/>
    <w:rsid w:val="001F72E8"/>
    <w:rsid w:val="001F7F4A"/>
    <w:rsid w:val="002001E3"/>
    <w:rsid w:val="00200205"/>
    <w:rsid w:val="002004F6"/>
    <w:rsid w:val="002005E2"/>
    <w:rsid w:val="002007E8"/>
    <w:rsid w:val="00200986"/>
    <w:rsid w:val="00200E3C"/>
    <w:rsid w:val="00200FCF"/>
    <w:rsid w:val="002019B0"/>
    <w:rsid w:val="00201D77"/>
    <w:rsid w:val="00201E6C"/>
    <w:rsid w:val="00201F28"/>
    <w:rsid w:val="00201FA5"/>
    <w:rsid w:val="00202167"/>
    <w:rsid w:val="002021A9"/>
    <w:rsid w:val="002021F5"/>
    <w:rsid w:val="0020250F"/>
    <w:rsid w:val="002029B7"/>
    <w:rsid w:val="002030A0"/>
    <w:rsid w:val="00203311"/>
    <w:rsid w:val="0020389B"/>
    <w:rsid w:val="00203A2D"/>
    <w:rsid w:val="00203BB9"/>
    <w:rsid w:val="00203D0A"/>
    <w:rsid w:val="00203D35"/>
    <w:rsid w:val="00203FFC"/>
    <w:rsid w:val="0020448B"/>
    <w:rsid w:val="00204D23"/>
    <w:rsid w:val="00204F3B"/>
    <w:rsid w:val="0020540B"/>
    <w:rsid w:val="002057B5"/>
    <w:rsid w:val="0020590C"/>
    <w:rsid w:val="00205BB6"/>
    <w:rsid w:val="00205D54"/>
    <w:rsid w:val="00205E8B"/>
    <w:rsid w:val="00206281"/>
    <w:rsid w:val="00206347"/>
    <w:rsid w:val="00206544"/>
    <w:rsid w:val="00206657"/>
    <w:rsid w:val="00206AFB"/>
    <w:rsid w:val="00206DFA"/>
    <w:rsid w:val="00207140"/>
    <w:rsid w:val="002074D2"/>
    <w:rsid w:val="002078F6"/>
    <w:rsid w:val="00207E16"/>
    <w:rsid w:val="00210074"/>
    <w:rsid w:val="0021012D"/>
    <w:rsid w:val="0021037F"/>
    <w:rsid w:val="00210638"/>
    <w:rsid w:val="00210654"/>
    <w:rsid w:val="002108CA"/>
    <w:rsid w:val="0021095F"/>
    <w:rsid w:val="002109ED"/>
    <w:rsid w:val="00210D60"/>
    <w:rsid w:val="00210F16"/>
    <w:rsid w:val="00211449"/>
    <w:rsid w:val="00211476"/>
    <w:rsid w:val="002115A4"/>
    <w:rsid w:val="00211DAE"/>
    <w:rsid w:val="00211F4C"/>
    <w:rsid w:val="00211FCF"/>
    <w:rsid w:val="002123D3"/>
    <w:rsid w:val="0021248C"/>
    <w:rsid w:val="002125B9"/>
    <w:rsid w:val="002129DA"/>
    <w:rsid w:val="00212F3B"/>
    <w:rsid w:val="00212FA3"/>
    <w:rsid w:val="00213D00"/>
    <w:rsid w:val="00213EE8"/>
    <w:rsid w:val="00213EEF"/>
    <w:rsid w:val="00213F7B"/>
    <w:rsid w:val="00214451"/>
    <w:rsid w:val="00214842"/>
    <w:rsid w:val="00214A50"/>
    <w:rsid w:val="00214D82"/>
    <w:rsid w:val="00215422"/>
    <w:rsid w:val="00215564"/>
    <w:rsid w:val="00215A06"/>
    <w:rsid w:val="00215CFC"/>
    <w:rsid w:val="0021604C"/>
    <w:rsid w:val="002161A3"/>
    <w:rsid w:val="00216333"/>
    <w:rsid w:val="002167CF"/>
    <w:rsid w:val="002167F7"/>
    <w:rsid w:val="00216872"/>
    <w:rsid w:val="00216B41"/>
    <w:rsid w:val="00216EB2"/>
    <w:rsid w:val="00217039"/>
    <w:rsid w:val="002170A4"/>
    <w:rsid w:val="00217101"/>
    <w:rsid w:val="0021725E"/>
    <w:rsid w:val="00217574"/>
    <w:rsid w:val="002175C8"/>
    <w:rsid w:val="002177BF"/>
    <w:rsid w:val="00217963"/>
    <w:rsid w:val="00217A41"/>
    <w:rsid w:val="00217B10"/>
    <w:rsid w:val="00217D0C"/>
    <w:rsid w:val="00217E20"/>
    <w:rsid w:val="00220039"/>
    <w:rsid w:val="00220258"/>
    <w:rsid w:val="00220DEF"/>
    <w:rsid w:val="00220F4F"/>
    <w:rsid w:val="002213FB"/>
    <w:rsid w:val="00221492"/>
    <w:rsid w:val="00221507"/>
    <w:rsid w:val="00221918"/>
    <w:rsid w:val="00221AFE"/>
    <w:rsid w:val="00221B0F"/>
    <w:rsid w:val="00221C56"/>
    <w:rsid w:val="002221F2"/>
    <w:rsid w:val="0022235E"/>
    <w:rsid w:val="0022249A"/>
    <w:rsid w:val="0022275C"/>
    <w:rsid w:val="002227DE"/>
    <w:rsid w:val="0022285F"/>
    <w:rsid w:val="0022305B"/>
    <w:rsid w:val="002230FC"/>
    <w:rsid w:val="0022357C"/>
    <w:rsid w:val="00223644"/>
    <w:rsid w:val="00223646"/>
    <w:rsid w:val="00223C60"/>
    <w:rsid w:val="00223D8C"/>
    <w:rsid w:val="00223FA1"/>
    <w:rsid w:val="00224DB2"/>
    <w:rsid w:val="00224FDE"/>
    <w:rsid w:val="00225017"/>
    <w:rsid w:val="0022506A"/>
    <w:rsid w:val="00225791"/>
    <w:rsid w:val="002257E4"/>
    <w:rsid w:val="00225ADD"/>
    <w:rsid w:val="00225BB3"/>
    <w:rsid w:val="00225BE4"/>
    <w:rsid w:val="00226263"/>
    <w:rsid w:val="002264AF"/>
    <w:rsid w:val="002266B0"/>
    <w:rsid w:val="00226822"/>
    <w:rsid w:val="00226BDB"/>
    <w:rsid w:val="0022711E"/>
    <w:rsid w:val="0022769A"/>
    <w:rsid w:val="00227C80"/>
    <w:rsid w:val="00227D59"/>
    <w:rsid w:val="00227E09"/>
    <w:rsid w:val="00230063"/>
    <w:rsid w:val="00230101"/>
    <w:rsid w:val="00230219"/>
    <w:rsid w:val="002303F8"/>
    <w:rsid w:val="00230565"/>
    <w:rsid w:val="002307E6"/>
    <w:rsid w:val="0023094C"/>
    <w:rsid w:val="00230B72"/>
    <w:rsid w:val="00230DBD"/>
    <w:rsid w:val="00231396"/>
    <w:rsid w:val="002318D4"/>
    <w:rsid w:val="00231973"/>
    <w:rsid w:val="00231B19"/>
    <w:rsid w:val="00231BC4"/>
    <w:rsid w:val="00231D55"/>
    <w:rsid w:val="00231E6C"/>
    <w:rsid w:val="00231EAF"/>
    <w:rsid w:val="00231FD7"/>
    <w:rsid w:val="0023246A"/>
    <w:rsid w:val="002325AB"/>
    <w:rsid w:val="00232923"/>
    <w:rsid w:val="00232D49"/>
    <w:rsid w:val="00232ECF"/>
    <w:rsid w:val="00233471"/>
    <w:rsid w:val="00233796"/>
    <w:rsid w:val="00233846"/>
    <w:rsid w:val="002339D9"/>
    <w:rsid w:val="00233CA5"/>
    <w:rsid w:val="00233FFF"/>
    <w:rsid w:val="0023445E"/>
    <w:rsid w:val="002347F1"/>
    <w:rsid w:val="00234C96"/>
    <w:rsid w:val="002350B9"/>
    <w:rsid w:val="002350DB"/>
    <w:rsid w:val="0023523A"/>
    <w:rsid w:val="002362F5"/>
    <w:rsid w:val="00236598"/>
    <w:rsid w:val="00236729"/>
    <w:rsid w:val="002367CA"/>
    <w:rsid w:val="00236FA4"/>
    <w:rsid w:val="00237012"/>
    <w:rsid w:val="002370E6"/>
    <w:rsid w:val="0023741C"/>
    <w:rsid w:val="00237655"/>
    <w:rsid w:val="002378F8"/>
    <w:rsid w:val="00237BF8"/>
    <w:rsid w:val="00237C0F"/>
    <w:rsid w:val="00237C62"/>
    <w:rsid w:val="00237CCE"/>
    <w:rsid w:val="00237EE0"/>
    <w:rsid w:val="002400B5"/>
    <w:rsid w:val="00240440"/>
    <w:rsid w:val="00240654"/>
    <w:rsid w:val="002407F1"/>
    <w:rsid w:val="0024088C"/>
    <w:rsid w:val="00240C10"/>
    <w:rsid w:val="00241385"/>
    <w:rsid w:val="00241395"/>
    <w:rsid w:val="00241875"/>
    <w:rsid w:val="00241ABA"/>
    <w:rsid w:val="00241CCC"/>
    <w:rsid w:val="00242135"/>
    <w:rsid w:val="00242401"/>
    <w:rsid w:val="00242526"/>
    <w:rsid w:val="002428D1"/>
    <w:rsid w:val="002429B9"/>
    <w:rsid w:val="00242B71"/>
    <w:rsid w:val="00242BE9"/>
    <w:rsid w:val="00242EF8"/>
    <w:rsid w:val="002430B8"/>
    <w:rsid w:val="0024363A"/>
    <w:rsid w:val="00243AB8"/>
    <w:rsid w:val="00243CFC"/>
    <w:rsid w:val="00243EBC"/>
    <w:rsid w:val="00244013"/>
    <w:rsid w:val="00244065"/>
    <w:rsid w:val="002443C4"/>
    <w:rsid w:val="00244ED3"/>
    <w:rsid w:val="0024512D"/>
    <w:rsid w:val="00245255"/>
    <w:rsid w:val="00245505"/>
    <w:rsid w:val="00246194"/>
    <w:rsid w:val="0024624A"/>
    <w:rsid w:val="0024663D"/>
    <w:rsid w:val="00246769"/>
    <w:rsid w:val="00246858"/>
    <w:rsid w:val="00246A35"/>
    <w:rsid w:val="00246B70"/>
    <w:rsid w:val="00246C98"/>
    <w:rsid w:val="00246EB5"/>
    <w:rsid w:val="002475F5"/>
    <w:rsid w:val="002476F1"/>
    <w:rsid w:val="00247963"/>
    <w:rsid w:val="002479DF"/>
    <w:rsid w:val="00247AAA"/>
    <w:rsid w:val="00247AD1"/>
    <w:rsid w:val="00247CAD"/>
    <w:rsid w:val="00247CB2"/>
    <w:rsid w:val="00247CCC"/>
    <w:rsid w:val="002504F5"/>
    <w:rsid w:val="002509A4"/>
    <w:rsid w:val="00250E28"/>
    <w:rsid w:val="0025147F"/>
    <w:rsid w:val="00251621"/>
    <w:rsid w:val="002518A3"/>
    <w:rsid w:val="00251C0C"/>
    <w:rsid w:val="00251C70"/>
    <w:rsid w:val="00251DDC"/>
    <w:rsid w:val="0025201F"/>
    <w:rsid w:val="00252022"/>
    <w:rsid w:val="00252144"/>
    <w:rsid w:val="00252559"/>
    <w:rsid w:val="00252801"/>
    <w:rsid w:val="00252F66"/>
    <w:rsid w:val="002530E0"/>
    <w:rsid w:val="00253152"/>
    <w:rsid w:val="002531B2"/>
    <w:rsid w:val="00253266"/>
    <w:rsid w:val="002536CD"/>
    <w:rsid w:val="00253704"/>
    <w:rsid w:val="0025397A"/>
    <w:rsid w:val="00253ACA"/>
    <w:rsid w:val="00253EBC"/>
    <w:rsid w:val="002541A9"/>
    <w:rsid w:val="0025434A"/>
    <w:rsid w:val="0025435E"/>
    <w:rsid w:val="00254951"/>
    <w:rsid w:val="00254CD6"/>
    <w:rsid w:val="002555E1"/>
    <w:rsid w:val="002560B5"/>
    <w:rsid w:val="00256DE2"/>
    <w:rsid w:val="0025729D"/>
    <w:rsid w:val="002602DE"/>
    <w:rsid w:val="00261046"/>
    <w:rsid w:val="002610AF"/>
    <w:rsid w:val="0026117C"/>
    <w:rsid w:val="002617DF"/>
    <w:rsid w:val="002624AE"/>
    <w:rsid w:val="0026264C"/>
    <w:rsid w:val="0026279F"/>
    <w:rsid w:val="002627F4"/>
    <w:rsid w:val="00262B9B"/>
    <w:rsid w:val="00262C4D"/>
    <w:rsid w:val="00262ECA"/>
    <w:rsid w:val="00262F39"/>
    <w:rsid w:val="002633D3"/>
    <w:rsid w:val="0026351A"/>
    <w:rsid w:val="0026398D"/>
    <w:rsid w:val="00263E20"/>
    <w:rsid w:val="00264955"/>
    <w:rsid w:val="00264D62"/>
    <w:rsid w:val="00265081"/>
    <w:rsid w:val="0026515D"/>
    <w:rsid w:val="00265573"/>
    <w:rsid w:val="002655C8"/>
    <w:rsid w:val="002659C6"/>
    <w:rsid w:val="00265C87"/>
    <w:rsid w:val="00265F36"/>
    <w:rsid w:val="002660DC"/>
    <w:rsid w:val="002661B3"/>
    <w:rsid w:val="00266561"/>
    <w:rsid w:val="00266923"/>
    <w:rsid w:val="00266EE7"/>
    <w:rsid w:val="00266F7B"/>
    <w:rsid w:val="002672CA"/>
    <w:rsid w:val="002673FA"/>
    <w:rsid w:val="0026786F"/>
    <w:rsid w:val="002679F6"/>
    <w:rsid w:val="00267FA5"/>
    <w:rsid w:val="0027043F"/>
    <w:rsid w:val="0027096B"/>
    <w:rsid w:val="00270D89"/>
    <w:rsid w:val="00271549"/>
    <w:rsid w:val="002716E0"/>
    <w:rsid w:val="002718E6"/>
    <w:rsid w:val="00271E62"/>
    <w:rsid w:val="002721F3"/>
    <w:rsid w:val="002726B9"/>
    <w:rsid w:val="0027290E"/>
    <w:rsid w:val="00272987"/>
    <w:rsid w:val="002729DA"/>
    <w:rsid w:val="00272BB0"/>
    <w:rsid w:val="00272C82"/>
    <w:rsid w:val="00272CD0"/>
    <w:rsid w:val="0027322E"/>
    <w:rsid w:val="00273453"/>
    <w:rsid w:val="002738E0"/>
    <w:rsid w:val="00273C62"/>
    <w:rsid w:val="00273D46"/>
    <w:rsid w:val="0027481E"/>
    <w:rsid w:val="0027482B"/>
    <w:rsid w:val="002749D4"/>
    <w:rsid w:val="00274C28"/>
    <w:rsid w:val="00274FC1"/>
    <w:rsid w:val="0027535C"/>
    <w:rsid w:val="00275764"/>
    <w:rsid w:val="0027576D"/>
    <w:rsid w:val="0027589E"/>
    <w:rsid w:val="00275989"/>
    <w:rsid w:val="00275D7B"/>
    <w:rsid w:val="00276132"/>
    <w:rsid w:val="002766D3"/>
    <w:rsid w:val="00276819"/>
    <w:rsid w:val="00276B57"/>
    <w:rsid w:val="00276D8F"/>
    <w:rsid w:val="00277315"/>
    <w:rsid w:val="00280406"/>
    <w:rsid w:val="002808C5"/>
    <w:rsid w:val="00281BE6"/>
    <w:rsid w:val="00281D1E"/>
    <w:rsid w:val="00281F44"/>
    <w:rsid w:val="002821F6"/>
    <w:rsid w:val="00282290"/>
    <w:rsid w:val="002824E3"/>
    <w:rsid w:val="00282545"/>
    <w:rsid w:val="00282815"/>
    <w:rsid w:val="002829B5"/>
    <w:rsid w:val="00282BDD"/>
    <w:rsid w:val="002833BA"/>
    <w:rsid w:val="002833F5"/>
    <w:rsid w:val="0028358D"/>
    <w:rsid w:val="002835D8"/>
    <w:rsid w:val="002837B5"/>
    <w:rsid w:val="0028393A"/>
    <w:rsid w:val="00283A56"/>
    <w:rsid w:val="00283AE6"/>
    <w:rsid w:val="00283B66"/>
    <w:rsid w:val="00283BC5"/>
    <w:rsid w:val="00283D2A"/>
    <w:rsid w:val="00284100"/>
    <w:rsid w:val="00284271"/>
    <w:rsid w:val="00284348"/>
    <w:rsid w:val="002847E0"/>
    <w:rsid w:val="00285223"/>
    <w:rsid w:val="0028598C"/>
    <w:rsid w:val="00285A1C"/>
    <w:rsid w:val="00286112"/>
    <w:rsid w:val="002861E0"/>
    <w:rsid w:val="002864D8"/>
    <w:rsid w:val="00286669"/>
    <w:rsid w:val="002868B2"/>
    <w:rsid w:val="002868B4"/>
    <w:rsid w:val="00286EAD"/>
    <w:rsid w:val="00287135"/>
    <w:rsid w:val="002873E3"/>
    <w:rsid w:val="0028748D"/>
    <w:rsid w:val="0028764F"/>
    <w:rsid w:val="0028795A"/>
    <w:rsid w:val="00287B63"/>
    <w:rsid w:val="00287ED6"/>
    <w:rsid w:val="00287EF3"/>
    <w:rsid w:val="0029011D"/>
    <w:rsid w:val="002904B9"/>
    <w:rsid w:val="0029061E"/>
    <w:rsid w:val="002906C4"/>
    <w:rsid w:val="00290722"/>
    <w:rsid w:val="00290EC9"/>
    <w:rsid w:val="00290F91"/>
    <w:rsid w:val="0029127D"/>
    <w:rsid w:val="002912BE"/>
    <w:rsid w:val="0029196D"/>
    <w:rsid w:val="00291B5C"/>
    <w:rsid w:val="002925D8"/>
    <w:rsid w:val="00292866"/>
    <w:rsid w:val="00292CA3"/>
    <w:rsid w:val="00292D76"/>
    <w:rsid w:val="00293440"/>
    <w:rsid w:val="002935E0"/>
    <w:rsid w:val="0029387F"/>
    <w:rsid w:val="00293ABC"/>
    <w:rsid w:val="00293C10"/>
    <w:rsid w:val="002941ED"/>
    <w:rsid w:val="002941F5"/>
    <w:rsid w:val="0029457C"/>
    <w:rsid w:val="002945AF"/>
    <w:rsid w:val="00294603"/>
    <w:rsid w:val="00294D08"/>
    <w:rsid w:val="00294FC2"/>
    <w:rsid w:val="00295416"/>
    <w:rsid w:val="00295557"/>
    <w:rsid w:val="002958BB"/>
    <w:rsid w:val="0029595F"/>
    <w:rsid w:val="00295A6E"/>
    <w:rsid w:val="00295B04"/>
    <w:rsid w:val="00295C3C"/>
    <w:rsid w:val="002962FD"/>
    <w:rsid w:val="00296391"/>
    <w:rsid w:val="00296463"/>
    <w:rsid w:val="00296622"/>
    <w:rsid w:val="00296937"/>
    <w:rsid w:val="00296F0F"/>
    <w:rsid w:val="00296F66"/>
    <w:rsid w:val="002971DF"/>
    <w:rsid w:val="00297422"/>
    <w:rsid w:val="00297878"/>
    <w:rsid w:val="00297950"/>
    <w:rsid w:val="00297AFF"/>
    <w:rsid w:val="00297BA4"/>
    <w:rsid w:val="00297CA6"/>
    <w:rsid w:val="00297CE6"/>
    <w:rsid w:val="0029FBB5"/>
    <w:rsid w:val="002A047C"/>
    <w:rsid w:val="002A0740"/>
    <w:rsid w:val="002A0993"/>
    <w:rsid w:val="002A0EED"/>
    <w:rsid w:val="002A11AE"/>
    <w:rsid w:val="002A1440"/>
    <w:rsid w:val="002A1A2A"/>
    <w:rsid w:val="002A1D55"/>
    <w:rsid w:val="002A1F64"/>
    <w:rsid w:val="002A2833"/>
    <w:rsid w:val="002A2BC4"/>
    <w:rsid w:val="002A2DF2"/>
    <w:rsid w:val="002A2EB1"/>
    <w:rsid w:val="002A2F9C"/>
    <w:rsid w:val="002A35C6"/>
    <w:rsid w:val="002A3699"/>
    <w:rsid w:val="002A3928"/>
    <w:rsid w:val="002A3D93"/>
    <w:rsid w:val="002A3EA1"/>
    <w:rsid w:val="002A4060"/>
    <w:rsid w:val="002A4191"/>
    <w:rsid w:val="002A48E9"/>
    <w:rsid w:val="002A4932"/>
    <w:rsid w:val="002A4E38"/>
    <w:rsid w:val="002A4ECD"/>
    <w:rsid w:val="002A5048"/>
    <w:rsid w:val="002A53C6"/>
    <w:rsid w:val="002A5706"/>
    <w:rsid w:val="002A5E9D"/>
    <w:rsid w:val="002A5F40"/>
    <w:rsid w:val="002A627D"/>
    <w:rsid w:val="002A674E"/>
    <w:rsid w:val="002A68A5"/>
    <w:rsid w:val="002A6C03"/>
    <w:rsid w:val="002A6DAE"/>
    <w:rsid w:val="002A6FC8"/>
    <w:rsid w:val="002A75D7"/>
    <w:rsid w:val="002A77CE"/>
    <w:rsid w:val="002A7A64"/>
    <w:rsid w:val="002A7AA0"/>
    <w:rsid w:val="002A7B18"/>
    <w:rsid w:val="002B002D"/>
    <w:rsid w:val="002B0213"/>
    <w:rsid w:val="002B09E4"/>
    <w:rsid w:val="002B0D20"/>
    <w:rsid w:val="002B0D68"/>
    <w:rsid w:val="002B0DC4"/>
    <w:rsid w:val="002B112E"/>
    <w:rsid w:val="002B11E9"/>
    <w:rsid w:val="002B1940"/>
    <w:rsid w:val="002B1965"/>
    <w:rsid w:val="002B1995"/>
    <w:rsid w:val="002B1B33"/>
    <w:rsid w:val="002B1F25"/>
    <w:rsid w:val="002B2B10"/>
    <w:rsid w:val="002B2B40"/>
    <w:rsid w:val="002B2B4D"/>
    <w:rsid w:val="002B2BAC"/>
    <w:rsid w:val="002B2C5D"/>
    <w:rsid w:val="002B2E46"/>
    <w:rsid w:val="002B35A0"/>
    <w:rsid w:val="002B35CF"/>
    <w:rsid w:val="002B36C8"/>
    <w:rsid w:val="002B3AC1"/>
    <w:rsid w:val="002B405F"/>
    <w:rsid w:val="002B420F"/>
    <w:rsid w:val="002B42AA"/>
    <w:rsid w:val="002B47DE"/>
    <w:rsid w:val="002B490B"/>
    <w:rsid w:val="002B4E59"/>
    <w:rsid w:val="002B54EE"/>
    <w:rsid w:val="002B5547"/>
    <w:rsid w:val="002B55EF"/>
    <w:rsid w:val="002B5BAC"/>
    <w:rsid w:val="002B5BBA"/>
    <w:rsid w:val="002B5C9F"/>
    <w:rsid w:val="002B5DC7"/>
    <w:rsid w:val="002B5E4C"/>
    <w:rsid w:val="002B5ED1"/>
    <w:rsid w:val="002B6006"/>
    <w:rsid w:val="002B6664"/>
    <w:rsid w:val="002B69EF"/>
    <w:rsid w:val="002B74D9"/>
    <w:rsid w:val="002B7AA6"/>
    <w:rsid w:val="002B7B03"/>
    <w:rsid w:val="002C039F"/>
    <w:rsid w:val="002C0CB1"/>
    <w:rsid w:val="002C0E28"/>
    <w:rsid w:val="002C0E8B"/>
    <w:rsid w:val="002C0F32"/>
    <w:rsid w:val="002C0FD3"/>
    <w:rsid w:val="002C105D"/>
    <w:rsid w:val="002C120B"/>
    <w:rsid w:val="002C1287"/>
    <w:rsid w:val="002C1299"/>
    <w:rsid w:val="002C134B"/>
    <w:rsid w:val="002C1BAB"/>
    <w:rsid w:val="002C1D52"/>
    <w:rsid w:val="002C2142"/>
    <w:rsid w:val="002C2160"/>
    <w:rsid w:val="002C222A"/>
    <w:rsid w:val="002C24A6"/>
    <w:rsid w:val="002C25A7"/>
    <w:rsid w:val="002C2F1B"/>
    <w:rsid w:val="002C2F23"/>
    <w:rsid w:val="002C30DD"/>
    <w:rsid w:val="002C32C3"/>
    <w:rsid w:val="002C3386"/>
    <w:rsid w:val="002C35FA"/>
    <w:rsid w:val="002C379D"/>
    <w:rsid w:val="002C3A40"/>
    <w:rsid w:val="002C3B1A"/>
    <w:rsid w:val="002C3C04"/>
    <w:rsid w:val="002C3DDE"/>
    <w:rsid w:val="002C3E36"/>
    <w:rsid w:val="002C3E7D"/>
    <w:rsid w:val="002C4222"/>
    <w:rsid w:val="002C4656"/>
    <w:rsid w:val="002C4E9C"/>
    <w:rsid w:val="002C4EA0"/>
    <w:rsid w:val="002C5382"/>
    <w:rsid w:val="002C5728"/>
    <w:rsid w:val="002C5AF9"/>
    <w:rsid w:val="002C5E1F"/>
    <w:rsid w:val="002C5E35"/>
    <w:rsid w:val="002C6224"/>
    <w:rsid w:val="002C6301"/>
    <w:rsid w:val="002C6311"/>
    <w:rsid w:val="002C63D0"/>
    <w:rsid w:val="002C666B"/>
    <w:rsid w:val="002C66D4"/>
    <w:rsid w:val="002C67BE"/>
    <w:rsid w:val="002C6B37"/>
    <w:rsid w:val="002C6B78"/>
    <w:rsid w:val="002C6D75"/>
    <w:rsid w:val="002C72A0"/>
    <w:rsid w:val="002C72C8"/>
    <w:rsid w:val="002C730B"/>
    <w:rsid w:val="002C7541"/>
    <w:rsid w:val="002C7DB2"/>
    <w:rsid w:val="002C7EE8"/>
    <w:rsid w:val="002D08F6"/>
    <w:rsid w:val="002D0B74"/>
    <w:rsid w:val="002D0C7C"/>
    <w:rsid w:val="002D0CD9"/>
    <w:rsid w:val="002D0DC9"/>
    <w:rsid w:val="002D0FC1"/>
    <w:rsid w:val="002D1025"/>
    <w:rsid w:val="002D1469"/>
    <w:rsid w:val="002D147E"/>
    <w:rsid w:val="002D1CFD"/>
    <w:rsid w:val="002D1E44"/>
    <w:rsid w:val="002D1FD0"/>
    <w:rsid w:val="002D20DB"/>
    <w:rsid w:val="002D2656"/>
    <w:rsid w:val="002D279C"/>
    <w:rsid w:val="002D28D5"/>
    <w:rsid w:val="002D28EA"/>
    <w:rsid w:val="002D2B9A"/>
    <w:rsid w:val="002D2B9F"/>
    <w:rsid w:val="002D3015"/>
    <w:rsid w:val="002D3684"/>
    <w:rsid w:val="002D3923"/>
    <w:rsid w:val="002D3A4E"/>
    <w:rsid w:val="002D3CD3"/>
    <w:rsid w:val="002D3D08"/>
    <w:rsid w:val="002D40E3"/>
    <w:rsid w:val="002D4126"/>
    <w:rsid w:val="002D499A"/>
    <w:rsid w:val="002D4B4B"/>
    <w:rsid w:val="002D4BA1"/>
    <w:rsid w:val="002D5340"/>
    <w:rsid w:val="002D54C8"/>
    <w:rsid w:val="002D5580"/>
    <w:rsid w:val="002D55E1"/>
    <w:rsid w:val="002D575F"/>
    <w:rsid w:val="002D5964"/>
    <w:rsid w:val="002D59C2"/>
    <w:rsid w:val="002D5C5A"/>
    <w:rsid w:val="002D5D0D"/>
    <w:rsid w:val="002D628A"/>
    <w:rsid w:val="002D6329"/>
    <w:rsid w:val="002D6BC2"/>
    <w:rsid w:val="002D6D4E"/>
    <w:rsid w:val="002D740D"/>
    <w:rsid w:val="002D76AF"/>
    <w:rsid w:val="002D7796"/>
    <w:rsid w:val="002D7890"/>
    <w:rsid w:val="002D79C5"/>
    <w:rsid w:val="002D7B14"/>
    <w:rsid w:val="002E04B9"/>
    <w:rsid w:val="002E053A"/>
    <w:rsid w:val="002E0719"/>
    <w:rsid w:val="002E09DF"/>
    <w:rsid w:val="002E0A15"/>
    <w:rsid w:val="002E0AB2"/>
    <w:rsid w:val="002E0DBF"/>
    <w:rsid w:val="002E1815"/>
    <w:rsid w:val="002E1877"/>
    <w:rsid w:val="002E1B26"/>
    <w:rsid w:val="002E2337"/>
    <w:rsid w:val="002E2C64"/>
    <w:rsid w:val="002E36A9"/>
    <w:rsid w:val="002E3B13"/>
    <w:rsid w:val="002E4251"/>
    <w:rsid w:val="002E44BC"/>
    <w:rsid w:val="002E49EA"/>
    <w:rsid w:val="002E4D98"/>
    <w:rsid w:val="002E4F1A"/>
    <w:rsid w:val="002E54C0"/>
    <w:rsid w:val="002E56FB"/>
    <w:rsid w:val="002E6046"/>
    <w:rsid w:val="002E60D5"/>
    <w:rsid w:val="002E6545"/>
    <w:rsid w:val="002E65C9"/>
    <w:rsid w:val="002E65EA"/>
    <w:rsid w:val="002E660C"/>
    <w:rsid w:val="002E67A4"/>
    <w:rsid w:val="002E68B8"/>
    <w:rsid w:val="002E6EF6"/>
    <w:rsid w:val="002E748F"/>
    <w:rsid w:val="002E74CE"/>
    <w:rsid w:val="002E77B4"/>
    <w:rsid w:val="002E78F3"/>
    <w:rsid w:val="002E7ABA"/>
    <w:rsid w:val="002E7B37"/>
    <w:rsid w:val="002E7B82"/>
    <w:rsid w:val="002E7F6D"/>
    <w:rsid w:val="002F0060"/>
    <w:rsid w:val="002F02A0"/>
    <w:rsid w:val="002F03F1"/>
    <w:rsid w:val="002F048A"/>
    <w:rsid w:val="002F080A"/>
    <w:rsid w:val="002F08CA"/>
    <w:rsid w:val="002F0FDE"/>
    <w:rsid w:val="002F10E5"/>
    <w:rsid w:val="002F1259"/>
    <w:rsid w:val="002F156D"/>
    <w:rsid w:val="002F194B"/>
    <w:rsid w:val="002F1A8E"/>
    <w:rsid w:val="002F1B3E"/>
    <w:rsid w:val="002F200A"/>
    <w:rsid w:val="002F2738"/>
    <w:rsid w:val="002F279A"/>
    <w:rsid w:val="002F27AE"/>
    <w:rsid w:val="002F28A1"/>
    <w:rsid w:val="002F2B31"/>
    <w:rsid w:val="002F2E7A"/>
    <w:rsid w:val="002F2FA6"/>
    <w:rsid w:val="002F32D4"/>
    <w:rsid w:val="002F32FA"/>
    <w:rsid w:val="002F35FE"/>
    <w:rsid w:val="002F3B5B"/>
    <w:rsid w:val="002F3DE6"/>
    <w:rsid w:val="002F3E27"/>
    <w:rsid w:val="002F3ED5"/>
    <w:rsid w:val="002F403F"/>
    <w:rsid w:val="002F4172"/>
    <w:rsid w:val="002F4230"/>
    <w:rsid w:val="002F432C"/>
    <w:rsid w:val="002F437C"/>
    <w:rsid w:val="002F4467"/>
    <w:rsid w:val="002F4586"/>
    <w:rsid w:val="002F489A"/>
    <w:rsid w:val="002F4A3A"/>
    <w:rsid w:val="002F4BCE"/>
    <w:rsid w:val="002F51F5"/>
    <w:rsid w:val="002F52AB"/>
    <w:rsid w:val="002F539C"/>
    <w:rsid w:val="002F5428"/>
    <w:rsid w:val="002F55BF"/>
    <w:rsid w:val="002F576F"/>
    <w:rsid w:val="002F59B5"/>
    <w:rsid w:val="002F5D0F"/>
    <w:rsid w:val="002F5D87"/>
    <w:rsid w:val="002F5DEF"/>
    <w:rsid w:val="002F688D"/>
    <w:rsid w:val="002F6FFF"/>
    <w:rsid w:val="002F7021"/>
    <w:rsid w:val="002F7057"/>
    <w:rsid w:val="002F7196"/>
    <w:rsid w:val="002F72F0"/>
    <w:rsid w:val="002F77AA"/>
    <w:rsid w:val="002F77F2"/>
    <w:rsid w:val="002F7BC8"/>
    <w:rsid w:val="002F7C60"/>
    <w:rsid w:val="002F7EF1"/>
    <w:rsid w:val="003001E1"/>
    <w:rsid w:val="00300463"/>
    <w:rsid w:val="0030066A"/>
    <w:rsid w:val="003009E4"/>
    <w:rsid w:val="00300A41"/>
    <w:rsid w:val="00300CD2"/>
    <w:rsid w:val="00300DA8"/>
    <w:rsid w:val="00300E61"/>
    <w:rsid w:val="00300E63"/>
    <w:rsid w:val="00301276"/>
    <w:rsid w:val="00301348"/>
    <w:rsid w:val="00301483"/>
    <w:rsid w:val="0030151B"/>
    <w:rsid w:val="0030156C"/>
    <w:rsid w:val="003017C3"/>
    <w:rsid w:val="00301B60"/>
    <w:rsid w:val="00301FAB"/>
    <w:rsid w:val="0030213B"/>
    <w:rsid w:val="0030230E"/>
    <w:rsid w:val="00302650"/>
    <w:rsid w:val="003027A1"/>
    <w:rsid w:val="003029DB"/>
    <w:rsid w:val="00302B7F"/>
    <w:rsid w:val="00303195"/>
    <w:rsid w:val="0030322A"/>
    <w:rsid w:val="00303258"/>
    <w:rsid w:val="00304048"/>
    <w:rsid w:val="00304327"/>
    <w:rsid w:val="00304500"/>
    <w:rsid w:val="00304AE5"/>
    <w:rsid w:val="00304DCA"/>
    <w:rsid w:val="0030521B"/>
    <w:rsid w:val="00305800"/>
    <w:rsid w:val="00305C5B"/>
    <w:rsid w:val="00305DD7"/>
    <w:rsid w:val="00305E4D"/>
    <w:rsid w:val="00305F0E"/>
    <w:rsid w:val="00306271"/>
    <w:rsid w:val="003062C0"/>
    <w:rsid w:val="00306509"/>
    <w:rsid w:val="0030695B"/>
    <w:rsid w:val="003069EF"/>
    <w:rsid w:val="003070BC"/>
    <w:rsid w:val="00307679"/>
    <w:rsid w:val="00307D5F"/>
    <w:rsid w:val="003102AC"/>
    <w:rsid w:val="0031034B"/>
    <w:rsid w:val="003103DD"/>
    <w:rsid w:val="003104AA"/>
    <w:rsid w:val="00310B8C"/>
    <w:rsid w:val="003112FE"/>
    <w:rsid w:val="003115F0"/>
    <w:rsid w:val="003118C0"/>
    <w:rsid w:val="00311903"/>
    <w:rsid w:val="00311B2A"/>
    <w:rsid w:val="00311E07"/>
    <w:rsid w:val="00312137"/>
    <w:rsid w:val="003121A4"/>
    <w:rsid w:val="0031220E"/>
    <w:rsid w:val="00312290"/>
    <w:rsid w:val="003123ED"/>
    <w:rsid w:val="0031246D"/>
    <w:rsid w:val="00312A60"/>
    <w:rsid w:val="00312B25"/>
    <w:rsid w:val="00312C7B"/>
    <w:rsid w:val="00312D42"/>
    <w:rsid w:val="00312E61"/>
    <w:rsid w:val="00312F0D"/>
    <w:rsid w:val="00313135"/>
    <w:rsid w:val="00313AF2"/>
    <w:rsid w:val="0031427B"/>
    <w:rsid w:val="00314910"/>
    <w:rsid w:val="00314B44"/>
    <w:rsid w:val="00314CA7"/>
    <w:rsid w:val="00315082"/>
    <w:rsid w:val="003155AD"/>
    <w:rsid w:val="00315AD3"/>
    <w:rsid w:val="00315B5C"/>
    <w:rsid w:val="00315BF6"/>
    <w:rsid w:val="00315C8B"/>
    <w:rsid w:val="00315EB9"/>
    <w:rsid w:val="00316421"/>
    <w:rsid w:val="003166F3"/>
    <w:rsid w:val="0031693A"/>
    <w:rsid w:val="00316993"/>
    <w:rsid w:val="003169D1"/>
    <w:rsid w:val="00316EB5"/>
    <w:rsid w:val="00316EF6"/>
    <w:rsid w:val="003174A4"/>
    <w:rsid w:val="00317729"/>
    <w:rsid w:val="003177AF"/>
    <w:rsid w:val="0031790B"/>
    <w:rsid w:val="0031792F"/>
    <w:rsid w:val="00317CF0"/>
    <w:rsid w:val="00317E06"/>
    <w:rsid w:val="00317E81"/>
    <w:rsid w:val="00320509"/>
    <w:rsid w:val="0032076D"/>
    <w:rsid w:val="0032093B"/>
    <w:rsid w:val="00320D77"/>
    <w:rsid w:val="0032104D"/>
    <w:rsid w:val="0032157F"/>
    <w:rsid w:val="003216D8"/>
    <w:rsid w:val="00321AB1"/>
    <w:rsid w:val="00321DD7"/>
    <w:rsid w:val="00322085"/>
    <w:rsid w:val="00322185"/>
    <w:rsid w:val="00322216"/>
    <w:rsid w:val="003224DD"/>
    <w:rsid w:val="003224EB"/>
    <w:rsid w:val="00322A4A"/>
    <w:rsid w:val="00322BB1"/>
    <w:rsid w:val="00322C31"/>
    <w:rsid w:val="00322D0C"/>
    <w:rsid w:val="00322D3E"/>
    <w:rsid w:val="00323325"/>
    <w:rsid w:val="003233AC"/>
    <w:rsid w:val="0032360F"/>
    <w:rsid w:val="00323610"/>
    <w:rsid w:val="003236D1"/>
    <w:rsid w:val="0032379F"/>
    <w:rsid w:val="003237F5"/>
    <w:rsid w:val="00324012"/>
    <w:rsid w:val="00324442"/>
    <w:rsid w:val="00324499"/>
    <w:rsid w:val="003246FB"/>
    <w:rsid w:val="0032499E"/>
    <w:rsid w:val="00324BE5"/>
    <w:rsid w:val="00324C6E"/>
    <w:rsid w:val="00324DBC"/>
    <w:rsid w:val="00324DD2"/>
    <w:rsid w:val="003250CB"/>
    <w:rsid w:val="003251D2"/>
    <w:rsid w:val="0032540D"/>
    <w:rsid w:val="0032546E"/>
    <w:rsid w:val="00325475"/>
    <w:rsid w:val="003255ED"/>
    <w:rsid w:val="0032560D"/>
    <w:rsid w:val="003257C0"/>
    <w:rsid w:val="00325ADA"/>
    <w:rsid w:val="003260E7"/>
    <w:rsid w:val="003262B7"/>
    <w:rsid w:val="00326696"/>
    <w:rsid w:val="003266A4"/>
    <w:rsid w:val="003266B6"/>
    <w:rsid w:val="0032674B"/>
    <w:rsid w:val="00326AA4"/>
    <w:rsid w:val="00326B34"/>
    <w:rsid w:val="00326B5D"/>
    <w:rsid w:val="003270B6"/>
    <w:rsid w:val="00327406"/>
    <w:rsid w:val="003275E3"/>
    <w:rsid w:val="0032774C"/>
    <w:rsid w:val="00330082"/>
    <w:rsid w:val="003302D9"/>
    <w:rsid w:val="00330359"/>
    <w:rsid w:val="003304B8"/>
    <w:rsid w:val="00330824"/>
    <w:rsid w:val="00330920"/>
    <w:rsid w:val="00330BF5"/>
    <w:rsid w:val="003311EC"/>
    <w:rsid w:val="0033152D"/>
    <w:rsid w:val="00331C71"/>
    <w:rsid w:val="00331D09"/>
    <w:rsid w:val="00331D29"/>
    <w:rsid w:val="00332029"/>
    <w:rsid w:val="00332125"/>
    <w:rsid w:val="00332424"/>
    <w:rsid w:val="003326E0"/>
    <w:rsid w:val="00332797"/>
    <w:rsid w:val="0033283B"/>
    <w:rsid w:val="00332CA7"/>
    <w:rsid w:val="00332CD7"/>
    <w:rsid w:val="00333185"/>
    <w:rsid w:val="00333385"/>
    <w:rsid w:val="00333428"/>
    <w:rsid w:val="00333504"/>
    <w:rsid w:val="0033381B"/>
    <w:rsid w:val="00333A48"/>
    <w:rsid w:val="00333DFE"/>
    <w:rsid w:val="0033415B"/>
    <w:rsid w:val="00334454"/>
    <w:rsid w:val="0033464E"/>
    <w:rsid w:val="00334657"/>
    <w:rsid w:val="003346E5"/>
    <w:rsid w:val="003347AB"/>
    <w:rsid w:val="003348B8"/>
    <w:rsid w:val="00334C04"/>
    <w:rsid w:val="00334CC4"/>
    <w:rsid w:val="00334EFE"/>
    <w:rsid w:val="00335064"/>
    <w:rsid w:val="003353A1"/>
    <w:rsid w:val="003357BF"/>
    <w:rsid w:val="00335A2F"/>
    <w:rsid w:val="00336071"/>
    <w:rsid w:val="003362C0"/>
    <w:rsid w:val="003367E0"/>
    <w:rsid w:val="003368B1"/>
    <w:rsid w:val="003369A3"/>
    <w:rsid w:val="00336B27"/>
    <w:rsid w:val="00337017"/>
    <w:rsid w:val="0033705F"/>
    <w:rsid w:val="0033762F"/>
    <w:rsid w:val="00337AAD"/>
    <w:rsid w:val="00337B04"/>
    <w:rsid w:val="00337BD3"/>
    <w:rsid w:val="00337E61"/>
    <w:rsid w:val="00337F25"/>
    <w:rsid w:val="00337F2D"/>
    <w:rsid w:val="003400A2"/>
    <w:rsid w:val="00340374"/>
    <w:rsid w:val="003403BA"/>
    <w:rsid w:val="003407B8"/>
    <w:rsid w:val="003409DF"/>
    <w:rsid w:val="00340D84"/>
    <w:rsid w:val="00340E6C"/>
    <w:rsid w:val="00340FD0"/>
    <w:rsid w:val="00341597"/>
    <w:rsid w:val="00341A05"/>
    <w:rsid w:val="00341BEE"/>
    <w:rsid w:val="00341D4C"/>
    <w:rsid w:val="00341DB6"/>
    <w:rsid w:val="00341DF5"/>
    <w:rsid w:val="0034246A"/>
    <w:rsid w:val="00342490"/>
    <w:rsid w:val="003424A2"/>
    <w:rsid w:val="003427FC"/>
    <w:rsid w:val="00342846"/>
    <w:rsid w:val="00342BDA"/>
    <w:rsid w:val="00342CB3"/>
    <w:rsid w:val="00342CC2"/>
    <w:rsid w:val="00342DE6"/>
    <w:rsid w:val="00342EA4"/>
    <w:rsid w:val="00343814"/>
    <w:rsid w:val="003438BD"/>
    <w:rsid w:val="00343D7E"/>
    <w:rsid w:val="00343D8A"/>
    <w:rsid w:val="00343DBD"/>
    <w:rsid w:val="00344260"/>
    <w:rsid w:val="0034432C"/>
    <w:rsid w:val="00344D6C"/>
    <w:rsid w:val="00344EFE"/>
    <w:rsid w:val="003453A8"/>
    <w:rsid w:val="00345600"/>
    <w:rsid w:val="00345D16"/>
    <w:rsid w:val="00345E20"/>
    <w:rsid w:val="00345FDE"/>
    <w:rsid w:val="00346720"/>
    <w:rsid w:val="003469E7"/>
    <w:rsid w:val="00346B3B"/>
    <w:rsid w:val="00346C93"/>
    <w:rsid w:val="00346D8D"/>
    <w:rsid w:val="00346ECE"/>
    <w:rsid w:val="003470E0"/>
    <w:rsid w:val="0034764E"/>
    <w:rsid w:val="003476C1"/>
    <w:rsid w:val="00347752"/>
    <w:rsid w:val="00347845"/>
    <w:rsid w:val="00347B52"/>
    <w:rsid w:val="00347CEF"/>
    <w:rsid w:val="00347E6E"/>
    <w:rsid w:val="00350228"/>
    <w:rsid w:val="00350340"/>
    <w:rsid w:val="0035043D"/>
    <w:rsid w:val="003505FB"/>
    <w:rsid w:val="003506E3"/>
    <w:rsid w:val="00350A97"/>
    <w:rsid w:val="00350C5F"/>
    <w:rsid w:val="00350FBF"/>
    <w:rsid w:val="003511D0"/>
    <w:rsid w:val="003511DD"/>
    <w:rsid w:val="0035185E"/>
    <w:rsid w:val="00351964"/>
    <w:rsid w:val="0035199A"/>
    <w:rsid w:val="00351C22"/>
    <w:rsid w:val="00352125"/>
    <w:rsid w:val="003529AF"/>
    <w:rsid w:val="003529E0"/>
    <w:rsid w:val="00353041"/>
    <w:rsid w:val="00353258"/>
    <w:rsid w:val="0035360F"/>
    <w:rsid w:val="003539E8"/>
    <w:rsid w:val="00353A40"/>
    <w:rsid w:val="00353A81"/>
    <w:rsid w:val="00353C2D"/>
    <w:rsid w:val="00353F16"/>
    <w:rsid w:val="00353F88"/>
    <w:rsid w:val="00354310"/>
    <w:rsid w:val="003544DF"/>
    <w:rsid w:val="00354A9A"/>
    <w:rsid w:val="00354BCB"/>
    <w:rsid w:val="00354D93"/>
    <w:rsid w:val="00354DF4"/>
    <w:rsid w:val="003550AE"/>
    <w:rsid w:val="003551F6"/>
    <w:rsid w:val="00355383"/>
    <w:rsid w:val="003553A2"/>
    <w:rsid w:val="00355482"/>
    <w:rsid w:val="00355BF5"/>
    <w:rsid w:val="00355CC6"/>
    <w:rsid w:val="00355FC9"/>
    <w:rsid w:val="003560B2"/>
    <w:rsid w:val="0035624E"/>
    <w:rsid w:val="00356A21"/>
    <w:rsid w:val="00356AF7"/>
    <w:rsid w:val="00357249"/>
    <w:rsid w:val="0035766C"/>
    <w:rsid w:val="003576A1"/>
    <w:rsid w:val="0035798D"/>
    <w:rsid w:val="00357A83"/>
    <w:rsid w:val="00357F35"/>
    <w:rsid w:val="00357F91"/>
    <w:rsid w:val="00360348"/>
    <w:rsid w:val="00360694"/>
    <w:rsid w:val="00360783"/>
    <w:rsid w:val="00360951"/>
    <w:rsid w:val="00360AE1"/>
    <w:rsid w:val="00360B21"/>
    <w:rsid w:val="00361116"/>
    <w:rsid w:val="003615DA"/>
    <w:rsid w:val="00361A46"/>
    <w:rsid w:val="00361AF6"/>
    <w:rsid w:val="00361AFB"/>
    <w:rsid w:val="00361CB0"/>
    <w:rsid w:val="0036227F"/>
    <w:rsid w:val="003626BE"/>
    <w:rsid w:val="0036276C"/>
    <w:rsid w:val="00362774"/>
    <w:rsid w:val="00362955"/>
    <w:rsid w:val="00362B63"/>
    <w:rsid w:val="00363625"/>
    <w:rsid w:val="003639ED"/>
    <w:rsid w:val="00363BC2"/>
    <w:rsid w:val="003641DA"/>
    <w:rsid w:val="0036468F"/>
    <w:rsid w:val="00364982"/>
    <w:rsid w:val="003649A2"/>
    <w:rsid w:val="00364C67"/>
    <w:rsid w:val="00364D09"/>
    <w:rsid w:val="0036581E"/>
    <w:rsid w:val="003658D5"/>
    <w:rsid w:val="003658E5"/>
    <w:rsid w:val="00365913"/>
    <w:rsid w:val="00365FEE"/>
    <w:rsid w:val="00366000"/>
    <w:rsid w:val="00366148"/>
    <w:rsid w:val="003661A3"/>
    <w:rsid w:val="003668B7"/>
    <w:rsid w:val="00366AA7"/>
    <w:rsid w:val="00366BF7"/>
    <w:rsid w:val="00366C7E"/>
    <w:rsid w:val="00366D8D"/>
    <w:rsid w:val="00366E91"/>
    <w:rsid w:val="003671DC"/>
    <w:rsid w:val="0036747A"/>
    <w:rsid w:val="00367577"/>
    <w:rsid w:val="0036767C"/>
    <w:rsid w:val="00367745"/>
    <w:rsid w:val="00367765"/>
    <w:rsid w:val="003678FA"/>
    <w:rsid w:val="00367A16"/>
    <w:rsid w:val="00367A27"/>
    <w:rsid w:val="003705D6"/>
    <w:rsid w:val="003708AC"/>
    <w:rsid w:val="00370B08"/>
    <w:rsid w:val="00370C0E"/>
    <w:rsid w:val="00371AD5"/>
    <w:rsid w:val="00371C2E"/>
    <w:rsid w:val="00371D19"/>
    <w:rsid w:val="00372935"/>
    <w:rsid w:val="00372FD3"/>
    <w:rsid w:val="003731A3"/>
    <w:rsid w:val="0037379C"/>
    <w:rsid w:val="00373961"/>
    <w:rsid w:val="00373ACE"/>
    <w:rsid w:val="003743F0"/>
    <w:rsid w:val="00374552"/>
    <w:rsid w:val="003745D3"/>
    <w:rsid w:val="00374AB1"/>
    <w:rsid w:val="00375015"/>
    <w:rsid w:val="003753CE"/>
    <w:rsid w:val="003755D7"/>
    <w:rsid w:val="003756BC"/>
    <w:rsid w:val="003756D8"/>
    <w:rsid w:val="0037574F"/>
    <w:rsid w:val="00375838"/>
    <w:rsid w:val="003758B4"/>
    <w:rsid w:val="0037594D"/>
    <w:rsid w:val="00375AAC"/>
    <w:rsid w:val="00375BC5"/>
    <w:rsid w:val="00376325"/>
    <w:rsid w:val="0037655E"/>
    <w:rsid w:val="003767D3"/>
    <w:rsid w:val="00376854"/>
    <w:rsid w:val="00376CC1"/>
    <w:rsid w:val="00376CDD"/>
    <w:rsid w:val="00376D90"/>
    <w:rsid w:val="0037748E"/>
    <w:rsid w:val="003775B0"/>
    <w:rsid w:val="00377A56"/>
    <w:rsid w:val="00377AC6"/>
    <w:rsid w:val="00377ADC"/>
    <w:rsid w:val="003802D0"/>
    <w:rsid w:val="003808B9"/>
    <w:rsid w:val="00380F5A"/>
    <w:rsid w:val="00381108"/>
    <w:rsid w:val="003813B8"/>
    <w:rsid w:val="0038157B"/>
    <w:rsid w:val="00381652"/>
    <w:rsid w:val="003816A8"/>
    <w:rsid w:val="00381DAB"/>
    <w:rsid w:val="003823AE"/>
    <w:rsid w:val="003825CA"/>
    <w:rsid w:val="00382973"/>
    <w:rsid w:val="00382E1E"/>
    <w:rsid w:val="00383469"/>
    <w:rsid w:val="00383DFC"/>
    <w:rsid w:val="0038418E"/>
    <w:rsid w:val="003841B8"/>
    <w:rsid w:val="0038457A"/>
    <w:rsid w:val="0038484D"/>
    <w:rsid w:val="0038495F"/>
    <w:rsid w:val="00384E9B"/>
    <w:rsid w:val="00384EA3"/>
    <w:rsid w:val="00385017"/>
    <w:rsid w:val="003855D8"/>
    <w:rsid w:val="00385A2C"/>
    <w:rsid w:val="00385C46"/>
    <w:rsid w:val="003863D3"/>
    <w:rsid w:val="00386598"/>
    <w:rsid w:val="00386D11"/>
    <w:rsid w:val="00386EE9"/>
    <w:rsid w:val="003872E2"/>
    <w:rsid w:val="00387699"/>
    <w:rsid w:val="00387714"/>
    <w:rsid w:val="003877B3"/>
    <w:rsid w:val="00387B20"/>
    <w:rsid w:val="00387C78"/>
    <w:rsid w:val="00390084"/>
    <w:rsid w:val="003901AB"/>
    <w:rsid w:val="003906F5"/>
    <w:rsid w:val="00390D92"/>
    <w:rsid w:val="00391069"/>
    <w:rsid w:val="003910F1"/>
    <w:rsid w:val="00391347"/>
    <w:rsid w:val="00391474"/>
    <w:rsid w:val="00391848"/>
    <w:rsid w:val="00391CB7"/>
    <w:rsid w:val="00392029"/>
    <w:rsid w:val="003925B4"/>
    <w:rsid w:val="0039296D"/>
    <w:rsid w:val="0039298C"/>
    <w:rsid w:val="0039298D"/>
    <w:rsid w:val="00392AA8"/>
    <w:rsid w:val="00392BF2"/>
    <w:rsid w:val="0039382C"/>
    <w:rsid w:val="00393A22"/>
    <w:rsid w:val="00393A46"/>
    <w:rsid w:val="00393B79"/>
    <w:rsid w:val="00394029"/>
    <w:rsid w:val="003940FB"/>
    <w:rsid w:val="00394E04"/>
    <w:rsid w:val="00395080"/>
    <w:rsid w:val="0039513D"/>
    <w:rsid w:val="00395286"/>
    <w:rsid w:val="003952EC"/>
    <w:rsid w:val="00395587"/>
    <w:rsid w:val="00396178"/>
    <w:rsid w:val="003961F5"/>
    <w:rsid w:val="00396313"/>
    <w:rsid w:val="00396451"/>
    <w:rsid w:val="003964C3"/>
    <w:rsid w:val="00396614"/>
    <w:rsid w:val="00396738"/>
    <w:rsid w:val="00396CC3"/>
    <w:rsid w:val="00396E76"/>
    <w:rsid w:val="00396EB6"/>
    <w:rsid w:val="0039709E"/>
    <w:rsid w:val="00397324"/>
    <w:rsid w:val="003974FD"/>
    <w:rsid w:val="003975E8"/>
    <w:rsid w:val="00397616"/>
    <w:rsid w:val="00397842"/>
    <w:rsid w:val="003A0078"/>
    <w:rsid w:val="003A00D0"/>
    <w:rsid w:val="003A02D2"/>
    <w:rsid w:val="003A0362"/>
    <w:rsid w:val="003A0811"/>
    <w:rsid w:val="003A0910"/>
    <w:rsid w:val="003A0F85"/>
    <w:rsid w:val="003A12E3"/>
    <w:rsid w:val="003A15D9"/>
    <w:rsid w:val="003A17DC"/>
    <w:rsid w:val="003A1836"/>
    <w:rsid w:val="003A1CDD"/>
    <w:rsid w:val="003A1D74"/>
    <w:rsid w:val="003A1EB1"/>
    <w:rsid w:val="003A2048"/>
    <w:rsid w:val="003A21EB"/>
    <w:rsid w:val="003A25C4"/>
    <w:rsid w:val="003A286B"/>
    <w:rsid w:val="003A30F2"/>
    <w:rsid w:val="003A345C"/>
    <w:rsid w:val="003A36A6"/>
    <w:rsid w:val="003A3873"/>
    <w:rsid w:val="003A39A1"/>
    <w:rsid w:val="003A3A49"/>
    <w:rsid w:val="003A3AB0"/>
    <w:rsid w:val="003A3B19"/>
    <w:rsid w:val="003A3C1A"/>
    <w:rsid w:val="003A3D99"/>
    <w:rsid w:val="003A3E80"/>
    <w:rsid w:val="003A3FAB"/>
    <w:rsid w:val="003A4023"/>
    <w:rsid w:val="003A406E"/>
    <w:rsid w:val="003A4098"/>
    <w:rsid w:val="003A4302"/>
    <w:rsid w:val="003A46CC"/>
    <w:rsid w:val="003A4928"/>
    <w:rsid w:val="003A4B22"/>
    <w:rsid w:val="003A4C65"/>
    <w:rsid w:val="003A5125"/>
    <w:rsid w:val="003A52C6"/>
    <w:rsid w:val="003A534B"/>
    <w:rsid w:val="003A5389"/>
    <w:rsid w:val="003A5426"/>
    <w:rsid w:val="003A5942"/>
    <w:rsid w:val="003A5985"/>
    <w:rsid w:val="003A59DD"/>
    <w:rsid w:val="003A5AD2"/>
    <w:rsid w:val="003A5B93"/>
    <w:rsid w:val="003A5E27"/>
    <w:rsid w:val="003A64A0"/>
    <w:rsid w:val="003A64A3"/>
    <w:rsid w:val="003A6699"/>
    <w:rsid w:val="003A66FC"/>
    <w:rsid w:val="003A673E"/>
    <w:rsid w:val="003A68CE"/>
    <w:rsid w:val="003A6D0B"/>
    <w:rsid w:val="003A6F34"/>
    <w:rsid w:val="003A7330"/>
    <w:rsid w:val="003A7532"/>
    <w:rsid w:val="003A764F"/>
    <w:rsid w:val="003A7A7A"/>
    <w:rsid w:val="003A7B83"/>
    <w:rsid w:val="003A7EAD"/>
    <w:rsid w:val="003B0031"/>
    <w:rsid w:val="003B00F1"/>
    <w:rsid w:val="003B0CD0"/>
    <w:rsid w:val="003B0FC9"/>
    <w:rsid w:val="003B122A"/>
    <w:rsid w:val="003B12F0"/>
    <w:rsid w:val="003B15D1"/>
    <w:rsid w:val="003B16FA"/>
    <w:rsid w:val="003B17DA"/>
    <w:rsid w:val="003B195E"/>
    <w:rsid w:val="003B1A90"/>
    <w:rsid w:val="003B211C"/>
    <w:rsid w:val="003B2647"/>
    <w:rsid w:val="003B2ED0"/>
    <w:rsid w:val="003B3A30"/>
    <w:rsid w:val="003B4184"/>
    <w:rsid w:val="003B4261"/>
    <w:rsid w:val="003B434B"/>
    <w:rsid w:val="003B478D"/>
    <w:rsid w:val="003B4941"/>
    <w:rsid w:val="003B4C59"/>
    <w:rsid w:val="003B5079"/>
    <w:rsid w:val="003B527D"/>
    <w:rsid w:val="003B55DA"/>
    <w:rsid w:val="003B572F"/>
    <w:rsid w:val="003B5A1D"/>
    <w:rsid w:val="003B5CBF"/>
    <w:rsid w:val="003B605F"/>
    <w:rsid w:val="003B6177"/>
    <w:rsid w:val="003B6462"/>
    <w:rsid w:val="003B682C"/>
    <w:rsid w:val="003B6843"/>
    <w:rsid w:val="003B6BE9"/>
    <w:rsid w:val="003B707D"/>
    <w:rsid w:val="003B70B6"/>
    <w:rsid w:val="003B719E"/>
    <w:rsid w:val="003B71E1"/>
    <w:rsid w:val="003B7245"/>
    <w:rsid w:val="003B72F2"/>
    <w:rsid w:val="003B7344"/>
    <w:rsid w:val="003B73BE"/>
    <w:rsid w:val="003B74DA"/>
    <w:rsid w:val="003B77A3"/>
    <w:rsid w:val="003B79C0"/>
    <w:rsid w:val="003B7B19"/>
    <w:rsid w:val="003B7DFD"/>
    <w:rsid w:val="003B7FFA"/>
    <w:rsid w:val="003C01F5"/>
    <w:rsid w:val="003C055D"/>
    <w:rsid w:val="003C07CA"/>
    <w:rsid w:val="003C084B"/>
    <w:rsid w:val="003C0CCB"/>
    <w:rsid w:val="003C0CDA"/>
    <w:rsid w:val="003C1006"/>
    <w:rsid w:val="003C1190"/>
    <w:rsid w:val="003C14D5"/>
    <w:rsid w:val="003C14DA"/>
    <w:rsid w:val="003C15E5"/>
    <w:rsid w:val="003C1887"/>
    <w:rsid w:val="003C1D31"/>
    <w:rsid w:val="003C1E0D"/>
    <w:rsid w:val="003C1ECF"/>
    <w:rsid w:val="003C2127"/>
    <w:rsid w:val="003C2191"/>
    <w:rsid w:val="003C2703"/>
    <w:rsid w:val="003C2D30"/>
    <w:rsid w:val="003C31BC"/>
    <w:rsid w:val="003C31C5"/>
    <w:rsid w:val="003C330B"/>
    <w:rsid w:val="003C35F7"/>
    <w:rsid w:val="003C3874"/>
    <w:rsid w:val="003C38A0"/>
    <w:rsid w:val="003C3C13"/>
    <w:rsid w:val="003C3F84"/>
    <w:rsid w:val="003C4033"/>
    <w:rsid w:val="003C41B4"/>
    <w:rsid w:val="003C4225"/>
    <w:rsid w:val="003C4328"/>
    <w:rsid w:val="003C4353"/>
    <w:rsid w:val="003C4499"/>
    <w:rsid w:val="003C44BA"/>
    <w:rsid w:val="003C450D"/>
    <w:rsid w:val="003C4C6B"/>
    <w:rsid w:val="003C4C8B"/>
    <w:rsid w:val="003C4D3A"/>
    <w:rsid w:val="003C4E59"/>
    <w:rsid w:val="003C5702"/>
    <w:rsid w:val="003C576E"/>
    <w:rsid w:val="003C5A25"/>
    <w:rsid w:val="003C5C55"/>
    <w:rsid w:val="003C61E9"/>
    <w:rsid w:val="003C623A"/>
    <w:rsid w:val="003C6497"/>
    <w:rsid w:val="003C6D84"/>
    <w:rsid w:val="003C6E08"/>
    <w:rsid w:val="003C6EA5"/>
    <w:rsid w:val="003C74A7"/>
    <w:rsid w:val="003C76BA"/>
    <w:rsid w:val="003C7973"/>
    <w:rsid w:val="003C7BB0"/>
    <w:rsid w:val="003C7E3E"/>
    <w:rsid w:val="003C7F58"/>
    <w:rsid w:val="003C7FEC"/>
    <w:rsid w:val="003C7FF9"/>
    <w:rsid w:val="003D0054"/>
    <w:rsid w:val="003D0486"/>
    <w:rsid w:val="003D0B4D"/>
    <w:rsid w:val="003D0D33"/>
    <w:rsid w:val="003D0FBC"/>
    <w:rsid w:val="003D1834"/>
    <w:rsid w:val="003D18CA"/>
    <w:rsid w:val="003D1C0A"/>
    <w:rsid w:val="003D1CD7"/>
    <w:rsid w:val="003D1D3E"/>
    <w:rsid w:val="003D1E93"/>
    <w:rsid w:val="003D1E99"/>
    <w:rsid w:val="003D2077"/>
    <w:rsid w:val="003D209A"/>
    <w:rsid w:val="003D228C"/>
    <w:rsid w:val="003D228D"/>
    <w:rsid w:val="003D27FF"/>
    <w:rsid w:val="003D2EA5"/>
    <w:rsid w:val="003D329C"/>
    <w:rsid w:val="003D3431"/>
    <w:rsid w:val="003D3499"/>
    <w:rsid w:val="003D34AA"/>
    <w:rsid w:val="003D35F5"/>
    <w:rsid w:val="003D3831"/>
    <w:rsid w:val="003D3853"/>
    <w:rsid w:val="003D3863"/>
    <w:rsid w:val="003D3C14"/>
    <w:rsid w:val="003D3D23"/>
    <w:rsid w:val="003D436C"/>
    <w:rsid w:val="003D4834"/>
    <w:rsid w:val="003D4BE1"/>
    <w:rsid w:val="003D4BE9"/>
    <w:rsid w:val="003D550F"/>
    <w:rsid w:val="003D5B6B"/>
    <w:rsid w:val="003D5F58"/>
    <w:rsid w:val="003D60D0"/>
    <w:rsid w:val="003D622C"/>
    <w:rsid w:val="003D62BB"/>
    <w:rsid w:val="003D6431"/>
    <w:rsid w:val="003D671F"/>
    <w:rsid w:val="003D6753"/>
    <w:rsid w:val="003D6996"/>
    <w:rsid w:val="003D729D"/>
    <w:rsid w:val="003D7AAB"/>
    <w:rsid w:val="003D7BBC"/>
    <w:rsid w:val="003D7D2C"/>
    <w:rsid w:val="003D7FC0"/>
    <w:rsid w:val="003E07B7"/>
    <w:rsid w:val="003E0AF5"/>
    <w:rsid w:val="003E0C04"/>
    <w:rsid w:val="003E0CFF"/>
    <w:rsid w:val="003E0D3A"/>
    <w:rsid w:val="003E123C"/>
    <w:rsid w:val="003E129E"/>
    <w:rsid w:val="003E174B"/>
    <w:rsid w:val="003E17C9"/>
    <w:rsid w:val="003E190A"/>
    <w:rsid w:val="003E1DAF"/>
    <w:rsid w:val="003E2163"/>
    <w:rsid w:val="003E2271"/>
    <w:rsid w:val="003E25BC"/>
    <w:rsid w:val="003E3070"/>
    <w:rsid w:val="003E316B"/>
    <w:rsid w:val="003E31D5"/>
    <w:rsid w:val="003E3815"/>
    <w:rsid w:val="003E3C2C"/>
    <w:rsid w:val="003E3EC0"/>
    <w:rsid w:val="003E3F23"/>
    <w:rsid w:val="003E4306"/>
    <w:rsid w:val="003E4647"/>
    <w:rsid w:val="003E46C6"/>
    <w:rsid w:val="003E4852"/>
    <w:rsid w:val="003E49C2"/>
    <w:rsid w:val="003E509A"/>
    <w:rsid w:val="003E5846"/>
    <w:rsid w:val="003E5943"/>
    <w:rsid w:val="003E5A1E"/>
    <w:rsid w:val="003E5AC1"/>
    <w:rsid w:val="003E5E65"/>
    <w:rsid w:val="003E68D5"/>
    <w:rsid w:val="003E6BB5"/>
    <w:rsid w:val="003E6C1E"/>
    <w:rsid w:val="003E6E49"/>
    <w:rsid w:val="003E71D4"/>
    <w:rsid w:val="003E754E"/>
    <w:rsid w:val="003E75BA"/>
    <w:rsid w:val="003E7A1A"/>
    <w:rsid w:val="003F021E"/>
    <w:rsid w:val="003F0227"/>
    <w:rsid w:val="003F0383"/>
    <w:rsid w:val="003F03C7"/>
    <w:rsid w:val="003F05A9"/>
    <w:rsid w:val="003F0676"/>
    <w:rsid w:val="003F069F"/>
    <w:rsid w:val="003F06EF"/>
    <w:rsid w:val="003F0A7B"/>
    <w:rsid w:val="003F0C34"/>
    <w:rsid w:val="003F0DFA"/>
    <w:rsid w:val="003F0EED"/>
    <w:rsid w:val="003F11E0"/>
    <w:rsid w:val="003F16A3"/>
    <w:rsid w:val="003F1739"/>
    <w:rsid w:val="003F193D"/>
    <w:rsid w:val="003F1E26"/>
    <w:rsid w:val="003F27AB"/>
    <w:rsid w:val="003F2B4A"/>
    <w:rsid w:val="003F2CB1"/>
    <w:rsid w:val="003F2CE9"/>
    <w:rsid w:val="003F3371"/>
    <w:rsid w:val="003F346C"/>
    <w:rsid w:val="003F36C6"/>
    <w:rsid w:val="003F36CA"/>
    <w:rsid w:val="003F3846"/>
    <w:rsid w:val="003F38D2"/>
    <w:rsid w:val="003F39BE"/>
    <w:rsid w:val="003F3C73"/>
    <w:rsid w:val="003F3E5B"/>
    <w:rsid w:val="003F4285"/>
    <w:rsid w:val="003F4827"/>
    <w:rsid w:val="003F4885"/>
    <w:rsid w:val="003F4D29"/>
    <w:rsid w:val="003F4DE4"/>
    <w:rsid w:val="003F5065"/>
    <w:rsid w:val="003F524C"/>
    <w:rsid w:val="003F5373"/>
    <w:rsid w:val="003F5439"/>
    <w:rsid w:val="003F5497"/>
    <w:rsid w:val="003F54EF"/>
    <w:rsid w:val="003F557D"/>
    <w:rsid w:val="003F5B03"/>
    <w:rsid w:val="003F5B3A"/>
    <w:rsid w:val="003F5BE4"/>
    <w:rsid w:val="003F5D28"/>
    <w:rsid w:val="003F5D8F"/>
    <w:rsid w:val="003F6162"/>
    <w:rsid w:val="003F66BA"/>
    <w:rsid w:val="003F692F"/>
    <w:rsid w:val="003F6A5E"/>
    <w:rsid w:val="003F6D11"/>
    <w:rsid w:val="003F6FA8"/>
    <w:rsid w:val="003F70A6"/>
    <w:rsid w:val="003F718A"/>
    <w:rsid w:val="003F759D"/>
    <w:rsid w:val="003F75F4"/>
    <w:rsid w:val="003F770F"/>
    <w:rsid w:val="003F773A"/>
    <w:rsid w:val="003F77C4"/>
    <w:rsid w:val="003F7AEC"/>
    <w:rsid w:val="003F7BF4"/>
    <w:rsid w:val="003F7CE7"/>
    <w:rsid w:val="003F7D79"/>
    <w:rsid w:val="003F7DCB"/>
    <w:rsid w:val="004001DE"/>
    <w:rsid w:val="004003E5"/>
    <w:rsid w:val="00400507"/>
    <w:rsid w:val="004005B2"/>
    <w:rsid w:val="0040079F"/>
    <w:rsid w:val="004008EA"/>
    <w:rsid w:val="0040157F"/>
    <w:rsid w:val="004018EF"/>
    <w:rsid w:val="00401A30"/>
    <w:rsid w:val="00401DE8"/>
    <w:rsid w:val="00401F4E"/>
    <w:rsid w:val="00402111"/>
    <w:rsid w:val="0040228C"/>
    <w:rsid w:val="004027EB"/>
    <w:rsid w:val="004027F1"/>
    <w:rsid w:val="00402846"/>
    <w:rsid w:val="004028CE"/>
    <w:rsid w:val="00402B4A"/>
    <w:rsid w:val="00402D19"/>
    <w:rsid w:val="004031F7"/>
    <w:rsid w:val="004038B4"/>
    <w:rsid w:val="00403CFD"/>
    <w:rsid w:val="00403F9C"/>
    <w:rsid w:val="00404039"/>
    <w:rsid w:val="004042BF"/>
    <w:rsid w:val="004046C2"/>
    <w:rsid w:val="0040482B"/>
    <w:rsid w:val="004049C3"/>
    <w:rsid w:val="00404A8D"/>
    <w:rsid w:val="00404D15"/>
    <w:rsid w:val="00404E88"/>
    <w:rsid w:val="004050E0"/>
    <w:rsid w:val="0040545D"/>
    <w:rsid w:val="00405516"/>
    <w:rsid w:val="004055E9"/>
    <w:rsid w:val="00405C88"/>
    <w:rsid w:val="004060F4"/>
    <w:rsid w:val="004061CC"/>
    <w:rsid w:val="00406469"/>
    <w:rsid w:val="00406594"/>
    <w:rsid w:val="0040664A"/>
    <w:rsid w:val="004068B3"/>
    <w:rsid w:val="00406F6B"/>
    <w:rsid w:val="004076B9"/>
    <w:rsid w:val="00407BBA"/>
    <w:rsid w:val="00407C78"/>
    <w:rsid w:val="0041011C"/>
    <w:rsid w:val="00410679"/>
    <w:rsid w:val="00410A5A"/>
    <w:rsid w:val="00410AB2"/>
    <w:rsid w:val="00410B4B"/>
    <w:rsid w:val="00410BD4"/>
    <w:rsid w:val="00410C8E"/>
    <w:rsid w:val="00410D43"/>
    <w:rsid w:val="004110DE"/>
    <w:rsid w:val="004113D6"/>
    <w:rsid w:val="004115C0"/>
    <w:rsid w:val="004116BF"/>
    <w:rsid w:val="004116C3"/>
    <w:rsid w:val="004117C8"/>
    <w:rsid w:val="00411CC5"/>
    <w:rsid w:val="00411FA9"/>
    <w:rsid w:val="00412034"/>
    <w:rsid w:val="00412339"/>
    <w:rsid w:val="0041257A"/>
    <w:rsid w:val="00412A02"/>
    <w:rsid w:val="0041325F"/>
    <w:rsid w:val="00413298"/>
    <w:rsid w:val="004132B1"/>
    <w:rsid w:val="00413573"/>
    <w:rsid w:val="004137AE"/>
    <w:rsid w:val="0041381B"/>
    <w:rsid w:val="00413CDD"/>
    <w:rsid w:val="00413D5B"/>
    <w:rsid w:val="00413EFE"/>
    <w:rsid w:val="0041465B"/>
    <w:rsid w:val="00414BA6"/>
    <w:rsid w:val="00414BC7"/>
    <w:rsid w:val="0041528B"/>
    <w:rsid w:val="004156DC"/>
    <w:rsid w:val="00415AA6"/>
    <w:rsid w:val="00415C3A"/>
    <w:rsid w:val="00416126"/>
    <w:rsid w:val="0041612C"/>
    <w:rsid w:val="004161A1"/>
    <w:rsid w:val="004161AC"/>
    <w:rsid w:val="004165BA"/>
    <w:rsid w:val="004169A8"/>
    <w:rsid w:val="00416BDB"/>
    <w:rsid w:val="00416C08"/>
    <w:rsid w:val="00416C7A"/>
    <w:rsid w:val="00417228"/>
    <w:rsid w:val="0041772B"/>
    <w:rsid w:val="00417747"/>
    <w:rsid w:val="00417BB2"/>
    <w:rsid w:val="00417C52"/>
    <w:rsid w:val="00417CCE"/>
    <w:rsid w:val="00417E4B"/>
    <w:rsid w:val="004201E9"/>
    <w:rsid w:val="00420341"/>
    <w:rsid w:val="00420833"/>
    <w:rsid w:val="00420A4A"/>
    <w:rsid w:val="00420A75"/>
    <w:rsid w:val="00420EFE"/>
    <w:rsid w:val="0042116F"/>
    <w:rsid w:val="00421460"/>
    <w:rsid w:val="004218A6"/>
    <w:rsid w:val="004227BE"/>
    <w:rsid w:val="00422B90"/>
    <w:rsid w:val="00422CBC"/>
    <w:rsid w:val="00422DDD"/>
    <w:rsid w:val="00422E73"/>
    <w:rsid w:val="00422FAB"/>
    <w:rsid w:val="0042318D"/>
    <w:rsid w:val="004231F2"/>
    <w:rsid w:val="004235C2"/>
    <w:rsid w:val="004236DC"/>
    <w:rsid w:val="0042381C"/>
    <w:rsid w:val="00423B45"/>
    <w:rsid w:val="00423CE3"/>
    <w:rsid w:val="0042441A"/>
    <w:rsid w:val="004245B6"/>
    <w:rsid w:val="004246A9"/>
    <w:rsid w:val="00424881"/>
    <w:rsid w:val="0042495E"/>
    <w:rsid w:val="00424B08"/>
    <w:rsid w:val="00424CA5"/>
    <w:rsid w:val="00424E10"/>
    <w:rsid w:val="00424EC9"/>
    <w:rsid w:val="0042520A"/>
    <w:rsid w:val="00425E93"/>
    <w:rsid w:val="00425F96"/>
    <w:rsid w:val="00426576"/>
    <w:rsid w:val="0042684E"/>
    <w:rsid w:val="00426992"/>
    <w:rsid w:val="00426B88"/>
    <w:rsid w:val="00426C10"/>
    <w:rsid w:val="00426CB7"/>
    <w:rsid w:val="00426D1E"/>
    <w:rsid w:val="00426DFD"/>
    <w:rsid w:val="00426FEE"/>
    <w:rsid w:val="004271F1"/>
    <w:rsid w:val="00427510"/>
    <w:rsid w:val="00427923"/>
    <w:rsid w:val="004301A5"/>
    <w:rsid w:val="0043095F"/>
    <w:rsid w:val="004309F0"/>
    <w:rsid w:val="00430A45"/>
    <w:rsid w:val="0043113E"/>
    <w:rsid w:val="00431306"/>
    <w:rsid w:val="004315E7"/>
    <w:rsid w:val="004319E7"/>
    <w:rsid w:val="00431D99"/>
    <w:rsid w:val="0043270F"/>
    <w:rsid w:val="00432BA8"/>
    <w:rsid w:val="00432C8D"/>
    <w:rsid w:val="00432E0A"/>
    <w:rsid w:val="0043340A"/>
    <w:rsid w:val="00433505"/>
    <w:rsid w:val="0043352A"/>
    <w:rsid w:val="004338D6"/>
    <w:rsid w:val="004339B3"/>
    <w:rsid w:val="00433BC9"/>
    <w:rsid w:val="00433CEB"/>
    <w:rsid w:val="00433E24"/>
    <w:rsid w:val="00433FDE"/>
    <w:rsid w:val="00434318"/>
    <w:rsid w:val="0043455F"/>
    <w:rsid w:val="00434A2C"/>
    <w:rsid w:val="00434D80"/>
    <w:rsid w:val="00434DA2"/>
    <w:rsid w:val="00434E48"/>
    <w:rsid w:val="0043537C"/>
    <w:rsid w:val="00435B56"/>
    <w:rsid w:val="00436539"/>
    <w:rsid w:val="0043664A"/>
    <w:rsid w:val="00436747"/>
    <w:rsid w:val="004368A1"/>
    <w:rsid w:val="00436B0C"/>
    <w:rsid w:val="00436CA7"/>
    <w:rsid w:val="00436CEA"/>
    <w:rsid w:val="004372A8"/>
    <w:rsid w:val="004373A7"/>
    <w:rsid w:val="0043769D"/>
    <w:rsid w:val="00437789"/>
    <w:rsid w:val="00437AA9"/>
    <w:rsid w:val="00437C30"/>
    <w:rsid w:val="00437F49"/>
    <w:rsid w:val="00437FA3"/>
    <w:rsid w:val="004403A2"/>
    <w:rsid w:val="0044085A"/>
    <w:rsid w:val="00440A10"/>
    <w:rsid w:val="00440C2F"/>
    <w:rsid w:val="00440E39"/>
    <w:rsid w:val="00441049"/>
    <w:rsid w:val="004411FB"/>
    <w:rsid w:val="004413E5"/>
    <w:rsid w:val="004414F6"/>
    <w:rsid w:val="004415EB"/>
    <w:rsid w:val="0044182B"/>
    <w:rsid w:val="0044269E"/>
    <w:rsid w:val="00442C57"/>
    <w:rsid w:val="00442E2D"/>
    <w:rsid w:val="00442F7F"/>
    <w:rsid w:val="004431CD"/>
    <w:rsid w:val="004432AD"/>
    <w:rsid w:val="00443338"/>
    <w:rsid w:val="00443559"/>
    <w:rsid w:val="0044358B"/>
    <w:rsid w:val="0044375B"/>
    <w:rsid w:val="004439B8"/>
    <w:rsid w:val="00443CCE"/>
    <w:rsid w:val="00443EFA"/>
    <w:rsid w:val="00444069"/>
    <w:rsid w:val="004441E2"/>
    <w:rsid w:val="00444415"/>
    <w:rsid w:val="00444760"/>
    <w:rsid w:val="00444D0F"/>
    <w:rsid w:val="00444F37"/>
    <w:rsid w:val="00445331"/>
    <w:rsid w:val="00445370"/>
    <w:rsid w:val="00445550"/>
    <w:rsid w:val="004455B4"/>
    <w:rsid w:val="0044572E"/>
    <w:rsid w:val="00445875"/>
    <w:rsid w:val="00445998"/>
    <w:rsid w:val="00445C21"/>
    <w:rsid w:val="00445E82"/>
    <w:rsid w:val="00445F48"/>
    <w:rsid w:val="0044668F"/>
    <w:rsid w:val="004466DE"/>
    <w:rsid w:val="00446733"/>
    <w:rsid w:val="00446D4E"/>
    <w:rsid w:val="00446FC6"/>
    <w:rsid w:val="004474B8"/>
    <w:rsid w:val="00447575"/>
    <w:rsid w:val="00447592"/>
    <w:rsid w:val="004477CE"/>
    <w:rsid w:val="00447DE8"/>
    <w:rsid w:val="004505D8"/>
    <w:rsid w:val="004507E1"/>
    <w:rsid w:val="00450DE9"/>
    <w:rsid w:val="00450E0F"/>
    <w:rsid w:val="00450E6E"/>
    <w:rsid w:val="004517F1"/>
    <w:rsid w:val="004519A1"/>
    <w:rsid w:val="004519A5"/>
    <w:rsid w:val="004519AC"/>
    <w:rsid w:val="00451C06"/>
    <w:rsid w:val="00451D55"/>
    <w:rsid w:val="00451F7A"/>
    <w:rsid w:val="004520D9"/>
    <w:rsid w:val="00452133"/>
    <w:rsid w:val="00452223"/>
    <w:rsid w:val="0045286B"/>
    <w:rsid w:val="00452E8B"/>
    <w:rsid w:val="00452EE6"/>
    <w:rsid w:val="00452F5A"/>
    <w:rsid w:val="0045351B"/>
    <w:rsid w:val="0045360D"/>
    <w:rsid w:val="00453D27"/>
    <w:rsid w:val="00453EDD"/>
    <w:rsid w:val="00453F25"/>
    <w:rsid w:val="00454417"/>
    <w:rsid w:val="00454602"/>
    <w:rsid w:val="00454824"/>
    <w:rsid w:val="00454836"/>
    <w:rsid w:val="00454DA1"/>
    <w:rsid w:val="004551B4"/>
    <w:rsid w:val="004551C9"/>
    <w:rsid w:val="004551EC"/>
    <w:rsid w:val="004551F9"/>
    <w:rsid w:val="004555AB"/>
    <w:rsid w:val="004559CD"/>
    <w:rsid w:val="00455A12"/>
    <w:rsid w:val="00455D8C"/>
    <w:rsid w:val="00455F8B"/>
    <w:rsid w:val="0045603B"/>
    <w:rsid w:val="00456467"/>
    <w:rsid w:val="0045697B"/>
    <w:rsid w:val="00456A1E"/>
    <w:rsid w:val="00456AF9"/>
    <w:rsid w:val="00456BE8"/>
    <w:rsid w:val="00456D9B"/>
    <w:rsid w:val="00456E66"/>
    <w:rsid w:val="00456EF1"/>
    <w:rsid w:val="0045741A"/>
    <w:rsid w:val="004577CF"/>
    <w:rsid w:val="00457B3C"/>
    <w:rsid w:val="00457BFA"/>
    <w:rsid w:val="00457F04"/>
    <w:rsid w:val="00460211"/>
    <w:rsid w:val="00460241"/>
    <w:rsid w:val="0046026D"/>
    <w:rsid w:val="00460536"/>
    <w:rsid w:val="00460F55"/>
    <w:rsid w:val="00461187"/>
    <w:rsid w:val="004617B8"/>
    <w:rsid w:val="004617D1"/>
    <w:rsid w:val="004619F9"/>
    <w:rsid w:val="00461B48"/>
    <w:rsid w:val="00461C01"/>
    <w:rsid w:val="00461F60"/>
    <w:rsid w:val="0046205F"/>
    <w:rsid w:val="00462517"/>
    <w:rsid w:val="00462717"/>
    <w:rsid w:val="00462741"/>
    <w:rsid w:val="00462915"/>
    <w:rsid w:val="0046299D"/>
    <w:rsid w:val="00462C12"/>
    <w:rsid w:val="00462D3B"/>
    <w:rsid w:val="00463001"/>
    <w:rsid w:val="0046323B"/>
    <w:rsid w:val="004632A2"/>
    <w:rsid w:val="004632A7"/>
    <w:rsid w:val="004638AC"/>
    <w:rsid w:val="004638CC"/>
    <w:rsid w:val="00463D78"/>
    <w:rsid w:val="00463E14"/>
    <w:rsid w:val="00463F23"/>
    <w:rsid w:val="00463FC6"/>
    <w:rsid w:val="004641AC"/>
    <w:rsid w:val="004644FC"/>
    <w:rsid w:val="0046456A"/>
    <w:rsid w:val="00464973"/>
    <w:rsid w:val="00464C75"/>
    <w:rsid w:val="00465215"/>
    <w:rsid w:val="0046521A"/>
    <w:rsid w:val="004653DE"/>
    <w:rsid w:val="0046544B"/>
    <w:rsid w:val="00465644"/>
    <w:rsid w:val="004659AE"/>
    <w:rsid w:val="00465F11"/>
    <w:rsid w:val="0046609B"/>
    <w:rsid w:val="004660C1"/>
    <w:rsid w:val="0046629E"/>
    <w:rsid w:val="00466D3A"/>
    <w:rsid w:val="00466F5E"/>
    <w:rsid w:val="00466F76"/>
    <w:rsid w:val="004672A6"/>
    <w:rsid w:val="00467859"/>
    <w:rsid w:val="00467C9A"/>
    <w:rsid w:val="00467D56"/>
    <w:rsid w:val="00470016"/>
    <w:rsid w:val="004701EE"/>
    <w:rsid w:val="004702FC"/>
    <w:rsid w:val="004704EC"/>
    <w:rsid w:val="0047076A"/>
    <w:rsid w:val="0047084A"/>
    <w:rsid w:val="00470888"/>
    <w:rsid w:val="00470CBC"/>
    <w:rsid w:val="00470D4C"/>
    <w:rsid w:val="00470D75"/>
    <w:rsid w:val="0047106A"/>
    <w:rsid w:val="0047120D"/>
    <w:rsid w:val="0047141B"/>
    <w:rsid w:val="0047165E"/>
    <w:rsid w:val="00471832"/>
    <w:rsid w:val="00471A08"/>
    <w:rsid w:val="00471CF6"/>
    <w:rsid w:val="0047211A"/>
    <w:rsid w:val="00472408"/>
    <w:rsid w:val="00472680"/>
    <w:rsid w:val="004729D0"/>
    <w:rsid w:val="004733A3"/>
    <w:rsid w:val="004739BB"/>
    <w:rsid w:val="00473A9E"/>
    <w:rsid w:val="00473BDA"/>
    <w:rsid w:val="00473D5D"/>
    <w:rsid w:val="00473F87"/>
    <w:rsid w:val="0047406D"/>
    <w:rsid w:val="004743B0"/>
    <w:rsid w:val="0047457F"/>
    <w:rsid w:val="00474760"/>
    <w:rsid w:val="00474920"/>
    <w:rsid w:val="00474A8D"/>
    <w:rsid w:val="00474D96"/>
    <w:rsid w:val="00474E69"/>
    <w:rsid w:val="00475CCF"/>
    <w:rsid w:val="00476138"/>
    <w:rsid w:val="004764CB"/>
    <w:rsid w:val="004769C6"/>
    <w:rsid w:val="00476FA4"/>
    <w:rsid w:val="00477153"/>
    <w:rsid w:val="0047720B"/>
    <w:rsid w:val="00477335"/>
    <w:rsid w:val="00477668"/>
    <w:rsid w:val="0048018D"/>
    <w:rsid w:val="004805D3"/>
    <w:rsid w:val="004807F1"/>
    <w:rsid w:val="00480A60"/>
    <w:rsid w:val="00480AC2"/>
    <w:rsid w:val="00480B71"/>
    <w:rsid w:val="00480CA7"/>
    <w:rsid w:val="00480DBC"/>
    <w:rsid w:val="00480E92"/>
    <w:rsid w:val="00480EB7"/>
    <w:rsid w:val="00481630"/>
    <w:rsid w:val="00481B7B"/>
    <w:rsid w:val="00481DBE"/>
    <w:rsid w:val="00481E93"/>
    <w:rsid w:val="004824A5"/>
    <w:rsid w:val="00482BC8"/>
    <w:rsid w:val="00482C31"/>
    <w:rsid w:val="00482E1D"/>
    <w:rsid w:val="00483061"/>
    <w:rsid w:val="004830B4"/>
    <w:rsid w:val="004831FB"/>
    <w:rsid w:val="0048336B"/>
    <w:rsid w:val="0048373B"/>
    <w:rsid w:val="00483842"/>
    <w:rsid w:val="00483932"/>
    <w:rsid w:val="00483A17"/>
    <w:rsid w:val="00483B0B"/>
    <w:rsid w:val="00483B69"/>
    <w:rsid w:val="00483BD7"/>
    <w:rsid w:val="00483CA2"/>
    <w:rsid w:val="00483CBD"/>
    <w:rsid w:val="00484025"/>
    <w:rsid w:val="00484962"/>
    <w:rsid w:val="00484B90"/>
    <w:rsid w:val="00484DFE"/>
    <w:rsid w:val="0048523C"/>
    <w:rsid w:val="0048537A"/>
    <w:rsid w:val="004853CC"/>
    <w:rsid w:val="00485647"/>
    <w:rsid w:val="0048596C"/>
    <w:rsid w:val="004859D2"/>
    <w:rsid w:val="00485CE0"/>
    <w:rsid w:val="0048602C"/>
    <w:rsid w:val="00486282"/>
    <w:rsid w:val="004862DC"/>
    <w:rsid w:val="00486615"/>
    <w:rsid w:val="00486DFB"/>
    <w:rsid w:val="00487026"/>
    <w:rsid w:val="004870B6"/>
    <w:rsid w:val="00487290"/>
    <w:rsid w:val="004875B0"/>
    <w:rsid w:val="00487753"/>
    <w:rsid w:val="00487758"/>
    <w:rsid w:val="00487890"/>
    <w:rsid w:val="004879B3"/>
    <w:rsid w:val="00487A5E"/>
    <w:rsid w:val="00487AA6"/>
    <w:rsid w:val="00487B43"/>
    <w:rsid w:val="00487CE0"/>
    <w:rsid w:val="00490014"/>
    <w:rsid w:val="004901D4"/>
    <w:rsid w:val="0049031E"/>
    <w:rsid w:val="00490533"/>
    <w:rsid w:val="00490805"/>
    <w:rsid w:val="00490E34"/>
    <w:rsid w:val="00491331"/>
    <w:rsid w:val="00491388"/>
    <w:rsid w:val="004914DB"/>
    <w:rsid w:val="0049157B"/>
    <w:rsid w:val="00491649"/>
    <w:rsid w:val="004918A4"/>
    <w:rsid w:val="00491B6D"/>
    <w:rsid w:val="00491C08"/>
    <w:rsid w:val="00491D90"/>
    <w:rsid w:val="00492109"/>
    <w:rsid w:val="00492A9D"/>
    <w:rsid w:val="00492D86"/>
    <w:rsid w:val="00493076"/>
    <w:rsid w:val="00493086"/>
    <w:rsid w:val="004936F8"/>
    <w:rsid w:val="00493C0D"/>
    <w:rsid w:val="00493CAC"/>
    <w:rsid w:val="00493D72"/>
    <w:rsid w:val="00494138"/>
    <w:rsid w:val="00494142"/>
    <w:rsid w:val="00494890"/>
    <w:rsid w:val="0049499D"/>
    <w:rsid w:val="0049513F"/>
    <w:rsid w:val="004954E8"/>
    <w:rsid w:val="0049568F"/>
    <w:rsid w:val="00495C86"/>
    <w:rsid w:val="00496081"/>
    <w:rsid w:val="00496147"/>
    <w:rsid w:val="004961C2"/>
    <w:rsid w:val="004965FB"/>
    <w:rsid w:val="00496AF4"/>
    <w:rsid w:val="00496AFC"/>
    <w:rsid w:val="00496B5A"/>
    <w:rsid w:val="00496D07"/>
    <w:rsid w:val="004971BC"/>
    <w:rsid w:val="00497265"/>
    <w:rsid w:val="004975B2"/>
    <w:rsid w:val="004975E1"/>
    <w:rsid w:val="004978FB"/>
    <w:rsid w:val="00497F60"/>
    <w:rsid w:val="004A05D4"/>
    <w:rsid w:val="004A0B92"/>
    <w:rsid w:val="004A10D7"/>
    <w:rsid w:val="004A11DD"/>
    <w:rsid w:val="004A126C"/>
    <w:rsid w:val="004A143C"/>
    <w:rsid w:val="004A15F3"/>
    <w:rsid w:val="004A1765"/>
    <w:rsid w:val="004A1F27"/>
    <w:rsid w:val="004A21BA"/>
    <w:rsid w:val="004A22B3"/>
    <w:rsid w:val="004A24F1"/>
    <w:rsid w:val="004A27C8"/>
    <w:rsid w:val="004A2914"/>
    <w:rsid w:val="004A2A4D"/>
    <w:rsid w:val="004A2B1E"/>
    <w:rsid w:val="004A2FCC"/>
    <w:rsid w:val="004A372D"/>
    <w:rsid w:val="004A3BAA"/>
    <w:rsid w:val="004A3CFF"/>
    <w:rsid w:val="004A3D1F"/>
    <w:rsid w:val="004A3E39"/>
    <w:rsid w:val="004A419C"/>
    <w:rsid w:val="004A422F"/>
    <w:rsid w:val="004A4338"/>
    <w:rsid w:val="004A4669"/>
    <w:rsid w:val="004A491F"/>
    <w:rsid w:val="004A49FB"/>
    <w:rsid w:val="004A4C72"/>
    <w:rsid w:val="004A4F7A"/>
    <w:rsid w:val="004A55F1"/>
    <w:rsid w:val="004A5D9D"/>
    <w:rsid w:val="004A64EF"/>
    <w:rsid w:val="004A6652"/>
    <w:rsid w:val="004A6695"/>
    <w:rsid w:val="004A67D2"/>
    <w:rsid w:val="004A67E8"/>
    <w:rsid w:val="004A6A50"/>
    <w:rsid w:val="004A6B05"/>
    <w:rsid w:val="004A7007"/>
    <w:rsid w:val="004A7019"/>
    <w:rsid w:val="004A71E6"/>
    <w:rsid w:val="004A75E5"/>
    <w:rsid w:val="004A7F60"/>
    <w:rsid w:val="004B0045"/>
    <w:rsid w:val="004B045B"/>
    <w:rsid w:val="004B04E7"/>
    <w:rsid w:val="004B08AC"/>
    <w:rsid w:val="004B0968"/>
    <w:rsid w:val="004B0D8B"/>
    <w:rsid w:val="004B0E7D"/>
    <w:rsid w:val="004B0FB8"/>
    <w:rsid w:val="004B1322"/>
    <w:rsid w:val="004B1421"/>
    <w:rsid w:val="004B1430"/>
    <w:rsid w:val="004B1724"/>
    <w:rsid w:val="004B17CB"/>
    <w:rsid w:val="004B17E2"/>
    <w:rsid w:val="004B1A63"/>
    <w:rsid w:val="004B1CBC"/>
    <w:rsid w:val="004B1FCB"/>
    <w:rsid w:val="004B20D3"/>
    <w:rsid w:val="004B21A5"/>
    <w:rsid w:val="004B2468"/>
    <w:rsid w:val="004B25BD"/>
    <w:rsid w:val="004B28B1"/>
    <w:rsid w:val="004B296B"/>
    <w:rsid w:val="004B2A6D"/>
    <w:rsid w:val="004B2B10"/>
    <w:rsid w:val="004B2E9D"/>
    <w:rsid w:val="004B2FB9"/>
    <w:rsid w:val="004B33C0"/>
    <w:rsid w:val="004B36BC"/>
    <w:rsid w:val="004B36DC"/>
    <w:rsid w:val="004B3989"/>
    <w:rsid w:val="004B3A64"/>
    <w:rsid w:val="004B3B8E"/>
    <w:rsid w:val="004B3FAD"/>
    <w:rsid w:val="004B40CF"/>
    <w:rsid w:val="004B4490"/>
    <w:rsid w:val="004B48EB"/>
    <w:rsid w:val="004B4BE6"/>
    <w:rsid w:val="004B4C45"/>
    <w:rsid w:val="004B4DEA"/>
    <w:rsid w:val="004B4E60"/>
    <w:rsid w:val="004B4E7E"/>
    <w:rsid w:val="004B4EAD"/>
    <w:rsid w:val="004B4ED9"/>
    <w:rsid w:val="004B529A"/>
    <w:rsid w:val="004B52AB"/>
    <w:rsid w:val="004B52CC"/>
    <w:rsid w:val="004B530D"/>
    <w:rsid w:val="004B53D0"/>
    <w:rsid w:val="004B553F"/>
    <w:rsid w:val="004B556C"/>
    <w:rsid w:val="004B5978"/>
    <w:rsid w:val="004B5C82"/>
    <w:rsid w:val="004B5C84"/>
    <w:rsid w:val="004B5E26"/>
    <w:rsid w:val="004B6138"/>
    <w:rsid w:val="004B614B"/>
    <w:rsid w:val="004B663A"/>
    <w:rsid w:val="004B665E"/>
    <w:rsid w:val="004B6711"/>
    <w:rsid w:val="004B67A9"/>
    <w:rsid w:val="004B6B0C"/>
    <w:rsid w:val="004B6D88"/>
    <w:rsid w:val="004B6FCA"/>
    <w:rsid w:val="004B726A"/>
    <w:rsid w:val="004B79FC"/>
    <w:rsid w:val="004B7B95"/>
    <w:rsid w:val="004C0094"/>
    <w:rsid w:val="004C03CE"/>
    <w:rsid w:val="004C0412"/>
    <w:rsid w:val="004C0580"/>
    <w:rsid w:val="004C082F"/>
    <w:rsid w:val="004C089E"/>
    <w:rsid w:val="004C08D7"/>
    <w:rsid w:val="004C09C7"/>
    <w:rsid w:val="004C09E0"/>
    <w:rsid w:val="004C0A98"/>
    <w:rsid w:val="004C0BFA"/>
    <w:rsid w:val="004C0F02"/>
    <w:rsid w:val="004C16D9"/>
    <w:rsid w:val="004C17BF"/>
    <w:rsid w:val="004C1862"/>
    <w:rsid w:val="004C1D03"/>
    <w:rsid w:val="004C206E"/>
    <w:rsid w:val="004C21A2"/>
    <w:rsid w:val="004C222A"/>
    <w:rsid w:val="004C247A"/>
    <w:rsid w:val="004C2601"/>
    <w:rsid w:val="004C2621"/>
    <w:rsid w:val="004C2869"/>
    <w:rsid w:val="004C297B"/>
    <w:rsid w:val="004C2DA6"/>
    <w:rsid w:val="004C2EDA"/>
    <w:rsid w:val="004C2FF9"/>
    <w:rsid w:val="004C308B"/>
    <w:rsid w:val="004C30F8"/>
    <w:rsid w:val="004C35FF"/>
    <w:rsid w:val="004C388F"/>
    <w:rsid w:val="004C3945"/>
    <w:rsid w:val="004C4120"/>
    <w:rsid w:val="004C42F0"/>
    <w:rsid w:val="004C4381"/>
    <w:rsid w:val="004C43AC"/>
    <w:rsid w:val="004C502D"/>
    <w:rsid w:val="004C51AC"/>
    <w:rsid w:val="004C5325"/>
    <w:rsid w:val="004C5F87"/>
    <w:rsid w:val="004C6926"/>
    <w:rsid w:val="004C6C83"/>
    <w:rsid w:val="004C73AA"/>
    <w:rsid w:val="004C749F"/>
    <w:rsid w:val="004C751E"/>
    <w:rsid w:val="004C75E4"/>
    <w:rsid w:val="004C7E34"/>
    <w:rsid w:val="004C7F93"/>
    <w:rsid w:val="004D016F"/>
    <w:rsid w:val="004D05B1"/>
    <w:rsid w:val="004D061A"/>
    <w:rsid w:val="004D06BA"/>
    <w:rsid w:val="004D0A69"/>
    <w:rsid w:val="004D0AFC"/>
    <w:rsid w:val="004D0B3D"/>
    <w:rsid w:val="004D0CBB"/>
    <w:rsid w:val="004D0E27"/>
    <w:rsid w:val="004D0F5B"/>
    <w:rsid w:val="004D10A1"/>
    <w:rsid w:val="004D127F"/>
    <w:rsid w:val="004D139B"/>
    <w:rsid w:val="004D1444"/>
    <w:rsid w:val="004D16AE"/>
    <w:rsid w:val="004D1A60"/>
    <w:rsid w:val="004D1DC7"/>
    <w:rsid w:val="004D1FE7"/>
    <w:rsid w:val="004D2460"/>
    <w:rsid w:val="004D2B12"/>
    <w:rsid w:val="004D2D30"/>
    <w:rsid w:val="004D2DE7"/>
    <w:rsid w:val="004D2F8D"/>
    <w:rsid w:val="004D33CD"/>
    <w:rsid w:val="004D3A31"/>
    <w:rsid w:val="004D3A96"/>
    <w:rsid w:val="004D3DF3"/>
    <w:rsid w:val="004D41BD"/>
    <w:rsid w:val="004D4327"/>
    <w:rsid w:val="004D4400"/>
    <w:rsid w:val="004D4483"/>
    <w:rsid w:val="004D48B1"/>
    <w:rsid w:val="004D49EE"/>
    <w:rsid w:val="004D4AA5"/>
    <w:rsid w:val="004D4ADF"/>
    <w:rsid w:val="004D50C3"/>
    <w:rsid w:val="004D55D8"/>
    <w:rsid w:val="004D5EAA"/>
    <w:rsid w:val="004D61E6"/>
    <w:rsid w:val="004D6590"/>
    <w:rsid w:val="004D6845"/>
    <w:rsid w:val="004D689C"/>
    <w:rsid w:val="004D6A00"/>
    <w:rsid w:val="004D6C20"/>
    <w:rsid w:val="004D71CE"/>
    <w:rsid w:val="004D73FA"/>
    <w:rsid w:val="004D7590"/>
    <w:rsid w:val="004D77FC"/>
    <w:rsid w:val="004D7A56"/>
    <w:rsid w:val="004E0487"/>
    <w:rsid w:val="004E063F"/>
    <w:rsid w:val="004E0752"/>
    <w:rsid w:val="004E13CB"/>
    <w:rsid w:val="004E1C4F"/>
    <w:rsid w:val="004E248C"/>
    <w:rsid w:val="004E24A2"/>
    <w:rsid w:val="004E26F8"/>
    <w:rsid w:val="004E275B"/>
    <w:rsid w:val="004E29DC"/>
    <w:rsid w:val="004E2B04"/>
    <w:rsid w:val="004E2B10"/>
    <w:rsid w:val="004E2B9F"/>
    <w:rsid w:val="004E2D5F"/>
    <w:rsid w:val="004E2E0F"/>
    <w:rsid w:val="004E2FC4"/>
    <w:rsid w:val="004E3246"/>
    <w:rsid w:val="004E348E"/>
    <w:rsid w:val="004E395F"/>
    <w:rsid w:val="004E399A"/>
    <w:rsid w:val="004E3F4A"/>
    <w:rsid w:val="004E48DB"/>
    <w:rsid w:val="004E4DA4"/>
    <w:rsid w:val="004E4EA8"/>
    <w:rsid w:val="004E590F"/>
    <w:rsid w:val="004E5F64"/>
    <w:rsid w:val="004E61D7"/>
    <w:rsid w:val="004E61F3"/>
    <w:rsid w:val="004E6440"/>
    <w:rsid w:val="004E6549"/>
    <w:rsid w:val="004E6C87"/>
    <w:rsid w:val="004E6D0A"/>
    <w:rsid w:val="004E74F8"/>
    <w:rsid w:val="004E7E90"/>
    <w:rsid w:val="004F006C"/>
    <w:rsid w:val="004F0402"/>
    <w:rsid w:val="004F08BC"/>
    <w:rsid w:val="004F10FB"/>
    <w:rsid w:val="004F1365"/>
    <w:rsid w:val="004F1609"/>
    <w:rsid w:val="004F162F"/>
    <w:rsid w:val="004F189A"/>
    <w:rsid w:val="004F1991"/>
    <w:rsid w:val="004F1CA4"/>
    <w:rsid w:val="004F1CFF"/>
    <w:rsid w:val="004F23E3"/>
    <w:rsid w:val="004F2858"/>
    <w:rsid w:val="004F28C0"/>
    <w:rsid w:val="004F2A0F"/>
    <w:rsid w:val="004F2CF6"/>
    <w:rsid w:val="004F363E"/>
    <w:rsid w:val="004F376D"/>
    <w:rsid w:val="004F3B53"/>
    <w:rsid w:val="004F426F"/>
    <w:rsid w:val="004F470F"/>
    <w:rsid w:val="004F4FAB"/>
    <w:rsid w:val="004F5032"/>
    <w:rsid w:val="004F5863"/>
    <w:rsid w:val="004F5AE1"/>
    <w:rsid w:val="004F6134"/>
    <w:rsid w:val="004F61EC"/>
    <w:rsid w:val="004F6670"/>
    <w:rsid w:val="004F6C6B"/>
    <w:rsid w:val="004F6D6F"/>
    <w:rsid w:val="004F6DAD"/>
    <w:rsid w:val="004F6F2F"/>
    <w:rsid w:val="004F7051"/>
    <w:rsid w:val="004F7489"/>
    <w:rsid w:val="004F78A8"/>
    <w:rsid w:val="004F7A79"/>
    <w:rsid w:val="004F7C7C"/>
    <w:rsid w:val="004F7D82"/>
    <w:rsid w:val="004F7DC7"/>
    <w:rsid w:val="004F7E19"/>
    <w:rsid w:val="004F7F82"/>
    <w:rsid w:val="00500016"/>
    <w:rsid w:val="0050029F"/>
    <w:rsid w:val="00500350"/>
    <w:rsid w:val="00500D25"/>
    <w:rsid w:val="00500D6B"/>
    <w:rsid w:val="00501013"/>
    <w:rsid w:val="00501086"/>
    <w:rsid w:val="005016DC"/>
    <w:rsid w:val="00501A69"/>
    <w:rsid w:val="00501E06"/>
    <w:rsid w:val="0050226A"/>
    <w:rsid w:val="005022B8"/>
    <w:rsid w:val="00502B8B"/>
    <w:rsid w:val="00502BED"/>
    <w:rsid w:val="00502E00"/>
    <w:rsid w:val="00502ED2"/>
    <w:rsid w:val="005031A4"/>
    <w:rsid w:val="005031B2"/>
    <w:rsid w:val="00503398"/>
    <w:rsid w:val="005037F0"/>
    <w:rsid w:val="005039C8"/>
    <w:rsid w:val="00503F39"/>
    <w:rsid w:val="00504076"/>
    <w:rsid w:val="0050418D"/>
    <w:rsid w:val="00504424"/>
    <w:rsid w:val="005048E4"/>
    <w:rsid w:val="005049D7"/>
    <w:rsid w:val="00504C5B"/>
    <w:rsid w:val="005052AD"/>
    <w:rsid w:val="00505400"/>
    <w:rsid w:val="005054F3"/>
    <w:rsid w:val="00505866"/>
    <w:rsid w:val="00505B36"/>
    <w:rsid w:val="00505C04"/>
    <w:rsid w:val="00505C3D"/>
    <w:rsid w:val="00505FA3"/>
    <w:rsid w:val="00506021"/>
    <w:rsid w:val="0050608A"/>
    <w:rsid w:val="00506574"/>
    <w:rsid w:val="0050675C"/>
    <w:rsid w:val="0050706D"/>
    <w:rsid w:val="0050715C"/>
    <w:rsid w:val="005077ED"/>
    <w:rsid w:val="00507CF7"/>
    <w:rsid w:val="005101EC"/>
    <w:rsid w:val="0051064E"/>
    <w:rsid w:val="00510692"/>
    <w:rsid w:val="005108B0"/>
    <w:rsid w:val="005108D6"/>
    <w:rsid w:val="00510A08"/>
    <w:rsid w:val="00510CF4"/>
    <w:rsid w:val="00511047"/>
    <w:rsid w:val="00511187"/>
    <w:rsid w:val="005112D9"/>
    <w:rsid w:val="005115B2"/>
    <w:rsid w:val="00511683"/>
    <w:rsid w:val="005118FE"/>
    <w:rsid w:val="00511B3F"/>
    <w:rsid w:val="00511C4E"/>
    <w:rsid w:val="00511C50"/>
    <w:rsid w:val="00511CDB"/>
    <w:rsid w:val="00511D56"/>
    <w:rsid w:val="00511E38"/>
    <w:rsid w:val="00511EB6"/>
    <w:rsid w:val="005122D7"/>
    <w:rsid w:val="005124AA"/>
    <w:rsid w:val="00512703"/>
    <w:rsid w:val="0051299F"/>
    <w:rsid w:val="00512BA5"/>
    <w:rsid w:val="00512CED"/>
    <w:rsid w:val="00512EA1"/>
    <w:rsid w:val="00512ECC"/>
    <w:rsid w:val="00512F7C"/>
    <w:rsid w:val="0051303F"/>
    <w:rsid w:val="00513142"/>
    <w:rsid w:val="005138E0"/>
    <w:rsid w:val="00513914"/>
    <w:rsid w:val="00513B4B"/>
    <w:rsid w:val="00513C32"/>
    <w:rsid w:val="0051454F"/>
    <w:rsid w:val="005145C6"/>
    <w:rsid w:val="00514959"/>
    <w:rsid w:val="00514A0A"/>
    <w:rsid w:val="00514DC8"/>
    <w:rsid w:val="00514ECD"/>
    <w:rsid w:val="0051515B"/>
    <w:rsid w:val="005151E7"/>
    <w:rsid w:val="005156FA"/>
    <w:rsid w:val="005157F7"/>
    <w:rsid w:val="00515A45"/>
    <w:rsid w:val="00515A75"/>
    <w:rsid w:val="00515CD6"/>
    <w:rsid w:val="00515F7E"/>
    <w:rsid w:val="005161F1"/>
    <w:rsid w:val="00516514"/>
    <w:rsid w:val="0051664F"/>
    <w:rsid w:val="005168CC"/>
    <w:rsid w:val="00516A86"/>
    <w:rsid w:val="005178B8"/>
    <w:rsid w:val="00520075"/>
    <w:rsid w:val="0052009D"/>
    <w:rsid w:val="00520475"/>
    <w:rsid w:val="0052049F"/>
    <w:rsid w:val="005204F2"/>
    <w:rsid w:val="00520645"/>
    <w:rsid w:val="005206D7"/>
    <w:rsid w:val="00520805"/>
    <w:rsid w:val="00520AB0"/>
    <w:rsid w:val="00520B28"/>
    <w:rsid w:val="00520BA9"/>
    <w:rsid w:val="00520E77"/>
    <w:rsid w:val="00521077"/>
    <w:rsid w:val="0052112D"/>
    <w:rsid w:val="00521888"/>
    <w:rsid w:val="00521A44"/>
    <w:rsid w:val="00521D1A"/>
    <w:rsid w:val="00521F84"/>
    <w:rsid w:val="00521FB7"/>
    <w:rsid w:val="00521FE2"/>
    <w:rsid w:val="00522584"/>
    <w:rsid w:val="005228E8"/>
    <w:rsid w:val="00522D25"/>
    <w:rsid w:val="00523140"/>
    <w:rsid w:val="00523189"/>
    <w:rsid w:val="005233E8"/>
    <w:rsid w:val="0052385A"/>
    <w:rsid w:val="005238A4"/>
    <w:rsid w:val="00523939"/>
    <w:rsid w:val="00523C77"/>
    <w:rsid w:val="00523F80"/>
    <w:rsid w:val="0052413C"/>
    <w:rsid w:val="00524160"/>
    <w:rsid w:val="0052456E"/>
    <w:rsid w:val="0052475A"/>
    <w:rsid w:val="005249A0"/>
    <w:rsid w:val="00524DBD"/>
    <w:rsid w:val="00525441"/>
    <w:rsid w:val="00525787"/>
    <w:rsid w:val="00525B30"/>
    <w:rsid w:val="00525C65"/>
    <w:rsid w:val="00525DE4"/>
    <w:rsid w:val="00526030"/>
    <w:rsid w:val="00526057"/>
    <w:rsid w:val="00526185"/>
    <w:rsid w:val="00526CDF"/>
    <w:rsid w:val="0052703B"/>
    <w:rsid w:val="0052740F"/>
    <w:rsid w:val="005274CB"/>
    <w:rsid w:val="005274DF"/>
    <w:rsid w:val="005275F6"/>
    <w:rsid w:val="00527686"/>
    <w:rsid w:val="00527A78"/>
    <w:rsid w:val="00527AD5"/>
    <w:rsid w:val="00527B0F"/>
    <w:rsid w:val="00527C8D"/>
    <w:rsid w:val="00527ECA"/>
    <w:rsid w:val="00527ED5"/>
    <w:rsid w:val="00530128"/>
    <w:rsid w:val="005305DB"/>
    <w:rsid w:val="005306C3"/>
    <w:rsid w:val="0053083B"/>
    <w:rsid w:val="00530A26"/>
    <w:rsid w:val="00530D37"/>
    <w:rsid w:val="00530DF3"/>
    <w:rsid w:val="00530E26"/>
    <w:rsid w:val="005311C0"/>
    <w:rsid w:val="005312C4"/>
    <w:rsid w:val="005313B2"/>
    <w:rsid w:val="00531472"/>
    <w:rsid w:val="005317D6"/>
    <w:rsid w:val="00531865"/>
    <w:rsid w:val="00531B1C"/>
    <w:rsid w:val="00531E32"/>
    <w:rsid w:val="00531F24"/>
    <w:rsid w:val="00532001"/>
    <w:rsid w:val="00532192"/>
    <w:rsid w:val="005324D2"/>
    <w:rsid w:val="005326A5"/>
    <w:rsid w:val="00532A6A"/>
    <w:rsid w:val="00533112"/>
    <w:rsid w:val="0053371F"/>
    <w:rsid w:val="0053385B"/>
    <w:rsid w:val="00533BE6"/>
    <w:rsid w:val="00533D3F"/>
    <w:rsid w:val="005343E0"/>
    <w:rsid w:val="0053450A"/>
    <w:rsid w:val="00534808"/>
    <w:rsid w:val="0053480F"/>
    <w:rsid w:val="005348E3"/>
    <w:rsid w:val="00534B2F"/>
    <w:rsid w:val="00534C3B"/>
    <w:rsid w:val="0053511E"/>
    <w:rsid w:val="0053535F"/>
    <w:rsid w:val="005355FD"/>
    <w:rsid w:val="00535E59"/>
    <w:rsid w:val="00535EA9"/>
    <w:rsid w:val="00536030"/>
    <w:rsid w:val="0053667B"/>
    <w:rsid w:val="005367EA"/>
    <w:rsid w:val="005368FA"/>
    <w:rsid w:val="00536C38"/>
    <w:rsid w:val="00536D1F"/>
    <w:rsid w:val="00536F07"/>
    <w:rsid w:val="00536F38"/>
    <w:rsid w:val="00536F81"/>
    <w:rsid w:val="005373F6"/>
    <w:rsid w:val="00537652"/>
    <w:rsid w:val="00537700"/>
    <w:rsid w:val="00537ACF"/>
    <w:rsid w:val="00537EB2"/>
    <w:rsid w:val="0054023F"/>
    <w:rsid w:val="00540831"/>
    <w:rsid w:val="00540F25"/>
    <w:rsid w:val="005411D1"/>
    <w:rsid w:val="005413F1"/>
    <w:rsid w:val="00541422"/>
    <w:rsid w:val="00541741"/>
    <w:rsid w:val="0054196F"/>
    <w:rsid w:val="00541B75"/>
    <w:rsid w:val="00541FF1"/>
    <w:rsid w:val="00542035"/>
    <w:rsid w:val="0054210A"/>
    <w:rsid w:val="00542469"/>
    <w:rsid w:val="00542684"/>
    <w:rsid w:val="00542864"/>
    <w:rsid w:val="00542FED"/>
    <w:rsid w:val="005432B6"/>
    <w:rsid w:val="005432F2"/>
    <w:rsid w:val="00543A8E"/>
    <w:rsid w:val="00544014"/>
    <w:rsid w:val="005440A6"/>
    <w:rsid w:val="005441C2"/>
    <w:rsid w:val="0054460C"/>
    <w:rsid w:val="00544615"/>
    <w:rsid w:val="0054474F"/>
    <w:rsid w:val="00544F4F"/>
    <w:rsid w:val="00544FA2"/>
    <w:rsid w:val="0054522C"/>
    <w:rsid w:val="0054529C"/>
    <w:rsid w:val="005456ED"/>
    <w:rsid w:val="005458FC"/>
    <w:rsid w:val="00545CC7"/>
    <w:rsid w:val="005461E9"/>
    <w:rsid w:val="00546242"/>
    <w:rsid w:val="005464B9"/>
    <w:rsid w:val="005465EF"/>
    <w:rsid w:val="005466AE"/>
    <w:rsid w:val="005467D4"/>
    <w:rsid w:val="005469CD"/>
    <w:rsid w:val="00546B74"/>
    <w:rsid w:val="00546D13"/>
    <w:rsid w:val="00546F4D"/>
    <w:rsid w:val="00547212"/>
    <w:rsid w:val="00547238"/>
    <w:rsid w:val="00547506"/>
    <w:rsid w:val="00547756"/>
    <w:rsid w:val="00547B9F"/>
    <w:rsid w:val="00547C1E"/>
    <w:rsid w:val="00547CA6"/>
    <w:rsid w:val="005503D3"/>
    <w:rsid w:val="00550A0C"/>
    <w:rsid w:val="00550DFF"/>
    <w:rsid w:val="00550FBF"/>
    <w:rsid w:val="005512AE"/>
    <w:rsid w:val="005513CE"/>
    <w:rsid w:val="005515D6"/>
    <w:rsid w:val="00551765"/>
    <w:rsid w:val="00551778"/>
    <w:rsid w:val="00551D2C"/>
    <w:rsid w:val="00551E46"/>
    <w:rsid w:val="00552015"/>
    <w:rsid w:val="005526D8"/>
    <w:rsid w:val="0055278F"/>
    <w:rsid w:val="00552985"/>
    <w:rsid w:val="00552EB4"/>
    <w:rsid w:val="00552F2F"/>
    <w:rsid w:val="005531F5"/>
    <w:rsid w:val="00553226"/>
    <w:rsid w:val="00553444"/>
    <w:rsid w:val="00553533"/>
    <w:rsid w:val="00553969"/>
    <w:rsid w:val="00554649"/>
    <w:rsid w:val="00554C08"/>
    <w:rsid w:val="00554CFD"/>
    <w:rsid w:val="00554E03"/>
    <w:rsid w:val="00554F49"/>
    <w:rsid w:val="00555632"/>
    <w:rsid w:val="00555DEF"/>
    <w:rsid w:val="00555F9D"/>
    <w:rsid w:val="005560ED"/>
    <w:rsid w:val="0055690F"/>
    <w:rsid w:val="00556B6B"/>
    <w:rsid w:val="00556BF9"/>
    <w:rsid w:val="00556D07"/>
    <w:rsid w:val="00556E57"/>
    <w:rsid w:val="0055724E"/>
    <w:rsid w:val="00557799"/>
    <w:rsid w:val="005579EF"/>
    <w:rsid w:val="00557B7A"/>
    <w:rsid w:val="00557D0E"/>
    <w:rsid w:val="00557F65"/>
    <w:rsid w:val="00557FB6"/>
    <w:rsid w:val="00557FE9"/>
    <w:rsid w:val="005603DF"/>
    <w:rsid w:val="00560417"/>
    <w:rsid w:val="005604B1"/>
    <w:rsid w:val="005605B1"/>
    <w:rsid w:val="00560940"/>
    <w:rsid w:val="00560A0A"/>
    <w:rsid w:val="00560B12"/>
    <w:rsid w:val="00560BDE"/>
    <w:rsid w:val="00560C06"/>
    <w:rsid w:val="00560F28"/>
    <w:rsid w:val="0056111E"/>
    <w:rsid w:val="0056119B"/>
    <w:rsid w:val="00561267"/>
    <w:rsid w:val="00561547"/>
    <w:rsid w:val="005616DD"/>
    <w:rsid w:val="005619DA"/>
    <w:rsid w:val="00561C21"/>
    <w:rsid w:val="00562318"/>
    <w:rsid w:val="00562578"/>
    <w:rsid w:val="00562CBB"/>
    <w:rsid w:val="005630A6"/>
    <w:rsid w:val="0056366B"/>
    <w:rsid w:val="005639CC"/>
    <w:rsid w:val="00563DA8"/>
    <w:rsid w:val="00563E46"/>
    <w:rsid w:val="00563FFE"/>
    <w:rsid w:val="00564143"/>
    <w:rsid w:val="00565026"/>
    <w:rsid w:val="00565186"/>
    <w:rsid w:val="005651F3"/>
    <w:rsid w:val="00565656"/>
    <w:rsid w:val="0056580D"/>
    <w:rsid w:val="00565D8C"/>
    <w:rsid w:val="00566103"/>
    <w:rsid w:val="0056610B"/>
    <w:rsid w:val="0056623C"/>
    <w:rsid w:val="00566283"/>
    <w:rsid w:val="0056699B"/>
    <w:rsid w:val="00566A4C"/>
    <w:rsid w:val="005672E7"/>
    <w:rsid w:val="005678A5"/>
    <w:rsid w:val="00567D9F"/>
    <w:rsid w:val="00570133"/>
    <w:rsid w:val="005701E4"/>
    <w:rsid w:val="0057053E"/>
    <w:rsid w:val="00570F4E"/>
    <w:rsid w:val="005711D3"/>
    <w:rsid w:val="00571752"/>
    <w:rsid w:val="00571C85"/>
    <w:rsid w:val="00571D72"/>
    <w:rsid w:val="00571F43"/>
    <w:rsid w:val="00571FC5"/>
    <w:rsid w:val="00571FD3"/>
    <w:rsid w:val="00571FF0"/>
    <w:rsid w:val="00572102"/>
    <w:rsid w:val="005721AA"/>
    <w:rsid w:val="005722C9"/>
    <w:rsid w:val="00572BB8"/>
    <w:rsid w:val="0057306E"/>
    <w:rsid w:val="005733FD"/>
    <w:rsid w:val="00573438"/>
    <w:rsid w:val="005734D6"/>
    <w:rsid w:val="00573551"/>
    <w:rsid w:val="005736B5"/>
    <w:rsid w:val="00573EFA"/>
    <w:rsid w:val="00573F87"/>
    <w:rsid w:val="00573F9B"/>
    <w:rsid w:val="0057403B"/>
    <w:rsid w:val="005740A9"/>
    <w:rsid w:val="005742B4"/>
    <w:rsid w:val="0057434B"/>
    <w:rsid w:val="00574402"/>
    <w:rsid w:val="005744E8"/>
    <w:rsid w:val="00574743"/>
    <w:rsid w:val="0057479D"/>
    <w:rsid w:val="00574BF7"/>
    <w:rsid w:val="00574BFA"/>
    <w:rsid w:val="00574C05"/>
    <w:rsid w:val="00574C91"/>
    <w:rsid w:val="00574E0F"/>
    <w:rsid w:val="00575AFA"/>
    <w:rsid w:val="0057613C"/>
    <w:rsid w:val="0057640A"/>
    <w:rsid w:val="005765CF"/>
    <w:rsid w:val="00576876"/>
    <w:rsid w:val="00576ACD"/>
    <w:rsid w:val="00576ADE"/>
    <w:rsid w:val="00576C50"/>
    <w:rsid w:val="00577514"/>
    <w:rsid w:val="00577C9B"/>
    <w:rsid w:val="00577D73"/>
    <w:rsid w:val="00577D99"/>
    <w:rsid w:val="00577E5A"/>
    <w:rsid w:val="00577F90"/>
    <w:rsid w:val="005800D0"/>
    <w:rsid w:val="005803CF"/>
    <w:rsid w:val="00580596"/>
    <w:rsid w:val="005807CB"/>
    <w:rsid w:val="0058097B"/>
    <w:rsid w:val="005810F3"/>
    <w:rsid w:val="00581670"/>
    <w:rsid w:val="00581705"/>
    <w:rsid w:val="0058173F"/>
    <w:rsid w:val="00581786"/>
    <w:rsid w:val="00581C7D"/>
    <w:rsid w:val="00581DE4"/>
    <w:rsid w:val="00582165"/>
    <w:rsid w:val="005821B8"/>
    <w:rsid w:val="00582841"/>
    <w:rsid w:val="00582BB5"/>
    <w:rsid w:val="00582BF5"/>
    <w:rsid w:val="00582D1F"/>
    <w:rsid w:val="00582E01"/>
    <w:rsid w:val="00582E02"/>
    <w:rsid w:val="00582EFD"/>
    <w:rsid w:val="00582FBB"/>
    <w:rsid w:val="005832A6"/>
    <w:rsid w:val="005832C6"/>
    <w:rsid w:val="00583322"/>
    <w:rsid w:val="00583827"/>
    <w:rsid w:val="005839E5"/>
    <w:rsid w:val="00583B8B"/>
    <w:rsid w:val="00583BE7"/>
    <w:rsid w:val="00584141"/>
    <w:rsid w:val="005843C0"/>
    <w:rsid w:val="0058443B"/>
    <w:rsid w:val="00584474"/>
    <w:rsid w:val="0058458D"/>
    <w:rsid w:val="005846D4"/>
    <w:rsid w:val="00584E55"/>
    <w:rsid w:val="00585033"/>
    <w:rsid w:val="005850EE"/>
    <w:rsid w:val="0058524B"/>
    <w:rsid w:val="00585641"/>
    <w:rsid w:val="00585AB2"/>
    <w:rsid w:val="00585C8B"/>
    <w:rsid w:val="00585DDF"/>
    <w:rsid w:val="00585E24"/>
    <w:rsid w:val="005861C2"/>
    <w:rsid w:val="0058641E"/>
    <w:rsid w:val="0058647E"/>
    <w:rsid w:val="00586924"/>
    <w:rsid w:val="005869F8"/>
    <w:rsid w:val="00587082"/>
    <w:rsid w:val="00587301"/>
    <w:rsid w:val="00587727"/>
    <w:rsid w:val="00587B80"/>
    <w:rsid w:val="00587CB5"/>
    <w:rsid w:val="00587E48"/>
    <w:rsid w:val="00587E99"/>
    <w:rsid w:val="00587EDC"/>
    <w:rsid w:val="00587FF0"/>
    <w:rsid w:val="00590144"/>
    <w:rsid w:val="005902E8"/>
    <w:rsid w:val="005903F7"/>
    <w:rsid w:val="005906E4"/>
    <w:rsid w:val="0059076A"/>
    <w:rsid w:val="005907EE"/>
    <w:rsid w:val="0059083D"/>
    <w:rsid w:val="00590FF1"/>
    <w:rsid w:val="0059131D"/>
    <w:rsid w:val="0059184B"/>
    <w:rsid w:val="00591FC4"/>
    <w:rsid w:val="005920CC"/>
    <w:rsid w:val="00592242"/>
    <w:rsid w:val="005926B9"/>
    <w:rsid w:val="00592A2B"/>
    <w:rsid w:val="00592B32"/>
    <w:rsid w:val="00592BD7"/>
    <w:rsid w:val="00592D7A"/>
    <w:rsid w:val="00592EB0"/>
    <w:rsid w:val="00592ECF"/>
    <w:rsid w:val="00592F5F"/>
    <w:rsid w:val="005930F4"/>
    <w:rsid w:val="005933D6"/>
    <w:rsid w:val="0059341D"/>
    <w:rsid w:val="0059383A"/>
    <w:rsid w:val="00593CE0"/>
    <w:rsid w:val="00593E83"/>
    <w:rsid w:val="00594172"/>
    <w:rsid w:val="00594496"/>
    <w:rsid w:val="005944B9"/>
    <w:rsid w:val="005946A6"/>
    <w:rsid w:val="00595105"/>
    <w:rsid w:val="005954C3"/>
    <w:rsid w:val="00595682"/>
    <w:rsid w:val="005956CB"/>
    <w:rsid w:val="00595CD6"/>
    <w:rsid w:val="00595E04"/>
    <w:rsid w:val="00596438"/>
    <w:rsid w:val="0059649F"/>
    <w:rsid w:val="005964B0"/>
    <w:rsid w:val="005969E0"/>
    <w:rsid w:val="00596A19"/>
    <w:rsid w:val="00596ABD"/>
    <w:rsid w:val="00596CF4"/>
    <w:rsid w:val="00597455"/>
    <w:rsid w:val="005975BB"/>
    <w:rsid w:val="00597D55"/>
    <w:rsid w:val="00597F74"/>
    <w:rsid w:val="005A00FF"/>
    <w:rsid w:val="005A01A1"/>
    <w:rsid w:val="005A06BF"/>
    <w:rsid w:val="005A06C5"/>
    <w:rsid w:val="005A085B"/>
    <w:rsid w:val="005A0DD3"/>
    <w:rsid w:val="005A0F51"/>
    <w:rsid w:val="005A1060"/>
    <w:rsid w:val="005A1198"/>
    <w:rsid w:val="005A152B"/>
    <w:rsid w:val="005A1613"/>
    <w:rsid w:val="005A17F2"/>
    <w:rsid w:val="005A1A09"/>
    <w:rsid w:val="005A1EAD"/>
    <w:rsid w:val="005A1F74"/>
    <w:rsid w:val="005A2076"/>
    <w:rsid w:val="005A212C"/>
    <w:rsid w:val="005A2668"/>
    <w:rsid w:val="005A2D6F"/>
    <w:rsid w:val="005A310F"/>
    <w:rsid w:val="005A34B2"/>
    <w:rsid w:val="005A3B6D"/>
    <w:rsid w:val="005A3BB2"/>
    <w:rsid w:val="005A3EFB"/>
    <w:rsid w:val="005A42B8"/>
    <w:rsid w:val="005A438E"/>
    <w:rsid w:val="005A452F"/>
    <w:rsid w:val="005A45FD"/>
    <w:rsid w:val="005A4A9F"/>
    <w:rsid w:val="005A4AF1"/>
    <w:rsid w:val="005A5421"/>
    <w:rsid w:val="005A5670"/>
    <w:rsid w:val="005A57AE"/>
    <w:rsid w:val="005A59BA"/>
    <w:rsid w:val="005A59CC"/>
    <w:rsid w:val="005A5BCB"/>
    <w:rsid w:val="005A5C44"/>
    <w:rsid w:val="005A6425"/>
    <w:rsid w:val="005A677F"/>
    <w:rsid w:val="005A6BAF"/>
    <w:rsid w:val="005A6C7F"/>
    <w:rsid w:val="005A6D1E"/>
    <w:rsid w:val="005A7170"/>
    <w:rsid w:val="005A7763"/>
    <w:rsid w:val="005A7E06"/>
    <w:rsid w:val="005A7E6B"/>
    <w:rsid w:val="005B0091"/>
    <w:rsid w:val="005B00B8"/>
    <w:rsid w:val="005B018E"/>
    <w:rsid w:val="005B02DC"/>
    <w:rsid w:val="005B050F"/>
    <w:rsid w:val="005B061D"/>
    <w:rsid w:val="005B0630"/>
    <w:rsid w:val="005B0D00"/>
    <w:rsid w:val="005B0E76"/>
    <w:rsid w:val="005B1509"/>
    <w:rsid w:val="005B16BA"/>
    <w:rsid w:val="005B1745"/>
    <w:rsid w:val="005B1753"/>
    <w:rsid w:val="005B17A5"/>
    <w:rsid w:val="005B180B"/>
    <w:rsid w:val="005B18DA"/>
    <w:rsid w:val="005B1A9B"/>
    <w:rsid w:val="005B1E4C"/>
    <w:rsid w:val="005B214A"/>
    <w:rsid w:val="005B2371"/>
    <w:rsid w:val="005B245E"/>
    <w:rsid w:val="005B263F"/>
    <w:rsid w:val="005B269B"/>
    <w:rsid w:val="005B2864"/>
    <w:rsid w:val="005B2B0D"/>
    <w:rsid w:val="005B2D72"/>
    <w:rsid w:val="005B2DBA"/>
    <w:rsid w:val="005B3400"/>
    <w:rsid w:val="005B384F"/>
    <w:rsid w:val="005B38BF"/>
    <w:rsid w:val="005B3943"/>
    <w:rsid w:val="005B3B0B"/>
    <w:rsid w:val="005B3E4A"/>
    <w:rsid w:val="005B3E9D"/>
    <w:rsid w:val="005B3F62"/>
    <w:rsid w:val="005B3FF0"/>
    <w:rsid w:val="005B408A"/>
    <w:rsid w:val="005B40D7"/>
    <w:rsid w:val="005B4120"/>
    <w:rsid w:val="005B41B2"/>
    <w:rsid w:val="005B4521"/>
    <w:rsid w:val="005B48EA"/>
    <w:rsid w:val="005B4C23"/>
    <w:rsid w:val="005B5044"/>
    <w:rsid w:val="005B5232"/>
    <w:rsid w:val="005B5409"/>
    <w:rsid w:val="005B5A44"/>
    <w:rsid w:val="005B5ABC"/>
    <w:rsid w:val="005B5BB3"/>
    <w:rsid w:val="005B6433"/>
    <w:rsid w:val="005B691B"/>
    <w:rsid w:val="005B6C31"/>
    <w:rsid w:val="005B6FCB"/>
    <w:rsid w:val="005B7305"/>
    <w:rsid w:val="005B7570"/>
    <w:rsid w:val="005B75F0"/>
    <w:rsid w:val="005B7668"/>
    <w:rsid w:val="005B76A6"/>
    <w:rsid w:val="005B7A52"/>
    <w:rsid w:val="005B7A54"/>
    <w:rsid w:val="005C0298"/>
    <w:rsid w:val="005C02EB"/>
    <w:rsid w:val="005C04E6"/>
    <w:rsid w:val="005C076B"/>
    <w:rsid w:val="005C0C1C"/>
    <w:rsid w:val="005C0DC7"/>
    <w:rsid w:val="005C11A9"/>
    <w:rsid w:val="005C1435"/>
    <w:rsid w:val="005C1438"/>
    <w:rsid w:val="005C1F02"/>
    <w:rsid w:val="005C2577"/>
    <w:rsid w:val="005C2896"/>
    <w:rsid w:val="005C2A10"/>
    <w:rsid w:val="005C2C59"/>
    <w:rsid w:val="005C2F83"/>
    <w:rsid w:val="005C3095"/>
    <w:rsid w:val="005C30B0"/>
    <w:rsid w:val="005C3222"/>
    <w:rsid w:val="005C3471"/>
    <w:rsid w:val="005C366D"/>
    <w:rsid w:val="005C3A2A"/>
    <w:rsid w:val="005C3E04"/>
    <w:rsid w:val="005C42A0"/>
    <w:rsid w:val="005C42C6"/>
    <w:rsid w:val="005C4351"/>
    <w:rsid w:val="005C44D4"/>
    <w:rsid w:val="005C5093"/>
    <w:rsid w:val="005C57AD"/>
    <w:rsid w:val="005C59B9"/>
    <w:rsid w:val="005C5FDD"/>
    <w:rsid w:val="005C6886"/>
    <w:rsid w:val="005C6905"/>
    <w:rsid w:val="005C69D5"/>
    <w:rsid w:val="005C6E8A"/>
    <w:rsid w:val="005C76CE"/>
    <w:rsid w:val="005C7B33"/>
    <w:rsid w:val="005C7DCE"/>
    <w:rsid w:val="005D0054"/>
    <w:rsid w:val="005D07BB"/>
    <w:rsid w:val="005D0833"/>
    <w:rsid w:val="005D0B57"/>
    <w:rsid w:val="005D0C29"/>
    <w:rsid w:val="005D117A"/>
    <w:rsid w:val="005D1256"/>
    <w:rsid w:val="005D1311"/>
    <w:rsid w:val="005D1448"/>
    <w:rsid w:val="005D16F2"/>
    <w:rsid w:val="005D180D"/>
    <w:rsid w:val="005D1B3D"/>
    <w:rsid w:val="005D1EA8"/>
    <w:rsid w:val="005D1FFA"/>
    <w:rsid w:val="005D22A1"/>
    <w:rsid w:val="005D22EC"/>
    <w:rsid w:val="005D23F1"/>
    <w:rsid w:val="005D258A"/>
    <w:rsid w:val="005D2998"/>
    <w:rsid w:val="005D2B4A"/>
    <w:rsid w:val="005D3294"/>
    <w:rsid w:val="005D37EA"/>
    <w:rsid w:val="005D3B72"/>
    <w:rsid w:val="005D3BB6"/>
    <w:rsid w:val="005D3BBE"/>
    <w:rsid w:val="005D3D88"/>
    <w:rsid w:val="005D45C1"/>
    <w:rsid w:val="005D45CE"/>
    <w:rsid w:val="005D4845"/>
    <w:rsid w:val="005D4AC0"/>
    <w:rsid w:val="005D4D2E"/>
    <w:rsid w:val="005D4EB8"/>
    <w:rsid w:val="005D5013"/>
    <w:rsid w:val="005D52ED"/>
    <w:rsid w:val="005D55E9"/>
    <w:rsid w:val="005D565C"/>
    <w:rsid w:val="005D5C6B"/>
    <w:rsid w:val="005D5F12"/>
    <w:rsid w:val="005D60BB"/>
    <w:rsid w:val="005D65DE"/>
    <w:rsid w:val="005D684B"/>
    <w:rsid w:val="005D6A04"/>
    <w:rsid w:val="005D6BC6"/>
    <w:rsid w:val="005D7033"/>
    <w:rsid w:val="005D764E"/>
    <w:rsid w:val="005D7C12"/>
    <w:rsid w:val="005D7C84"/>
    <w:rsid w:val="005E01B2"/>
    <w:rsid w:val="005E0380"/>
    <w:rsid w:val="005E0756"/>
    <w:rsid w:val="005E0838"/>
    <w:rsid w:val="005E08F5"/>
    <w:rsid w:val="005E0A85"/>
    <w:rsid w:val="005E0AB4"/>
    <w:rsid w:val="005E0BFE"/>
    <w:rsid w:val="005E0CCF"/>
    <w:rsid w:val="005E0D5A"/>
    <w:rsid w:val="005E0EBE"/>
    <w:rsid w:val="005E108B"/>
    <w:rsid w:val="005E1A19"/>
    <w:rsid w:val="005E2169"/>
    <w:rsid w:val="005E23B9"/>
    <w:rsid w:val="005E2404"/>
    <w:rsid w:val="005E266A"/>
    <w:rsid w:val="005E2CD6"/>
    <w:rsid w:val="005E2E79"/>
    <w:rsid w:val="005E3070"/>
    <w:rsid w:val="005E31E5"/>
    <w:rsid w:val="005E32E2"/>
    <w:rsid w:val="005E3607"/>
    <w:rsid w:val="005E4251"/>
    <w:rsid w:val="005E4397"/>
    <w:rsid w:val="005E4866"/>
    <w:rsid w:val="005E48D9"/>
    <w:rsid w:val="005E48F5"/>
    <w:rsid w:val="005E4CFF"/>
    <w:rsid w:val="005E5100"/>
    <w:rsid w:val="005E545F"/>
    <w:rsid w:val="005E567C"/>
    <w:rsid w:val="005E5911"/>
    <w:rsid w:val="005E5924"/>
    <w:rsid w:val="005E5CA2"/>
    <w:rsid w:val="005E627F"/>
    <w:rsid w:val="005E6813"/>
    <w:rsid w:val="005E683E"/>
    <w:rsid w:val="005E6E8D"/>
    <w:rsid w:val="005E7189"/>
    <w:rsid w:val="005E726D"/>
    <w:rsid w:val="005E72E9"/>
    <w:rsid w:val="005E7542"/>
    <w:rsid w:val="005E7A7F"/>
    <w:rsid w:val="005E7DC4"/>
    <w:rsid w:val="005E7F4C"/>
    <w:rsid w:val="005F0151"/>
    <w:rsid w:val="005F0622"/>
    <w:rsid w:val="005F0A6C"/>
    <w:rsid w:val="005F130A"/>
    <w:rsid w:val="005F13E4"/>
    <w:rsid w:val="005F155D"/>
    <w:rsid w:val="005F166C"/>
    <w:rsid w:val="005F1836"/>
    <w:rsid w:val="005F197C"/>
    <w:rsid w:val="005F1BB0"/>
    <w:rsid w:val="005F1C68"/>
    <w:rsid w:val="005F1FAE"/>
    <w:rsid w:val="005F21B1"/>
    <w:rsid w:val="005F26EA"/>
    <w:rsid w:val="005F2862"/>
    <w:rsid w:val="005F309B"/>
    <w:rsid w:val="005F3110"/>
    <w:rsid w:val="005F32E0"/>
    <w:rsid w:val="005F3326"/>
    <w:rsid w:val="005F3377"/>
    <w:rsid w:val="005F381B"/>
    <w:rsid w:val="005F3A97"/>
    <w:rsid w:val="005F4074"/>
    <w:rsid w:val="005F41FD"/>
    <w:rsid w:val="005F4BB6"/>
    <w:rsid w:val="005F4FEB"/>
    <w:rsid w:val="005F531A"/>
    <w:rsid w:val="005F58F3"/>
    <w:rsid w:val="005F5CF1"/>
    <w:rsid w:val="005F5DE8"/>
    <w:rsid w:val="005F5E50"/>
    <w:rsid w:val="005F5EF0"/>
    <w:rsid w:val="005F66BB"/>
    <w:rsid w:val="005F66C2"/>
    <w:rsid w:val="005F6DD8"/>
    <w:rsid w:val="005F72CC"/>
    <w:rsid w:val="005F7508"/>
    <w:rsid w:val="005F7CFD"/>
    <w:rsid w:val="006002CB"/>
    <w:rsid w:val="00600A55"/>
    <w:rsid w:val="00600B07"/>
    <w:rsid w:val="00600B56"/>
    <w:rsid w:val="00600DD6"/>
    <w:rsid w:val="00600DFE"/>
    <w:rsid w:val="0060121E"/>
    <w:rsid w:val="00601337"/>
    <w:rsid w:val="0060146F"/>
    <w:rsid w:val="006016F4"/>
    <w:rsid w:val="00601A4B"/>
    <w:rsid w:val="00602140"/>
    <w:rsid w:val="00602215"/>
    <w:rsid w:val="006023D4"/>
    <w:rsid w:val="00603490"/>
    <w:rsid w:val="006035E3"/>
    <w:rsid w:val="0060370A"/>
    <w:rsid w:val="00603878"/>
    <w:rsid w:val="00603B81"/>
    <w:rsid w:val="00603BA6"/>
    <w:rsid w:val="00603C63"/>
    <w:rsid w:val="00603E0C"/>
    <w:rsid w:val="00603EFC"/>
    <w:rsid w:val="00604689"/>
    <w:rsid w:val="00604783"/>
    <w:rsid w:val="006049B6"/>
    <w:rsid w:val="00604BAA"/>
    <w:rsid w:val="00604EAE"/>
    <w:rsid w:val="00605929"/>
    <w:rsid w:val="00605E18"/>
    <w:rsid w:val="00606590"/>
    <w:rsid w:val="00606715"/>
    <w:rsid w:val="00606F45"/>
    <w:rsid w:val="00607034"/>
    <w:rsid w:val="0060707E"/>
    <w:rsid w:val="0060749D"/>
    <w:rsid w:val="00607596"/>
    <w:rsid w:val="00607744"/>
    <w:rsid w:val="00607DBF"/>
    <w:rsid w:val="006108EF"/>
    <w:rsid w:val="00610919"/>
    <w:rsid w:val="00610CA8"/>
    <w:rsid w:val="00611113"/>
    <w:rsid w:val="0061133A"/>
    <w:rsid w:val="006114AB"/>
    <w:rsid w:val="0061157E"/>
    <w:rsid w:val="006117C1"/>
    <w:rsid w:val="00612110"/>
    <w:rsid w:val="006121A5"/>
    <w:rsid w:val="0061222D"/>
    <w:rsid w:val="006125BB"/>
    <w:rsid w:val="006127D4"/>
    <w:rsid w:val="006129FA"/>
    <w:rsid w:val="00612DB8"/>
    <w:rsid w:val="006130A0"/>
    <w:rsid w:val="006130E3"/>
    <w:rsid w:val="00613189"/>
    <w:rsid w:val="00613252"/>
    <w:rsid w:val="006139DB"/>
    <w:rsid w:val="00613D8E"/>
    <w:rsid w:val="006141F1"/>
    <w:rsid w:val="00614431"/>
    <w:rsid w:val="0061453C"/>
    <w:rsid w:val="00614DDE"/>
    <w:rsid w:val="00614FCF"/>
    <w:rsid w:val="0061575E"/>
    <w:rsid w:val="00616063"/>
    <w:rsid w:val="0061618B"/>
    <w:rsid w:val="006161DA"/>
    <w:rsid w:val="0061649F"/>
    <w:rsid w:val="0061695A"/>
    <w:rsid w:val="00616C92"/>
    <w:rsid w:val="00616F83"/>
    <w:rsid w:val="006171CF"/>
    <w:rsid w:val="006175C7"/>
    <w:rsid w:val="0061793C"/>
    <w:rsid w:val="00617998"/>
    <w:rsid w:val="00617C31"/>
    <w:rsid w:val="00617D46"/>
    <w:rsid w:val="00617D79"/>
    <w:rsid w:val="00617F63"/>
    <w:rsid w:val="006202E9"/>
    <w:rsid w:val="006204D8"/>
    <w:rsid w:val="00620B6B"/>
    <w:rsid w:val="00620B78"/>
    <w:rsid w:val="00620EFE"/>
    <w:rsid w:val="00620F6C"/>
    <w:rsid w:val="006211C3"/>
    <w:rsid w:val="00621554"/>
    <w:rsid w:val="006218BC"/>
    <w:rsid w:val="00622218"/>
    <w:rsid w:val="0062240A"/>
    <w:rsid w:val="00622493"/>
    <w:rsid w:val="006226D4"/>
    <w:rsid w:val="006227C2"/>
    <w:rsid w:val="006228F2"/>
    <w:rsid w:val="00622DB5"/>
    <w:rsid w:val="00623044"/>
    <w:rsid w:val="006233EA"/>
    <w:rsid w:val="0062370E"/>
    <w:rsid w:val="00623768"/>
    <w:rsid w:val="00623AE4"/>
    <w:rsid w:val="00623C8B"/>
    <w:rsid w:val="00623F26"/>
    <w:rsid w:val="00624028"/>
    <w:rsid w:val="006246AA"/>
    <w:rsid w:val="00624E21"/>
    <w:rsid w:val="00624FF2"/>
    <w:rsid w:val="0062505C"/>
    <w:rsid w:val="00625147"/>
    <w:rsid w:val="006256C6"/>
    <w:rsid w:val="00625724"/>
    <w:rsid w:val="00625AB5"/>
    <w:rsid w:val="00626134"/>
    <w:rsid w:val="0062620F"/>
    <w:rsid w:val="00626322"/>
    <w:rsid w:val="006263C3"/>
    <w:rsid w:val="00626462"/>
    <w:rsid w:val="00626738"/>
    <w:rsid w:val="00626A17"/>
    <w:rsid w:val="00626F6F"/>
    <w:rsid w:val="00626FA9"/>
    <w:rsid w:val="006272B8"/>
    <w:rsid w:val="00627BEA"/>
    <w:rsid w:val="00627C75"/>
    <w:rsid w:val="00627C86"/>
    <w:rsid w:val="00627D1D"/>
    <w:rsid w:val="0063068D"/>
    <w:rsid w:val="00630836"/>
    <w:rsid w:val="00630967"/>
    <w:rsid w:val="00630A57"/>
    <w:rsid w:val="00631317"/>
    <w:rsid w:val="0063172F"/>
    <w:rsid w:val="00631747"/>
    <w:rsid w:val="0063176F"/>
    <w:rsid w:val="006318C5"/>
    <w:rsid w:val="00631947"/>
    <w:rsid w:val="006320E7"/>
    <w:rsid w:val="0063285A"/>
    <w:rsid w:val="00632BD8"/>
    <w:rsid w:val="006332C7"/>
    <w:rsid w:val="00633354"/>
    <w:rsid w:val="00633C0F"/>
    <w:rsid w:val="00633C51"/>
    <w:rsid w:val="00633CCB"/>
    <w:rsid w:val="00633D94"/>
    <w:rsid w:val="00634045"/>
    <w:rsid w:val="00634549"/>
    <w:rsid w:val="0063478D"/>
    <w:rsid w:val="006348A5"/>
    <w:rsid w:val="00634BAC"/>
    <w:rsid w:val="00634DFA"/>
    <w:rsid w:val="00634F15"/>
    <w:rsid w:val="00635122"/>
    <w:rsid w:val="006351A5"/>
    <w:rsid w:val="0063566C"/>
    <w:rsid w:val="006358AA"/>
    <w:rsid w:val="006363A5"/>
    <w:rsid w:val="006364D5"/>
    <w:rsid w:val="0063666A"/>
    <w:rsid w:val="006368C7"/>
    <w:rsid w:val="00636E64"/>
    <w:rsid w:val="00636F92"/>
    <w:rsid w:val="006371E1"/>
    <w:rsid w:val="0063742F"/>
    <w:rsid w:val="0063747D"/>
    <w:rsid w:val="00637534"/>
    <w:rsid w:val="006375CE"/>
    <w:rsid w:val="006379B2"/>
    <w:rsid w:val="00637C39"/>
    <w:rsid w:val="00637D7B"/>
    <w:rsid w:val="00637E6C"/>
    <w:rsid w:val="0064021C"/>
    <w:rsid w:val="00640345"/>
    <w:rsid w:val="0064051F"/>
    <w:rsid w:val="00640739"/>
    <w:rsid w:val="006407D5"/>
    <w:rsid w:val="0064083E"/>
    <w:rsid w:val="00640925"/>
    <w:rsid w:val="00640945"/>
    <w:rsid w:val="00640BE8"/>
    <w:rsid w:val="00641288"/>
    <w:rsid w:val="0064145C"/>
    <w:rsid w:val="006414B3"/>
    <w:rsid w:val="00641A05"/>
    <w:rsid w:val="00641A4F"/>
    <w:rsid w:val="00641ECA"/>
    <w:rsid w:val="00642288"/>
    <w:rsid w:val="006423FE"/>
    <w:rsid w:val="00642577"/>
    <w:rsid w:val="00642800"/>
    <w:rsid w:val="00643291"/>
    <w:rsid w:val="0064393D"/>
    <w:rsid w:val="00644028"/>
    <w:rsid w:val="006441FA"/>
    <w:rsid w:val="00644315"/>
    <w:rsid w:val="006443A9"/>
    <w:rsid w:val="00644417"/>
    <w:rsid w:val="006444C8"/>
    <w:rsid w:val="00644544"/>
    <w:rsid w:val="00644858"/>
    <w:rsid w:val="00644891"/>
    <w:rsid w:val="00644A1A"/>
    <w:rsid w:val="00644BC8"/>
    <w:rsid w:val="00644CE2"/>
    <w:rsid w:val="0064521D"/>
    <w:rsid w:val="0064553A"/>
    <w:rsid w:val="006458C1"/>
    <w:rsid w:val="00645A59"/>
    <w:rsid w:val="00645AC9"/>
    <w:rsid w:val="00645B30"/>
    <w:rsid w:val="00645BC9"/>
    <w:rsid w:val="00645CF6"/>
    <w:rsid w:val="00645F8E"/>
    <w:rsid w:val="006462FB"/>
    <w:rsid w:val="0064650B"/>
    <w:rsid w:val="00646544"/>
    <w:rsid w:val="00646566"/>
    <w:rsid w:val="0064665F"/>
    <w:rsid w:val="00646B1D"/>
    <w:rsid w:val="00646F33"/>
    <w:rsid w:val="00647757"/>
    <w:rsid w:val="00647760"/>
    <w:rsid w:val="00647A62"/>
    <w:rsid w:val="00647B17"/>
    <w:rsid w:val="00647C7B"/>
    <w:rsid w:val="0065044C"/>
    <w:rsid w:val="00650627"/>
    <w:rsid w:val="00650799"/>
    <w:rsid w:val="00650868"/>
    <w:rsid w:val="00650874"/>
    <w:rsid w:val="006508ED"/>
    <w:rsid w:val="00650956"/>
    <w:rsid w:val="00650A83"/>
    <w:rsid w:val="00650D88"/>
    <w:rsid w:val="00650F86"/>
    <w:rsid w:val="0065122F"/>
    <w:rsid w:val="006513D7"/>
    <w:rsid w:val="006516E6"/>
    <w:rsid w:val="006519D0"/>
    <w:rsid w:val="00651E8C"/>
    <w:rsid w:val="00652146"/>
    <w:rsid w:val="006523DA"/>
    <w:rsid w:val="0065249C"/>
    <w:rsid w:val="006526D6"/>
    <w:rsid w:val="006528E8"/>
    <w:rsid w:val="00652C69"/>
    <w:rsid w:val="00653082"/>
    <w:rsid w:val="00653147"/>
    <w:rsid w:val="00653185"/>
    <w:rsid w:val="00653A12"/>
    <w:rsid w:val="00653E5B"/>
    <w:rsid w:val="00653E7B"/>
    <w:rsid w:val="00653FCD"/>
    <w:rsid w:val="00654250"/>
    <w:rsid w:val="00654498"/>
    <w:rsid w:val="00654984"/>
    <w:rsid w:val="00654C01"/>
    <w:rsid w:val="00655A78"/>
    <w:rsid w:val="00655AD9"/>
    <w:rsid w:val="00655ED0"/>
    <w:rsid w:val="006564F6"/>
    <w:rsid w:val="00656605"/>
    <w:rsid w:val="00656C4D"/>
    <w:rsid w:val="00656D32"/>
    <w:rsid w:val="00656D58"/>
    <w:rsid w:val="00656E68"/>
    <w:rsid w:val="00656EAD"/>
    <w:rsid w:val="006570B4"/>
    <w:rsid w:val="0065734A"/>
    <w:rsid w:val="00657406"/>
    <w:rsid w:val="00657498"/>
    <w:rsid w:val="006574A4"/>
    <w:rsid w:val="0066041B"/>
    <w:rsid w:val="00660482"/>
    <w:rsid w:val="006604C9"/>
    <w:rsid w:val="0066078C"/>
    <w:rsid w:val="00660C72"/>
    <w:rsid w:val="00661024"/>
    <w:rsid w:val="006615A2"/>
    <w:rsid w:val="006618B6"/>
    <w:rsid w:val="00661A00"/>
    <w:rsid w:val="00661AED"/>
    <w:rsid w:val="00661FF1"/>
    <w:rsid w:val="0066239F"/>
    <w:rsid w:val="00662543"/>
    <w:rsid w:val="00662A6E"/>
    <w:rsid w:val="00662DDF"/>
    <w:rsid w:val="00662F1A"/>
    <w:rsid w:val="00663310"/>
    <w:rsid w:val="00663343"/>
    <w:rsid w:val="0066350E"/>
    <w:rsid w:val="00663B7B"/>
    <w:rsid w:val="00664024"/>
    <w:rsid w:val="006647C9"/>
    <w:rsid w:val="00664A3A"/>
    <w:rsid w:val="00664A4D"/>
    <w:rsid w:val="00664A78"/>
    <w:rsid w:val="00664DF4"/>
    <w:rsid w:val="00665485"/>
    <w:rsid w:val="0066552D"/>
    <w:rsid w:val="0066564F"/>
    <w:rsid w:val="00665675"/>
    <w:rsid w:val="00665C10"/>
    <w:rsid w:val="00665F72"/>
    <w:rsid w:val="006667ED"/>
    <w:rsid w:val="0066687D"/>
    <w:rsid w:val="0066689E"/>
    <w:rsid w:val="00666C7B"/>
    <w:rsid w:val="006672A8"/>
    <w:rsid w:val="00667704"/>
    <w:rsid w:val="00667C51"/>
    <w:rsid w:val="00667C56"/>
    <w:rsid w:val="00667CB2"/>
    <w:rsid w:val="00667EE6"/>
    <w:rsid w:val="00670225"/>
    <w:rsid w:val="0067023A"/>
    <w:rsid w:val="0067061E"/>
    <w:rsid w:val="006707E6"/>
    <w:rsid w:val="00670EB9"/>
    <w:rsid w:val="006713BE"/>
    <w:rsid w:val="006713E5"/>
    <w:rsid w:val="0067158D"/>
    <w:rsid w:val="006715A2"/>
    <w:rsid w:val="00671CC6"/>
    <w:rsid w:val="00671CD5"/>
    <w:rsid w:val="00671E37"/>
    <w:rsid w:val="00671FCA"/>
    <w:rsid w:val="006728C5"/>
    <w:rsid w:val="00672B31"/>
    <w:rsid w:val="00672B5D"/>
    <w:rsid w:val="00673059"/>
    <w:rsid w:val="00673481"/>
    <w:rsid w:val="00673B76"/>
    <w:rsid w:val="00673C6E"/>
    <w:rsid w:val="00673DB5"/>
    <w:rsid w:val="00673DFB"/>
    <w:rsid w:val="0067405A"/>
    <w:rsid w:val="0067477A"/>
    <w:rsid w:val="00674E65"/>
    <w:rsid w:val="00674E9B"/>
    <w:rsid w:val="00675041"/>
    <w:rsid w:val="006750E3"/>
    <w:rsid w:val="00675243"/>
    <w:rsid w:val="006752EE"/>
    <w:rsid w:val="006753C4"/>
    <w:rsid w:val="006753E9"/>
    <w:rsid w:val="00675526"/>
    <w:rsid w:val="00675BD8"/>
    <w:rsid w:val="006760F3"/>
    <w:rsid w:val="00676103"/>
    <w:rsid w:val="006763FB"/>
    <w:rsid w:val="00676600"/>
    <w:rsid w:val="00676749"/>
    <w:rsid w:val="006768F8"/>
    <w:rsid w:val="00676B73"/>
    <w:rsid w:val="00676D81"/>
    <w:rsid w:val="00676EC3"/>
    <w:rsid w:val="00676FBB"/>
    <w:rsid w:val="006770C2"/>
    <w:rsid w:val="00677222"/>
    <w:rsid w:val="00677396"/>
    <w:rsid w:val="006773FA"/>
    <w:rsid w:val="00677669"/>
    <w:rsid w:val="0067799D"/>
    <w:rsid w:val="006779E1"/>
    <w:rsid w:val="00677BA2"/>
    <w:rsid w:val="006803DD"/>
    <w:rsid w:val="0068046D"/>
    <w:rsid w:val="006804EB"/>
    <w:rsid w:val="00680752"/>
    <w:rsid w:val="00680829"/>
    <w:rsid w:val="00680FCF"/>
    <w:rsid w:val="00681151"/>
    <w:rsid w:val="00681A3B"/>
    <w:rsid w:val="00681A58"/>
    <w:rsid w:val="00681B82"/>
    <w:rsid w:val="00681BF2"/>
    <w:rsid w:val="006823FF"/>
    <w:rsid w:val="00682431"/>
    <w:rsid w:val="006825E7"/>
    <w:rsid w:val="006826A3"/>
    <w:rsid w:val="00682866"/>
    <w:rsid w:val="00682B6F"/>
    <w:rsid w:val="00682DCD"/>
    <w:rsid w:val="0068326A"/>
    <w:rsid w:val="00683293"/>
    <w:rsid w:val="00683427"/>
    <w:rsid w:val="0068378A"/>
    <w:rsid w:val="006837BC"/>
    <w:rsid w:val="00683851"/>
    <w:rsid w:val="00683AB7"/>
    <w:rsid w:val="00683CF8"/>
    <w:rsid w:val="00683D94"/>
    <w:rsid w:val="00684196"/>
    <w:rsid w:val="006845A6"/>
    <w:rsid w:val="006848FE"/>
    <w:rsid w:val="00684F25"/>
    <w:rsid w:val="006850C2"/>
    <w:rsid w:val="0068510A"/>
    <w:rsid w:val="006851D2"/>
    <w:rsid w:val="00685273"/>
    <w:rsid w:val="006854B0"/>
    <w:rsid w:val="0068558D"/>
    <w:rsid w:val="00685811"/>
    <w:rsid w:val="0068589F"/>
    <w:rsid w:val="00685A33"/>
    <w:rsid w:val="00685D19"/>
    <w:rsid w:val="006862C3"/>
    <w:rsid w:val="0068641E"/>
    <w:rsid w:val="006866D5"/>
    <w:rsid w:val="0068692C"/>
    <w:rsid w:val="0068698C"/>
    <w:rsid w:val="00686B24"/>
    <w:rsid w:val="00686BA4"/>
    <w:rsid w:val="00686E79"/>
    <w:rsid w:val="00686F62"/>
    <w:rsid w:val="006871C6"/>
    <w:rsid w:val="00687317"/>
    <w:rsid w:val="006874BB"/>
    <w:rsid w:val="00687754"/>
    <w:rsid w:val="00687A6C"/>
    <w:rsid w:val="00687B3B"/>
    <w:rsid w:val="00687E0D"/>
    <w:rsid w:val="00690226"/>
    <w:rsid w:val="00690576"/>
    <w:rsid w:val="00690690"/>
    <w:rsid w:val="006906B2"/>
    <w:rsid w:val="006909C9"/>
    <w:rsid w:val="00690AEA"/>
    <w:rsid w:val="00690C4E"/>
    <w:rsid w:val="00690E18"/>
    <w:rsid w:val="00690F2D"/>
    <w:rsid w:val="0069102F"/>
    <w:rsid w:val="00691535"/>
    <w:rsid w:val="006915D5"/>
    <w:rsid w:val="00691606"/>
    <w:rsid w:val="0069191B"/>
    <w:rsid w:val="00691F23"/>
    <w:rsid w:val="006925DE"/>
    <w:rsid w:val="00692762"/>
    <w:rsid w:val="006930C1"/>
    <w:rsid w:val="0069344A"/>
    <w:rsid w:val="006934A6"/>
    <w:rsid w:val="0069368A"/>
    <w:rsid w:val="00693817"/>
    <w:rsid w:val="00693AE8"/>
    <w:rsid w:val="00693B6B"/>
    <w:rsid w:val="00693DB2"/>
    <w:rsid w:val="00693E6D"/>
    <w:rsid w:val="00693EF3"/>
    <w:rsid w:val="00694207"/>
    <w:rsid w:val="006942EB"/>
    <w:rsid w:val="006942ED"/>
    <w:rsid w:val="006943AC"/>
    <w:rsid w:val="00694661"/>
    <w:rsid w:val="006948B4"/>
    <w:rsid w:val="00694D5E"/>
    <w:rsid w:val="006952DF"/>
    <w:rsid w:val="006954AD"/>
    <w:rsid w:val="0069570F"/>
    <w:rsid w:val="00695833"/>
    <w:rsid w:val="006958FD"/>
    <w:rsid w:val="00695D3D"/>
    <w:rsid w:val="00695DFF"/>
    <w:rsid w:val="00695F2B"/>
    <w:rsid w:val="00695FF9"/>
    <w:rsid w:val="006961DB"/>
    <w:rsid w:val="006963D6"/>
    <w:rsid w:val="00696DD3"/>
    <w:rsid w:val="00696E5B"/>
    <w:rsid w:val="00696ED9"/>
    <w:rsid w:val="006973A1"/>
    <w:rsid w:val="006973B5"/>
    <w:rsid w:val="00697421"/>
    <w:rsid w:val="00697A28"/>
    <w:rsid w:val="00697A96"/>
    <w:rsid w:val="00697E1E"/>
    <w:rsid w:val="00697E25"/>
    <w:rsid w:val="006A05EC"/>
    <w:rsid w:val="006A073F"/>
    <w:rsid w:val="006A07FB"/>
    <w:rsid w:val="006A0A43"/>
    <w:rsid w:val="006A1357"/>
    <w:rsid w:val="006A2019"/>
    <w:rsid w:val="006A2332"/>
    <w:rsid w:val="006A23F5"/>
    <w:rsid w:val="006A2624"/>
    <w:rsid w:val="006A26ED"/>
    <w:rsid w:val="006A2723"/>
    <w:rsid w:val="006A2A92"/>
    <w:rsid w:val="006A2B5F"/>
    <w:rsid w:val="006A32A5"/>
    <w:rsid w:val="006A3516"/>
    <w:rsid w:val="006A3DAB"/>
    <w:rsid w:val="006A4358"/>
    <w:rsid w:val="006A4428"/>
    <w:rsid w:val="006A4448"/>
    <w:rsid w:val="006A4635"/>
    <w:rsid w:val="006A46C5"/>
    <w:rsid w:val="006A4839"/>
    <w:rsid w:val="006A4995"/>
    <w:rsid w:val="006A4D21"/>
    <w:rsid w:val="006A503E"/>
    <w:rsid w:val="006A5373"/>
    <w:rsid w:val="006A53F6"/>
    <w:rsid w:val="006A5689"/>
    <w:rsid w:val="006A57AB"/>
    <w:rsid w:val="006A5CA2"/>
    <w:rsid w:val="006A5DE9"/>
    <w:rsid w:val="006A5F52"/>
    <w:rsid w:val="006A6047"/>
    <w:rsid w:val="006A60BB"/>
    <w:rsid w:val="006A66E2"/>
    <w:rsid w:val="006A6828"/>
    <w:rsid w:val="006A68EA"/>
    <w:rsid w:val="006A693C"/>
    <w:rsid w:val="006A6969"/>
    <w:rsid w:val="006A69A3"/>
    <w:rsid w:val="006A69B7"/>
    <w:rsid w:val="006A69E9"/>
    <w:rsid w:val="006A6B5F"/>
    <w:rsid w:val="006A6B94"/>
    <w:rsid w:val="006A7045"/>
    <w:rsid w:val="006A7064"/>
    <w:rsid w:val="006B06B4"/>
    <w:rsid w:val="006B079D"/>
    <w:rsid w:val="006B07A3"/>
    <w:rsid w:val="006B087A"/>
    <w:rsid w:val="006B0AD9"/>
    <w:rsid w:val="006B0D60"/>
    <w:rsid w:val="006B0E30"/>
    <w:rsid w:val="006B0F0A"/>
    <w:rsid w:val="006B0F79"/>
    <w:rsid w:val="006B0FBF"/>
    <w:rsid w:val="006B1204"/>
    <w:rsid w:val="006B13A4"/>
    <w:rsid w:val="006B2379"/>
    <w:rsid w:val="006B2556"/>
    <w:rsid w:val="006B27B0"/>
    <w:rsid w:val="006B323D"/>
    <w:rsid w:val="006B363B"/>
    <w:rsid w:val="006B3E6E"/>
    <w:rsid w:val="006B41BA"/>
    <w:rsid w:val="006B41F6"/>
    <w:rsid w:val="006B4518"/>
    <w:rsid w:val="006B4948"/>
    <w:rsid w:val="006B4A70"/>
    <w:rsid w:val="006B4EBD"/>
    <w:rsid w:val="006B4EFE"/>
    <w:rsid w:val="006B5063"/>
    <w:rsid w:val="006B5272"/>
    <w:rsid w:val="006B5352"/>
    <w:rsid w:val="006B53DC"/>
    <w:rsid w:val="006B5651"/>
    <w:rsid w:val="006B5A93"/>
    <w:rsid w:val="006B5CF4"/>
    <w:rsid w:val="006B5D09"/>
    <w:rsid w:val="006B6066"/>
    <w:rsid w:val="006B6501"/>
    <w:rsid w:val="006B6516"/>
    <w:rsid w:val="006B6B2F"/>
    <w:rsid w:val="006B6D58"/>
    <w:rsid w:val="006B7047"/>
    <w:rsid w:val="006B7906"/>
    <w:rsid w:val="006B7D33"/>
    <w:rsid w:val="006B7D35"/>
    <w:rsid w:val="006C06C2"/>
    <w:rsid w:val="006C06D9"/>
    <w:rsid w:val="006C06FE"/>
    <w:rsid w:val="006C0730"/>
    <w:rsid w:val="006C1326"/>
    <w:rsid w:val="006C1381"/>
    <w:rsid w:val="006C1908"/>
    <w:rsid w:val="006C1ADC"/>
    <w:rsid w:val="006C1F19"/>
    <w:rsid w:val="006C2B54"/>
    <w:rsid w:val="006C2B99"/>
    <w:rsid w:val="006C354A"/>
    <w:rsid w:val="006C382E"/>
    <w:rsid w:val="006C3AD4"/>
    <w:rsid w:val="006C3C3E"/>
    <w:rsid w:val="006C3CAF"/>
    <w:rsid w:val="006C4646"/>
    <w:rsid w:val="006C464D"/>
    <w:rsid w:val="006C49DB"/>
    <w:rsid w:val="006C4AE7"/>
    <w:rsid w:val="006C4AEE"/>
    <w:rsid w:val="006C4B8F"/>
    <w:rsid w:val="006C4E24"/>
    <w:rsid w:val="006C5762"/>
    <w:rsid w:val="006C59C7"/>
    <w:rsid w:val="006C5D52"/>
    <w:rsid w:val="006C6080"/>
    <w:rsid w:val="006C60A2"/>
    <w:rsid w:val="006C61FE"/>
    <w:rsid w:val="006C670C"/>
    <w:rsid w:val="006C6B3A"/>
    <w:rsid w:val="006C6D3D"/>
    <w:rsid w:val="006C7101"/>
    <w:rsid w:val="006C71CF"/>
    <w:rsid w:val="006C74A1"/>
    <w:rsid w:val="006C7A56"/>
    <w:rsid w:val="006C7BEA"/>
    <w:rsid w:val="006C7E69"/>
    <w:rsid w:val="006C7E95"/>
    <w:rsid w:val="006C7ED5"/>
    <w:rsid w:val="006D0139"/>
    <w:rsid w:val="006D018B"/>
    <w:rsid w:val="006D037F"/>
    <w:rsid w:val="006D057E"/>
    <w:rsid w:val="006D05BD"/>
    <w:rsid w:val="006D0A38"/>
    <w:rsid w:val="006D0BB5"/>
    <w:rsid w:val="006D0C99"/>
    <w:rsid w:val="006D0DD0"/>
    <w:rsid w:val="006D0EF2"/>
    <w:rsid w:val="006D0FA0"/>
    <w:rsid w:val="006D10CA"/>
    <w:rsid w:val="006D1592"/>
    <w:rsid w:val="006D1658"/>
    <w:rsid w:val="006D17CA"/>
    <w:rsid w:val="006D17F2"/>
    <w:rsid w:val="006D22A2"/>
    <w:rsid w:val="006D28F5"/>
    <w:rsid w:val="006D2CFE"/>
    <w:rsid w:val="006D338A"/>
    <w:rsid w:val="006D33B7"/>
    <w:rsid w:val="006D34CF"/>
    <w:rsid w:val="006D364B"/>
    <w:rsid w:val="006D3976"/>
    <w:rsid w:val="006D3A28"/>
    <w:rsid w:val="006D3FFD"/>
    <w:rsid w:val="006D4138"/>
    <w:rsid w:val="006D41B2"/>
    <w:rsid w:val="006D428E"/>
    <w:rsid w:val="006D465B"/>
    <w:rsid w:val="006D4804"/>
    <w:rsid w:val="006D4932"/>
    <w:rsid w:val="006D49CE"/>
    <w:rsid w:val="006D4F7B"/>
    <w:rsid w:val="006D506F"/>
    <w:rsid w:val="006D5534"/>
    <w:rsid w:val="006D592D"/>
    <w:rsid w:val="006D5CD7"/>
    <w:rsid w:val="006D671E"/>
    <w:rsid w:val="006D6935"/>
    <w:rsid w:val="006D69F0"/>
    <w:rsid w:val="006D6BCE"/>
    <w:rsid w:val="006D6E98"/>
    <w:rsid w:val="006D7619"/>
    <w:rsid w:val="006D7A64"/>
    <w:rsid w:val="006D7E65"/>
    <w:rsid w:val="006E0618"/>
    <w:rsid w:val="006E0637"/>
    <w:rsid w:val="006E0AB7"/>
    <w:rsid w:val="006E0C69"/>
    <w:rsid w:val="006E1437"/>
    <w:rsid w:val="006E1636"/>
    <w:rsid w:val="006E1894"/>
    <w:rsid w:val="006E18BB"/>
    <w:rsid w:val="006E18DA"/>
    <w:rsid w:val="006E1ABB"/>
    <w:rsid w:val="006E1C63"/>
    <w:rsid w:val="006E1E04"/>
    <w:rsid w:val="006E24E3"/>
    <w:rsid w:val="006E28DF"/>
    <w:rsid w:val="006E2CDE"/>
    <w:rsid w:val="006E2F2D"/>
    <w:rsid w:val="006E38B3"/>
    <w:rsid w:val="006E3D7A"/>
    <w:rsid w:val="006E3F92"/>
    <w:rsid w:val="006E426E"/>
    <w:rsid w:val="006E44E2"/>
    <w:rsid w:val="006E45C4"/>
    <w:rsid w:val="006E4832"/>
    <w:rsid w:val="006E4BD1"/>
    <w:rsid w:val="006E4CAA"/>
    <w:rsid w:val="006E4DAA"/>
    <w:rsid w:val="006E4FA4"/>
    <w:rsid w:val="006E5716"/>
    <w:rsid w:val="006E5BFA"/>
    <w:rsid w:val="006E5D3B"/>
    <w:rsid w:val="006E5DB7"/>
    <w:rsid w:val="006E5DC9"/>
    <w:rsid w:val="006E5ECA"/>
    <w:rsid w:val="006E6293"/>
    <w:rsid w:val="006E69DA"/>
    <w:rsid w:val="006E6B75"/>
    <w:rsid w:val="006E6C02"/>
    <w:rsid w:val="006E6C0B"/>
    <w:rsid w:val="006E6E51"/>
    <w:rsid w:val="006E6F78"/>
    <w:rsid w:val="006E7142"/>
    <w:rsid w:val="006E7846"/>
    <w:rsid w:val="006E7A48"/>
    <w:rsid w:val="006E7CD9"/>
    <w:rsid w:val="006E7FA2"/>
    <w:rsid w:val="006F073F"/>
    <w:rsid w:val="006F0AF1"/>
    <w:rsid w:val="006F0BC5"/>
    <w:rsid w:val="006F0C60"/>
    <w:rsid w:val="006F0CF8"/>
    <w:rsid w:val="006F11FA"/>
    <w:rsid w:val="006F1425"/>
    <w:rsid w:val="006F17A5"/>
    <w:rsid w:val="006F1AC7"/>
    <w:rsid w:val="006F2ACB"/>
    <w:rsid w:val="006F2BE0"/>
    <w:rsid w:val="006F2C46"/>
    <w:rsid w:val="006F3070"/>
    <w:rsid w:val="006F311B"/>
    <w:rsid w:val="006F3885"/>
    <w:rsid w:val="006F3B0B"/>
    <w:rsid w:val="006F3DDE"/>
    <w:rsid w:val="006F3E4F"/>
    <w:rsid w:val="006F3F17"/>
    <w:rsid w:val="006F41E8"/>
    <w:rsid w:val="006F438E"/>
    <w:rsid w:val="006F4B6F"/>
    <w:rsid w:val="006F4CF9"/>
    <w:rsid w:val="006F518C"/>
    <w:rsid w:val="006F54F7"/>
    <w:rsid w:val="006F5776"/>
    <w:rsid w:val="006F616A"/>
    <w:rsid w:val="006F61AD"/>
    <w:rsid w:val="006F65F4"/>
    <w:rsid w:val="006F6945"/>
    <w:rsid w:val="006F6B57"/>
    <w:rsid w:val="006F6BFD"/>
    <w:rsid w:val="006F6E89"/>
    <w:rsid w:val="006F6ECE"/>
    <w:rsid w:val="006F6F76"/>
    <w:rsid w:val="006F702F"/>
    <w:rsid w:val="006F706C"/>
    <w:rsid w:val="006F72C8"/>
    <w:rsid w:val="006F7349"/>
    <w:rsid w:val="006F75DD"/>
    <w:rsid w:val="006F77A4"/>
    <w:rsid w:val="006F79F7"/>
    <w:rsid w:val="006F7BE3"/>
    <w:rsid w:val="007005AD"/>
    <w:rsid w:val="00700958"/>
    <w:rsid w:val="00700A27"/>
    <w:rsid w:val="00700D3E"/>
    <w:rsid w:val="00700F07"/>
    <w:rsid w:val="00701383"/>
    <w:rsid w:val="00701669"/>
    <w:rsid w:val="00701830"/>
    <w:rsid w:val="00701973"/>
    <w:rsid w:val="00701D14"/>
    <w:rsid w:val="00702062"/>
    <w:rsid w:val="007021F4"/>
    <w:rsid w:val="007022B4"/>
    <w:rsid w:val="0070251E"/>
    <w:rsid w:val="0070259D"/>
    <w:rsid w:val="007025AB"/>
    <w:rsid w:val="007031D0"/>
    <w:rsid w:val="00703334"/>
    <w:rsid w:val="007034DC"/>
    <w:rsid w:val="00703634"/>
    <w:rsid w:val="00704440"/>
    <w:rsid w:val="00704A8F"/>
    <w:rsid w:val="00704AF2"/>
    <w:rsid w:val="00704E44"/>
    <w:rsid w:val="007053FB"/>
    <w:rsid w:val="00705467"/>
    <w:rsid w:val="007054BC"/>
    <w:rsid w:val="007054ED"/>
    <w:rsid w:val="007057CB"/>
    <w:rsid w:val="00705C0B"/>
    <w:rsid w:val="00705DA2"/>
    <w:rsid w:val="00705EBE"/>
    <w:rsid w:val="007060D5"/>
    <w:rsid w:val="00706259"/>
    <w:rsid w:val="007063F8"/>
    <w:rsid w:val="007064CE"/>
    <w:rsid w:val="00706654"/>
    <w:rsid w:val="007067DF"/>
    <w:rsid w:val="007067F0"/>
    <w:rsid w:val="0070693F"/>
    <w:rsid w:val="00706AF3"/>
    <w:rsid w:val="00706B7A"/>
    <w:rsid w:val="00707101"/>
    <w:rsid w:val="007071AF"/>
    <w:rsid w:val="007071EF"/>
    <w:rsid w:val="007077EE"/>
    <w:rsid w:val="00707EB8"/>
    <w:rsid w:val="00710377"/>
    <w:rsid w:val="00710A0F"/>
    <w:rsid w:val="007113C5"/>
    <w:rsid w:val="0071146C"/>
    <w:rsid w:val="0071165F"/>
    <w:rsid w:val="00711AC9"/>
    <w:rsid w:val="007122DB"/>
    <w:rsid w:val="0071231E"/>
    <w:rsid w:val="0071244D"/>
    <w:rsid w:val="0071290C"/>
    <w:rsid w:val="007129EC"/>
    <w:rsid w:val="007129F4"/>
    <w:rsid w:val="00712C48"/>
    <w:rsid w:val="00712E94"/>
    <w:rsid w:val="0071304D"/>
    <w:rsid w:val="00713230"/>
    <w:rsid w:val="00713A36"/>
    <w:rsid w:val="00713DAF"/>
    <w:rsid w:val="00713EBF"/>
    <w:rsid w:val="00713EE7"/>
    <w:rsid w:val="00713F4F"/>
    <w:rsid w:val="00713F7A"/>
    <w:rsid w:val="00714737"/>
    <w:rsid w:val="00714A64"/>
    <w:rsid w:val="00714E6B"/>
    <w:rsid w:val="00714E91"/>
    <w:rsid w:val="00714EFC"/>
    <w:rsid w:val="00715049"/>
    <w:rsid w:val="007151AC"/>
    <w:rsid w:val="0071536A"/>
    <w:rsid w:val="00715947"/>
    <w:rsid w:val="00715BCE"/>
    <w:rsid w:val="007163B8"/>
    <w:rsid w:val="00716548"/>
    <w:rsid w:val="007167DD"/>
    <w:rsid w:val="0071688C"/>
    <w:rsid w:val="007168A8"/>
    <w:rsid w:val="00716F6F"/>
    <w:rsid w:val="00717100"/>
    <w:rsid w:val="00717448"/>
    <w:rsid w:val="00717492"/>
    <w:rsid w:val="00717502"/>
    <w:rsid w:val="0071766D"/>
    <w:rsid w:val="00717B6E"/>
    <w:rsid w:val="00720592"/>
    <w:rsid w:val="00720682"/>
    <w:rsid w:val="0072082E"/>
    <w:rsid w:val="0072093B"/>
    <w:rsid w:val="00720B33"/>
    <w:rsid w:val="00720C22"/>
    <w:rsid w:val="007212F6"/>
    <w:rsid w:val="00721535"/>
    <w:rsid w:val="007215E9"/>
    <w:rsid w:val="007218BB"/>
    <w:rsid w:val="0072192B"/>
    <w:rsid w:val="00721A5C"/>
    <w:rsid w:val="00721C95"/>
    <w:rsid w:val="00721D1D"/>
    <w:rsid w:val="007222FC"/>
    <w:rsid w:val="00722AD3"/>
    <w:rsid w:val="00722B18"/>
    <w:rsid w:val="007232D1"/>
    <w:rsid w:val="007239D4"/>
    <w:rsid w:val="00723A8F"/>
    <w:rsid w:val="007245E3"/>
    <w:rsid w:val="00725009"/>
    <w:rsid w:val="007251BA"/>
    <w:rsid w:val="00725A86"/>
    <w:rsid w:val="00725B25"/>
    <w:rsid w:val="00725C0B"/>
    <w:rsid w:val="007260B8"/>
    <w:rsid w:val="007261D7"/>
    <w:rsid w:val="007267BD"/>
    <w:rsid w:val="0072685A"/>
    <w:rsid w:val="00726A49"/>
    <w:rsid w:val="00727025"/>
    <w:rsid w:val="007272D8"/>
    <w:rsid w:val="00727B40"/>
    <w:rsid w:val="0073013A"/>
    <w:rsid w:val="007302B3"/>
    <w:rsid w:val="007304F5"/>
    <w:rsid w:val="00730733"/>
    <w:rsid w:val="00730A12"/>
    <w:rsid w:val="00730C31"/>
    <w:rsid w:val="00730E3A"/>
    <w:rsid w:val="00730EF9"/>
    <w:rsid w:val="0073115E"/>
    <w:rsid w:val="007314F8"/>
    <w:rsid w:val="007315BA"/>
    <w:rsid w:val="00731618"/>
    <w:rsid w:val="00731950"/>
    <w:rsid w:val="00731A6B"/>
    <w:rsid w:val="00731B95"/>
    <w:rsid w:val="00731C0B"/>
    <w:rsid w:val="007321A3"/>
    <w:rsid w:val="0073260B"/>
    <w:rsid w:val="00732BD0"/>
    <w:rsid w:val="00732CF9"/>
    <w:rsid w:val="00732F6B"/>
    <w:rsid w:val="0073364C"/>
    <w:rsid w:val="007336EA"/>
    <w:rsid w:val="00733735"/>
    <w:rsid w:val="00733921"/>
    <w:rsid w:val="00733EF4"/>
    <w:rsid w:val="00733F34"/>
    <w:rsid w:val="007345BD"/>
    <w:rsid w:val="0073479E"/>
    <w:rsid w:val="00734873"/>
    <w:rsid w:val="00734A5C"/>
    <w:rsid w:val="00734A9B"/>
    <w:rsid w:val="00734F3A"/>
    <w:rsid w:val="00734FF1"/>
    <w:rsid w:val="00735209"/>
    <w:rsid w:val="0073520A"/>
    <w:rsid w:val="007354B1"/>
    <w:rsid w:val="007354B6"/>
    <w:rsid w:val="007355CA"/>
    <w:rsid w:val="00735739"/>
    <w:rsid w:val="007359A6"/>
    <w:rsid w:val="00735F62"/>
    <w:rsid w:val="007362C2"/>
    <w:rsid w:val="00736312"/>
    <w:rsid w:val="00736718"/>
    <w:rsid w:val="00736770"/>
    <w:rsid w:val="007367DF"/>
    <w:rsid w:val="00736AAF"/>
    <w:rsid w:val="00736B2D"/>
    <w:rsid w:val="00736E4A"/>
    <w:rsid w:val="007375CC"/>
    <w:rsid w:val="00737827"/>
    <w:rsid w:val="007378FB"/>
    <w:rsid w:val="00737D18"/>
    <w:rsid w:val="00740405"/>
    <w:rsid w:val="007404E9"/>
    <w:rsid w:val="00740F73"/>
    <w:rsid w:val="00740FFB"/>
    <w:rsid w:val="0074106E"/>
    <w:rsid w:val="00741768"/>
    <w:rsid w:val="0074197D"/>
    <w:rsid w:val="00741E93"/>
    <w:rsid w:val="00742209"/>
    <w:rsid w:val="0074224A"/>
    <w:rsid w:val="0074229F"/>
    <w:rsid w:val="007426CB"/>
    <w:rsid w:val="007426EC"/>
    <w:rsid w:val="007426F7"/>
    <w:rsid w:val="0074294F"/>
    <w:rsid w:val="007430E2"/>
    <w:rsid w:val="007432E0"/>
    <w:rsid w:val="007433FB"/>
    <w:rsid w:val="007435E4"/>
    <w:rsid w:val="00744092"/>
    <w:rsid w:val="00744459"/>
    <w:rsid w:val="00744470"/>
    <w:rsid w:val="007447C6"/>
    <w:rsid w:val="007447DA"/>
    <w:rsid w:val="007447E4"/>
    <w:rsid w:val="00744DB0"/>
    <w:rsid w:val="00744F88"/>
    <w:rsid w:val="00745119"/>
    <w:rsid w:val="00745979"/>
    <w:rsid w:val="00745BDA"/>
    <w:rsid w:val="00745FF4"/>
    <w:rsid w:val="0074687D"/>
    <w:rsid w:val="00746A07"/>
    <w:rsid w:val="00746B8E"/>
    <w:rsid w:val="00746C42"/>
    <w:rsid w:val="00746F31"/>
    <w:rsid w:val="0074725F"/>
    <w:rsid w:val="00747436"/>
    <w:rsid w:val="00747BF9"/>
    <w:rsid w:val="00750011"/>
    <w:rsid w:val="00750117"/>
    <w:rsid w:val="00750131"/>
    <w:rsid w:val="007502B6"/>
    <w:rsid w:val="007504C3"/>
    <w:rsid w:val="00750612"/>
    <w:rsid w:val="007506CA"/>
    <w:rsid w:val="007507BC"/>
    <w:rsid w:val="00750A9A"/>
    <w:rsid w:val="00750BC4"/>
    <w:rsid w:val="00750C69"/>
    <w:rsid w:val="007510E2"/>
    <w:rsid w:val="00751573"/>
    <w:rsid w:val="00751948"/>
    <w:rsid w:val="00751A4A"/>
    <w:rsid w:val="007523B4"/>
    <w:rsid w:val="00752692"/>
    <w:rsid w:val="007527FD"/>
    <w:rsid w:val="00752906"/>
    <w:rsid w:val="00752F37"/>
    <w:rsid w:val="00753147"/>
    <w:rsid w:val="007535BA"/>
    <w:rsid w:val="007537BD"/>
    <w:rsid w:val="0075396D"/>
    <w:rsid w:val="00753C2A"/>
    <w:rsid w:val="00753D13"/>
    <w:rsid w:val="00753D3E"/>
    <w:rsid w:val="00753DD0"/>
    <w:rsid w:val="007540FF"/>
    <w:rsid w:val="0075439A"/>
    <w:rsid w:val="0075466F"/>
    <w:rsid w:val="007546ED"/>
    <w:rsid w:val="007548D6"/>
    <w:rsid w:val="0075492C"/>
    <w:rsid w:val="00754A48"/>
    <w:rsid w:val="007552AB"/>
    <w:rsid w:val="00755390"/>
    <w:rsid w:val="00755643"/>
    <w:rsid w:val="00755B51"/>
    <w:rsid w:val="007560C2"/>
    <w:rsid w:val="00756260"/>
    <w:rsid w:val="007563F8"/>
    <w:rsid w:val="0075659E"/>
    <w:rsid w:val="007567F9"/>
    <w:rsid w:val="0075697F"/>
    <w:rsid w:val="0075714F"/>
    <w:rsid w:val="0075734E"/>
    <w:rsid w:val="007573A4"/>
    <w:rsid w:val="00757656"/>
    <w:rsid w:val="00757886"/>
    <w:rsid w:val="00757A1E"/>
    <w:rsid w:val="007601AA"/>
    <w:rsid w:val="007602AE"/>
    <w:rsid w:val="007602C6"/>
    <w:rsid w:val="007603CA"/>
    <w:rsid w:val="00760602"/>
    <w:rsid w:val="0076097C"/>
    <w:rsid w:val="00761188"/>
    <w:rsid w:val="0076120D"/>
    <w:rsid w:val="00761322"/>
    <w:rsid w:val="00761341"/>
    <w:rsid w:val="0076172C"/>
    <w:rsid w:val="00761C8F"/>
    <w:rsid w:val="00761E80"/>
    <w:rsid w:val="007624BC"/>
    <w:rsid w:val="007626BD"/>
    <w:rsid w:val="00762950"/>
    <w:rsid w:val="007635F6"/>
    <w:rsid w:val="007636E4"/>
    <w:rsid w:val="007638A5"/>
    <w:rsid w:val="00763B52"/>
    <w:rsid w:val="00763C1E"/>
    <w:rsid w:val="00763D77"/>
    <w:rsid w:val="00763E08"/>
    <w:rsid w:val="00764037"/>
    <w:rsid w:val="00764775"/>
    <w:rsid w:val="007647AF"/>
    <w:rsid w:val="00764B70"/>
    <w:rsid w:val="00765833"/>
    <w:rsid w:val="00765B2A"/>
    <w:rsid w:val="00765DBF"/>
    <w:rsid w:val="00765FDC"/>
    <w:rsid w:val="00766423"/>
    <w:rsid w:val="0076648B"/>
    <w:rsid w:val="0076653A"/>
    <w:rsid w:val="00766B6D"/>
    <w:rsid w:val="00766D22"/>
    <w:rsid w:val="00766E64"/>
    <w:rsid w:val="00766ED3"/>
    <w:rsid w:val="00767003"/>
    <w:rsid w:val="00767045"/>
    <w:rsid w:val="00767386"/>
    <w:rsid w:val="0076772B"/>
    <w:rsid w:val="007677BF"/>
    <w:rsid w:val="00767842"/>
    <w:rsid w:val="00767B0A"/>
    <w:rsid w:val="0076827E"/>
    <w:rsid w:val="00770155"/>
    <w:rsid w:val="00770206"/>
    <w:rsid w:val="0077036B"/>
    <w:rsid w:val="007703E5"/>
    <w:rsid w:val="00770437"/>
    <w:rsid w:val="0077053B"/>
    <w:rsid w:val="007706BC"/>
    <w:rsid w:val="00770715"/>
    <w:rsid w:val="0077091A"/>
    <w:rsid w:val="007709AB"/>
    <w:rsid w:val="00770E88"/>
    <w:rsid w:val="007710DB"/>
    <w:rsid w:val="0077120A"/>
    <w:rsid w:val="007712AA"/>
    <w:rsid w:val="007712D0"/>
    <w:rsid w:val="007712F4"/>
    <w:rsid w:val="00771440"/>
    <w:rsid w:val="007714F2"/>
    <w:rsid w:val="0077177A"/>
    <w:rsid w:val="00771DE3"/>
    <w:rsid w:val="00772035"/>
    <w:rsid w:val="0077226B"/>
    <w:rsid w:val="007722B3"/>
    <w:rsid w:val="00772762"/>
    <w:rsid w:val="00772909"/>
    <w:rsid w:val="00773397"/>
    <w:rsid w:val="007734B5"/>
    <w:rsid w:val="0077380C"/>
    <w:rsid w:val="00773942"/>
    <w:rsid w:val="00773AAF"/>
    <w:rsid w:val="00773EDF"/>
    <w:rsid w:val="00773F7C"/>
    <w:rsid w:val="00774353"/>
    <w:rsid w:val="007743A2"/>
    <w:rsid w:val="00774410"/>
    <w:rsid w:val="00774631"/>
    <w:rsid w:val="00774823"/>
    <w:rsid w:val="00774846"/>
    <w:rsid w:val="00774BF1"/>
    <w:rsid w:val="00774EEE"/>
    <w:rsid w:val="00775665"/>
    <w:rsid w:val="007756C4"/>
    <w:rsid w:val="00775A02"/>
    <w:rsid w:val="00775ADB"/>
    <w:rsid w:val="00775E32"/>
    <w:rsid w:val="00775E45"/>
    <w:rsid w:val="00776028"/>
    <w:rsid w:val="00776303"/>
    <w:rsid w:val="007765F2"/>
    <w:rsid w:val="007766E7"/>
    <w:rsid w:val="00776986"/>
    <w:rsid w:val="007769C0"/>
    <w:rsid w:val="00776A5D"/>
    <w:rsid w:val="00777569"/>
    <w:rsid w:val="00777D8F"/>
    <w:rsid w:val="00777EC7"/>
    <w:rsid w:val="00777FC4"/>
    <w:rsid w:val="007800E2"/>
    <w:rsid w:val="00780523"/>
    <w:rsid w:val="00780638"/>
    <w:rsid w:val="0078078E"/>
    <w:rsid w:val="007808BD"/>
    <w:rsid w:val="00780C1C"/>
    <w:rsid w:val="00780EC7"/>
    <w:rsid w:val="007811A3"/>
    <w:rsid w:val="0078145F"/>
    <w:rsid w:val="007814F0"/>
    <w:rsid w:val="00781691"/>
    <w:rsid w:val="00781724"/>
    <w:rsid w:val="00781794"/>
    <w:rsid w:val="007817A2"/>
    <w:rsid w:val="007818AA"/>
    <w:rsid w:val="00781B11"/>
    <w:rsid w:val="00781D75"/>
    <w:rsid w:val="0078209D"/>
    <w:rsid w:val="007822EE"/>
    <w:rsid w:val="007827CC"/>
    <w:rsid w:val="00782AE7"/>
    <w:rsid w:val="00782B3C"/>
    <w:rsid w:val="00782DCD"/>
    <w:rsid w:val="00783A34"/>
    <w:rsid w:val="00783EF7"/>
    <w:rsid w:val="00784166"/>
    <w:rsid w:val="00784765"/>
    <w:rsid w:val="00784906"/>
    <w:rsid w:val="00784CDD"/>
    <w:rsid w:val="00784FAA"/>
    <w:rsid w:val="0078502C"/>
    <w:rsid w:val="00785308"/>
    <w:rsid w:val="007853BE"/>
    <w:rsid w:val="00785E0C"/>
    <w:rsid w:val="00785F06"/>
    <w:rsid w:val="007861A9"/>
    <w:rsid w:val="007861AD"/>
    <w:rsid w:val="00786443"/>
    <w:rsid w:val="00786C5B"/>
    <w:rsid w:val="00786D4E"/>
    <w:rsid w:val="00786D73"/>
    <w:rsid w:val="00787414"/>
    <w:rsid w:val="007874B2"/>
    <w:rsid w:val="0078752F"/>
    <w:rsid w:val="0078757D"/>
    <w:rsid w:val="00787B6C"/>
    <w:rsid w:val="00790279"/>
    <w:rsid w:val="00790338"/>
    <w:rsid w:val="007903DF"/>
    <w:rsid w:val="00790CC7"/>
    <w:rsid w:val="00791209"/>
    <w:rsid w:val="00791507"/>
    <w:rsid w:val="007915BC"/>
    <w:rsid w:val="0079175D"/>
    <w:rsid w:val="007919D2"/>
    <w:rsid w:val="00791CDC"/>
    <w:rsid w:val="00791F6D"/>
    <w:rsid w:val="007921EF"/>
    <w:rsid w:val="00792B0A"/>
    <w:rsid w:val="00792CAE"/>
    <w:rsid w:val="00793186"/>
    <w:rsid w:val="007931CF"/>
    <w:rsid w:val="00793273"/>
    <w:rsid w:val="007932C2"/>
    <w:rsid w:val="00793482"/>
    <w:rsid w:val="007934F7"/>
    <w:rsid w:val="00793638"/>
    <w:rsid w:val="0079399C"/>
    <w:rsid w:val="007939AD"/>
    <w:rsid w:val="00793A8C"/>
    <w:rsid w:val="00793AEE"/>
    <w:rsid w:val="0079405D"/>
    <w:rsid w:val="007941DE"/>
    <w:rsid w:val="00794374"/>
    <w:rsid w:val="007943D0"/>
    <w:rsid w:val="007943EE"/>
    <w:rsid w:val="0079456C"/>
    <w:rsid w:val="00794E19"/>
    <w:rsid w:val="00795737"/>
    <w:rsid w:val="00795841"/>
    <w:rsid w:val="00795860"/>
    <w:rsid w:val="00795B63"/>
    <w:rsid w:val="007961B4"/>
    <w:rsid w:val="007963E3"/>
    <w:rsid w:val="00796E39"/>
    <w:rsid w:val="00797093"/>
    <w:rsid w:val="00797233"/>
    <w:rsid w:val="00797595"/>
    <w:rsid w:val="007975AE"/>
    <w:rsid w:val="007976F4"/>
    <w:rsid w:val="00797737"/>
    <w:rsid w:val="00797813"/>
    <w:rsid w:val="00797A29"/>
    <w:rsid w:val="00797B01"/>
    <w:rsid w:val="00797BC5"/>
    <w:rsid w:val="00797CD6"/>
    <w:rsid w:val="00797EC8"/>
    <w:rsid w:val="0079B338"/>
    <w:rsid w:val="007A07E9"/>
    <w:rsid w:val="007A0A89"/>
    <w:rsid w:val="007A0AC6"/>
    <w:rsid w:val="007A0B58"/>
    <w:rsid w:val="007A0E13"/>
    <w:rsid w:val="007A0E2A"/>
    <w:rsid w:val="007A0EB6"/>
    <w:rsid w:val="007A1256"/>
    <w:rsid w:val="007A1DB7"/>
    <w:rsid w:val="007A1F2A"/>
    <w:rsid w:val="007A2389"/>
    <w:rsid w:val="007A25B2"/>
    <w:rsid w:val="007A2C0F"/>
    <w:rsid w:val="007A2CDC"/>
    <w:rsid w:val="007A30A1"/>
    <w:rsid w:val="007A368E"/>
    <w:rsid w:val="007A37DF"/>
    <w:rsid w:val="007A39DC"/>
    <w:rsid w:val="007A3E28"/>
    <w:rsid w:val="007A3E4F"/>
    <w:rsid w:val="007A3E7B"/>
    <w:rsid w:val="007A3FF3"/>
    <w:rsid w:val="007A43C4"/>
    <w:rsid w:val="007A46ED"/>
    <w:rsid w:val="007A48C3"/>
    <w:rsid w:val="007A4A24"/>
    <w:rsid w:val="007A4BDF"/>
    <w:rsid w:val="007A4CAF"/>
    <w:rsid w:val="007A525E"/>
    <w:rsid w:val="007A592E"/>
    <w:rsid w:val="007A5C44"/>
    <w:rsid w:val="007A6078"/>
    <w:rsid w:val="007A629B"/>
    <w:rsid w:val="007A64E8"/>
    <w:rsid w:val="007A67AC"/>
    <w:rsid w:val="007A6881"/>
    <w:rsid w:val="007A6E63"/>
    <w:rsid w:val="007A79A2"/>
    <w:rsid w:val="007A7D14"/>
    <w:rsid w:val="007B02BD"/>
    <w:rsid w:val="007B0363"/>
    <w:rsid w:val="007B0579"/>
    <w:rsid w:val="007B06A8"/>
    <w:rsid w:val="007B0E40"/>
    <w:rsid w:val="007B14F0"/>
    <w:rsid w:val="007B1CA9"/>
    <w:rsid w:val="007B1E7F"/>
    <w:rsid w:val="007B2300"/>
    <w:rsid w:val="007B2C03"/>
    <w:rsid w:val="007B2E27"/>
    <w:rsid w:val="007B2FD2"/>
    <w:rsid w:val="007B316A"/>
    <w:rsid w:val="007B31FC"/>
    <w:rsid w:val="007B32A5"/>
    <w:rsid w:val="007B3474"/>
    <w:rsid w:val="007B3543"/>
    <w:rsid w:val="007B36ED"/>
    <w:rsid w:val="007B3870"/>
    <w:rsid w:val="007B3D09"/>
    <w:rsid w:val="007B3E4C"/>
    <w:rsid w:val="007B4339"/>
    <w:rsid w:val="007B487B"/>
    <w:rsid w:val="007B49A9"/>
    <w:rsid w:val="007B50D7"/>
    <w:rsid w:val="007B52E3"/>
    <w:rsid w:val="007B569B"/>
    <w:rsid w:val="007B57B1"/>
    <w:rsid w:val="007B5917"/>
    <w:rsid w:val="007B5A6D"/>
    <w:rsid w:val="007B5D1A"/>
    <w:rsid w:val="007B5E31"/>
    <w:rsid w:val="007B5E6D"/>
    <w:rsid w:val="007B602C"/>
    <w:rsid w:val="007B6073"/>
    <w:rsid w:val="007B6169"/>
    <w:rsid w:val="007B61ED"/>
    <w:rsid w:val="007B627A"/>
    <w:rsid w:val="007B640F"/>
    <w:rsid w:val="007B6DDB"/>
    <w:rsid w:val="007B6E0F"/>
    <w:rsid w:val="007B70E9"/>
    <w:rsid w:val="007B7199"/>
    <w:rsid w:val="007B74EE"/>
    <w:rsid w:val="007B77A9"/>
    <w:rsid w:val="007B7871"/>
    <w:rsid w:val="007B79B4"/>
    <w:rsid w:val="007B7AB3"/>
    <w:rsid w:val="007B7B9A"/>
    <w:rsid w:val="007B7BE5"/>
    <w:rsid w:val="007C0084"/>
    <w:rsid w:val="007C00B8"/>
    <w:rsid w:val="007C0223"/>
    <w:rsid w:val="007C022B"/>
    <w:rsid w:val="007C02D0"/>
    <w:rsid w:val="007C0363"/>
    <w:rsid w:val="007C0C9C"/>
    <w:rsid w:val="007C0E02"/>
    <w:rsid w:val="007C0E7B"/>
    <w:rsid w:val="007C128D"/>
    <w:rsid w:val="007C14F6"/>
    <w:rsid w:val="007C17FE"/>
    <w:rsid w:val="007C1AA8"/>
    <w:rsid w:val="007C1BB8"/>
    <w:rsid w:val="007C1BDA"/>
    <w:rsid w:val="007C219E"/>
    <w:rsid w:val="007C2793"/>
    <w:rsid w:val="007C2882"/>
    <w:rsid w:val="007C2B25"/>
    <w:rsid w:val="007C2C9A"/>
    <w:rsid w:val="007C2D92"/>
    <w:rsid w:val="007C2EB4"/>
    <w:rsid w:val="007C2EBB"/>
    <w:rsid w:val="007C31C3"/>
    <w:rsid w:val="007C3236"/>
    <w:rsid w:val="007C3634"/>
    <w:rsid w:val="007C3A84"/>
    <w:rsid w:val="007C3AB3"/>
    <w:rsid w:val="007C3AF6"/>
    <w:rsid w:val="007C3BA3"/>
    <w:rsid w:val="007C438C"/>
    <w:rsid w:val="007C4667"/>
    <w:rsid w:val="007C46FC"/>
    <w:rsid w:val="007C4AF7"/>
    <w:rsid w:val="007C4DB5"/>
    <w:rsid w:val="007C4F79"/>
    <w:rsid w:val="007C50C2"/>
    <w:rsid w:val="007C52E0"/>
    <w:rsid w:val="007C5336"/>
    <w:rsid w:val="007C5341"/>
    <w:rsid w:val="007C557F"/>
    <w:rsid w:val="007C55B6"/>
    <w:rsid w:val="007C55FB"/>
    <w:rsid w:val="007C585B"/>
    <w:rsid w:val="007C587F"/>
    <w:rsid w:val="007C5BC0"/>
    <w:rsid w:val="007C62EF"/>
    <w:rsid w:val="007C63CC"/>
    <w:rsid w:val="007C6A7E"/>
    <w:rsid w:val="007C6B52"/>
    <w:rsid w:val="007C6CE5"/>
    <w:rsid w:val="007C6E5A"/>
    <w:rsid w:val="007C7595"/>
    <w:rsid w:val="007C77E1"/>
    <w:rsid w:val="007C7BA1"/>
    <w:rsid w:val="007C7D04"/>
    <w:rsid w:val="007C7DDF"/>
    <w:rsid w:val="007D0877"/>
    <w:rsid w:val="007D09EB"/>
    <w:rsid w:val="007D0D56"/>
    <w:rsid w:val="007D0DE7"/>
    <w:rsid w:val="007D0E75"/>
    <w:rsid w:val="007D109C"/>
    <w:rsid w:val="007D16C5"/>
    <w:rsid w:val="007D1711"/>
    <w:rsid w:val="007D174B"/>
    <w:rsid w:val="007D1EB1"/>
    <w:rsid w:val="007D215E"/>
    <w:rsid w:val="007D2400"/>
    <w:rsid w:val="007D242D"/>
    <w:rsid w:val="007D2645"/>
    <w:rsid w:val="007D2A95"/>
    <w:rsid w:val="007D2B87"/>
    <w:rsid w:val="007D2DC8"/>
    <w:rsid w:val="007D2FB6"/>
    <w:rsid w:val="007D353C"/>
    <w:rsid w:val="007D3CEE"/>
    <w:rsid w:val="007D42F0"/>
    <w:rsid w:val="007D46F9"/>
    <w:rsid w:val="007D4777"/>
    <w:rsid w:val="007D488D"/>
    <w:rsid w:val="007D4B1D"/>
    <w:rsid w:val="007D4CB9"/>
    <w:rsid w:val="007D4F49"/>
    <w:rsid w:val="007D51F3"/>
    <w:rsid w:val="007D56FA"/>
    <w:rsid w:val="007D57BB"/>
    <w:rsid w:val="007D5C8C"/>
    <w:rsid w:val="007D5E77"/>
    <w:rsid w:val="007D68E7"/>
    <w:rsid w:val="007D72B0"/>
    <w:rsid w:val="007D7511"/>
    <w:rsid w:val="007D7529"/>
    <w:rsid w:val="007D786C"/>
    <w:rsid w:val="007D7A2A"/>
    <w:rsid w:val="007D7E2A"/>
    <w:rsid w:val="007E02E5"/>
    <w:rsid w:val="007E03E7"/>
    <w:rsid w:val="007E05F5"/>
    <w:rsid w:val="007E0926"/>
    <w:rsid w:val="007E0CD9"/>
    <w:rsid w:val="007E0FF2"/>
    <w:rsid w:val="007E0FFC"/>
    <w:rsid w:val="007E1095"/>
    <w:rsid w:val="007E10CE"/>
    <w:rsid w:val="007E1250"/>
    <w:rsid w:val="007E1547"/>
    <w:rsid w:val="007E1F4F"/>
    <w:rsid w:val="007E221F"/>
    <w:rsid w:val="007E2415"/>
    <w:rsid w:val="007E2435"/>
    <w:rsid w:val="007E26ED"/>
    <w:rsid w:val="007E2812"/>
    <w:rsid w:val="007E2813"/>
    <w:rsid w:val="007E2D0E"/>
    <w:rsid w:val="007E2D88"/>
    <w:rsid w:val="007E30E0"/>
    <w:rsid w:val="007E30E3"/>
    <w:rsid w:val="007E3D2F"/>
    <w:rsid w:val="007E3D46"/>
    <w:rsid w:val="007E3DBB"/>
    <w:rsid w:val="007E404F"/>
    <w:rsid w:val="007E40C5"/>
    <w:rsid w:val="007E47FD"/>
    <w:rsid w:val="007E4A4C"/>
    <w:rsid w:val="007E4B9C"/>
    <w:rsid w:val="007E4C84"/>
    <w:rsid w:val="007E4CB9"/>
    <w:rsid w:val="007E505A"/>
    <w:rsid w:val="007E5139"/>
    <w:rsid w:val="007E5573"/>
    <w:rsid w:val="007E5624"/>
    <w:rsid w:val="007E5678"/>
    <w:rsid w:val="007E5958"/>
    <w:rsid w:val="007E59E9"/>
    <w:rsid w:val="007E5CDF"/>
    <w:rsid w:val="007E6875"/>
    <w:rsid w:val="007E699C"/>
    <w:rsid w:val="007E6A8A"/>
    <w:rsid w:val="007E6C55"/>
    <w:rsid w:val="007E7062"/>
    <w:rsid w:val="007E71FC"/>
    <w:rsid w:val="007E73D4"/>
    <w:rsid w:val="007E76A4"/>
    <w:rsid w:val="007E77B0"/>
    <w:rsid w:val="007E7845"/>
    <w:rsid w:val="007E791E"/>
    <w:rsid w:val="007E796F"/>
    <w:rsid w:val="007E7E03"/>
    <w:rsid w:val="007F0258"/>
    <w:rsid w:val="007F0283"/>
    <w:rsid w:val="007F0737"/>
    <w:rsid w:val="007F0A21"/>
    <w:rsid w:val="007F0BA7"/>
    <w:rsid w:val="007F0C09"/>
    <w:rsid w:val="007F0C7F"/>
    <w:rsid w:val="007F0D0B"/>
    <w:rsid w:val="007F0F19"/>
    <w:rsid w:val="007F1135"/>
    <w:rsid w:val="007F122D"/>
    <w:rsid w:val="007F13ED"/>
    <w:rsid w:val="007F19A9"/>
    <w:rsid w:val="007F1A71"/>
    <w:rsid w:val="007F1BB6"/>
    <w:rsid w:val="007F1D7B"/>
    <w:rsid w:val="007F2051"/>
    <w:rsid w:val="007F227B"/>
    <w:rsid w:val="007F22E0"/>
    <w:rsid w:val="007F235B"/>
    <w:rsid w:val="007F2609"/>
    <w:rsid w:val="007F296D"/>
    <w:rsid w:val="007F2CE2"/>
    <w:rsid w:val="007F2DBF"/>
    <w:rsid w:val="007F2E3C"/>
    <w:rsid w:val="007F304C"/>
    <w:rsid w:val="007F338A"/>
    <w:rsid w:val="007F346F"/>
    <w:rsid w:val="007F34B6"/>
    <w:rsid w:val="007F3692"/>
    <w:rsid w:val="007F38B6"/>
    <w:rsid w:val="007F3B20"/>
    <w:rsid w:val="007F3E5C"/>
    <w:rsid w:val="007F43BA"/>
    <w:rsid w:val="007F4672"/>
    <w:rsid w:val="007F4ADD"/>
    <w:rsid w:val="007F4F51"/>
    <w:rsid w:val="007F5135"/>
    <w:rsid w:val="007F517F"/>
    <w:rsid w:val="007F56E8"/>
    <w:rsid w:val="007F5893"/>
    <w:rsid w:val="007F58AE"/>
    <w:rsid w:val="007F5AD9"/>
    <w:rsid w:val="007F5B44"/>
    <w:rsid w:val="007F5FA5"/>
    <w:rsid w:val="007F6462"/>
    <w:rsid w:val="007F6519"/>
    <w:rsid w:val="007F6549"/>
    <w:rsid w:val="007F67AD"/>
    <w:rsid w:val="007F7005"/>
    <w:rsid w:val="007F737B"/>
    <w:rsid w:val="007F770B"/>
    <w:rsid w:val="007F7B5A"/>
    <w:rsid w:val="007F7EA9"/>
    <w:rsid w:val="007F7F0D"/>
    <w:rsid w:val="008000CF"/>
    <w:rsid w:val="0080025F"/>
    <w:rsid w:val="00800421"/>
    <w:rsid w:val="0080047F"/>
    <w:rsid w:val="008004C0"/>
    <w:rsid w:val="00800891"/>
    <w:rsid w:val="00800C0F"/>
    <w:rsid w:val="0080123E"/>
    <w:rsid w:val="008012DB"/>
    <w:rsid w:val="00801573"/>
    <w:rsid w:val="00801A35"/>
    <w:rsid w:val="00802162"/>
    <w:rsid w:val="008023C9"/>
    <w:rsid w:val="00802488"/>
    <w:rsid w:val="00802627"/>
    <w:rsid w:val="008029A3"/>
    <w:rsid w:val="00802A78"/>
    <w:rsid w:val="00802E85"/>
    <w:rsid w:val="0080307D"/>
    <w:rsid w:val="00803223"/>
    <w:rsid w:val="00803597"/>
    <w:rsid w:val="0080397B"/>
    <w:rsid w:val="00803A7E"/>
    <w:rsid w:val="00803B87"/>
    <w:rsid w:val="00803BF8"/>
    <w:rsid w:val="008040B5"/>
    <w:rsid w:val="00804309"/>
    <w:rsid w:val="008046B2"/>
    <w:rsid w:val="00804800"/>
    <w:rsid w:val="00804F61"/>
    <w:rsid w:val="008050B0"/>
    <w:rsid w:val="008050CD"/>
    <w:rsid w:val="00805153"/>
    <w:rsid w:val="008052B2"/>
    <w:rsid w:val="0080553E"/>
    <w:rsid w:val="00805664"/>
    <w:rsid w:val="00805CCE"/>
    <w:rsid w:val="00806126"/>
    <w:rsid w:val="00806346"/>
    <w:rsid w:val="0080646B"/>
    <w:rsid w:val="008067AF"/>
    <w:rsid w:val="008067DB"/>
    <w:rsid w:val="008068B2"/>
    <w:rsid w:val="00806A19"/>
    <w:rsid w:val="00806C3C"/>
    <w:rsid w:val="008073C8"/>
    <w:rsid w:val="00807502"/>
    <w:rsid w:val="008078A7"/>
    <w:rsid w:val="00807A08"/>
    <w:rsid w:val="00807B41"/>
    <w:rsid w:val="00807F1B"/>
    <w:rsid w:val="00810260"/>
    <w:rsid w:val="00810400"/>
    <w:rsid w:val="008105DC"/>
    <w:rsid w:val="00810810"/>
    <w:rsid w:val="00810CA7"/>
    <w:rsid w:val="0081125C"/>
    <w:rsid w:val="0081185C"/>
    <w:rsid w:val="00811AD2"/>
    <w:rsid w:val="00811D9B"/>
    <w:rsid w:val="00811E53"/>
    <w:rsid w:val="008120FE"/>
    <w:rsid w:val="0081233B"/>
    <w:rsid w:val="008123E5"/>
    <w:rsid w:val="00812582"/>
    <w:rsid w:val="00812C92"/>
    <w:rsid w:val="00812F36"/>
    <w:rsid w:val="0081317B"/>
    <w:rsid w:val="008134D5"/>
    <w:rsid w:val="00813A00"/>
    <w:rsid w:val="00813B6F"/>
    <w:rsid w:val="00813C2E"/>
    <w:rsid w:val="00813D49"/>
    <w:rsid w:val="00813E68"/>
    <w:rsid w:val="00813ECB"/>
    <w:rsid w:val="0081412B"/>
    <w:rsid w:val="008147E6"/>
    <w:rsid w:val="0081496A"/>
    <w:rsid w:val="00814DF3"/>
    <w:rsid w:val="00815156"/>
    <w:rsid w:val="008151DA"/>
    <w:rsid w:val="0081590D"/>
    <w:rsid w:val="00815A9D"/>
    <w:rsid w:val="00815DE2"/>
    <w:rsid w:val="00815E7D"/>
    <w:rsid w:val="00815F76"/>
    <w:rsid w:val="008160D2"/>
    <w:rsid w:val="0081610D"/>
    <w:rsid w:val="0081622F"/>
    <w:rsid w:val="00816408"/>
    <w:rsid w:val="008164E1"/>
    <w:rsid w:val="008165F8"/>
    <w:rsid w:val="008165FB"/>
    <w:rsid w:val="0081673A"/>
    <w:rsid w:val="008167EB"/>
    <w:rsid w:val="00817079"/>
    <w:rsid w:val="00817092"/>
    <w:rsid w:val="00817199"/>
    <w:rsid w:val="00817383"/>
    <w:rsid w:val="008179DC"/>
    <w:rsid w:val="00817AE2"/>
    <w:rsid w:val="00817DE1"/>
    <w:rsid w:val="008200AA"/>
    <w:rsid w:val="0082014E"/>
    <w:rsid w:val="008204FC"/>
    <w:rsid w:val="008205C4"/>
    <w:rsid w:val="008205CE"/>
    <w:rsid w:val="008209AA"/>
    <w:rsid w:val="00821016"/>
    <w:rsid w:val="00821114"/>
    <w:rsid w:val="00821259"/>
    <w:rsid w:val="00821308"/>
    <w:rsid w:val="00821310"/>
    <w:rsid w:val="0082133F"/>
    <w:rsid w:val="0082169B"/>
    <w:rsid w:val="00821745"/>
    <w:rsid w:val="008217EB"/>
    <w:rsid w:val="0082184F"/>
    <w:rsid w:val="00821CBE"/>
    <w:rsid w:val="00822499"/>
    <w:rsid w:val="0082266C"/>
    <w:rsid w:val="008226A0"/>
    <w:rsid w:val="008226C0"/>
    <w:rsid w:val="0082270F"/>
    <w:rsid w:val="0082273C"/>
    <w:rsid w:val="00822A2F"/>
    <w:rsid w:val="00822A87"/>
    <w:rsid w:val="008231C0"/>
    <w:rsid w:val="00823419"/>
    <w:rsid w:val="00823556"/>
    <w:rsid w:val="008235DD"/>
    <w:rsid w:val="008245BE"/>
    <w:rsid w:val="00824633"/>
    <w:rsid w:val="0082495A"/>
    <w:rsid w:val="008249D3"/>
    <w:rsid w:val="008250E7"/>
    <w:rsid w:val="00825456"/>
    <w:rsid w:val="00825C19"/>
    <w:rsid w:val="00826102"/>
    <w:rsid w:val="00826591"/>
    <w:rsid w:val="00826A07"/>
    <w:rsid w:val="00826B92"/>
    <w:rsid w:val="00826D13"/>
    <w:rsid w:val="00826E61"/>
    <w:rsid w:val="00827238"/>
    <w:rsid w:val="00827BB7"/>
    <w:rsid w:val="00827D15"/>
    <w:rsid w:val="0083011D"/>
    <w:rsid w:val="008306F1"/>
    <w:rsid w:val="00830B65"/>
    <w:rsid w:val="00830C2C"/>
    <w:rsid w:val="00830F0D"/>
    <w:rsid w:val="008311D5"/>
    <w:rsid w:val="00831247"/>
    <w:rsid w:val="008313F6"/>
    <w:rsid w:val="008314C3"/>
    <w:rsid w:val="00831D81"/>
    <w:rsid w:val="00831E9A"/>
    <w:rsid w:val="00832069"/>
    <w:rsid w:val="00832210"/>
    <w:rsid w:val="0083233B"/>
    <w:rsid w:val="00832C2D"/>
    <w:rsid w:val="00832D40"/>
    <w:rsid w:val="00832EAA"/>
    <w:rsid w:val="00832EB2"/>
    <w:rsid w:val="0083349E"/>
    <w:rsid w:val="0083363D"/>
    <w:rsid w:val="008337EE"/>
    <w:rsid w:val="00833C71"/>
    <w:rsid w:val="00834122"/>
    <w:rsid w:val="00834407"/>
    <w:rsid w:val="0083506A"/>
    <w:rsid w:val="008352D2"/>
    <w:rsid w:val="00835366"/>
    <w:rsid w:val="0083541A"/>
    <w:rsid w:val="008355D1"/>
    <w:rsid w:val="00835B00"/>
    <w:rsid w:val="00835B6A"/>
    <w:rsid w:val="00835CD8"/>
    <w:rsid w:val="0083609C"/>
    <w:rsid w:val="0083627D"/>
    <w:rsid w:val="00836360"/>
    <w:rsid w:val="00836381"/>
    <w:rsid w:val="00836795"/>
    <w:rsid w:val="00836805"/>
    <w:rsid w:val="00836C87"/>
    <w:rsid w:val="00836FF2"/>
    <w:rsid w:val="008371A8"/>
    <w:rsid w:val="008371D3"/>
    <w:rsid w:val="008373B5"/>
    <w:rsid w:val="008378C1"/>
    <w:rsid w:val="0084006D"/>
    <w:rsid w:val="00840184"/>
    <w:rsid w:val="00840478"/>
    <w:rsid w:val="00840629"/>
    <w:rsid w:val="008411DB"/>
    <w:rsid w:val="008414A1"/>
    <w:rsid w:val="00841D39"/>
    <w:rsid w:val="00842184"/>
    <w:rsid w:val="00842341"/>
    <w:rsid w:val="008426B6"/>
    <w:rsid w:val="008426CE"/>
    <w:rsid w:val="00842726"/>
    <w:rsid w:val="00842824"/>
    <w:rsid w:val="008428BF"/>
    <w:rsid w:val="00842EF2"/>
    <w:rsid w:val="0084359A"/>
    <w:rsid w:val="00843623"/>
    <w:rsid w:val="008436F2"/>
    <w:rsid w:val="0084371C"/>
    <w:rsid w:val="008437F9"/>
    <w:rsid w:val="00843B74"/>
    <w:rsid w:val="00843BB2"/>
    <w:rsid w:val="00844051"/>
    <w:rsid w:val="00844363"/>
    <w:rsid w:val="00844413"/>
    <w:rsid w:val="008444BE"/>
    <w:rsid w:val="008444C0"/>
    <w:rsid w:val="0084450E"/>
    <w:rsid w:val="00844640"/>
    <w:rsid w:val="00844791"/>
    <w:rsid w:val="00844805"/>
    <w:rsid w:val="00844A37"/>
    <w:rsid w:val="00845337"/>
    <w:rsid w:val="0084534E"/>
    <w:rsid w:val="0084545C"/>
    <w:rsid w:val="00845467"/>
    <w:rsid w:val="008454A1"/>
    <w:rsid w:val="008456AF"/>
    <w:rsid w:val="00845803"/>
    <w:rsid w:val="00845A66"/>
    <w:rsid w:val="00845C80"/>
    <w:rsid w:val="00845CAF"/>
    <w:rsid w:val="00845DAF"/>
    <w:rsid w:val="00845E91"/>
    <w:rsid w:val="0084611F"/>
    <w:rsid w:val="00846375"/>
    <w:rsid w:val="0084649C"/>
    <w:rsid w:val="00846B1F"/>
    <w:rsid w:val="008471F3"/>
    <w:rsid w:val="00847300"/>
    <w:rsid w:val="0084736A"/>
    <w:rsid w:val="00847382"/>
    <w:rsid w:val="00847401"/>
    <w:rsid w:val="008475C7"/>
    <w:rsid w:val="0084767A"/>
    <w:rsid w:val="00847865"/>
    <w:rsid w:val="00847CC0"/>
    <w:rsid w:val="00847F2D"/>
    <w:rsid w:val="0085035D"/>
    <w:rsid w:val="00850DBF"/>
    <w:rsid w:val="0085104C"/>
    <w:rsid w:val="008510BA"/>
    <w:rsid w:val="0085199F"/>
    <w:rsid w:val="00851E2D"/>
    <w:rsid w:val="00851E78"/>
    <w:rsid w:val="00851F20"/>
    <w:rsid w:val="00851FCE"/>
    <w:rsid w:val="008520E5"/>
    <w:rsid w:val="0085222F"/>
    <w:rsid w:val="0085227C"/>
    <w:rsid w:val="00852F06"/>
    <w:rsid w:val="0085304C"/>
    <w:rsid w:val="00853212"/>
    <w:rsid w:val="0085327D"/>
    <w:rsid w:val="008535A2"/>
    <w:rsid w:val="0085379A"/>
    <w:rsid w:val="00853A88"/>
    <w:rsid w:val="00853FE8"/>
    <w:rsid w:val="00854434"/>
    <w:rsid w:val="0085467F"/>
    <w:rsid w:val="008547C9"/>
    <w:rsid w:val="00854825"/>
    <w:rsid w:val="00854DC8"/>
    <w:rsid w:val="0085538A"/>
    <w:rsid w:val="00855462"/>
    <w:rsid w:val="00855495"/>
    <w:rsid w:val="0085565A"/>
    <w:rsid w:val="00855869"/>
    <w:rsid w:val="008559A9"/>
    <w:rsid w:val="008559D0"/>
    <w:rsid w:val="00855CE5"/>
    <w:rsid w:val="00855D38"/>
    <w:rsid w:val="00855E06"/>
    <w:rsid w:val="00855FDD"/>
    <w:rsid w:val="008563C1"/>
    <w:rsid w:val="0085682B"/>
    <w:rsid w:val="00856C23"/>
    <w:rsid w:val="00856CC6"/>
    <w:rsid w:val="00856D56"/>
    <w:rsid w:val="00856EAC"/>
    <w:rsid w:val="00856FEF"/>
    <w:rsid w:val="008570DF"/>
    <w:rsid w:val="008571F2"/>
    <w:rsid w:val="00857233"/>
    <w:rsid w:val="008572E4"/>
    <w:rsid w:val="00857689"/>
    <w:rsid w:val="00857A5F"/>
    <w:rsid w:val="00857BC9"/>
    <w:rsid w:val="00860140"/>
    <w:rsid w:val="00860B9E"/>
    <w:rsid w:val="00860C67"/>
    <w:rsid w:val="00860F16"/>
    <w:rsid w:val="00860F35"/>
    <w:rsid w:val="00861A38"/>
    <w:rsid w:val="00861A49"/>
    <w:rsid w:val="00861B20"/>
    <w:rsid w:val="00861B9F"/>
    <w:rsid w:val="00861D4D"/>
    <w:rsid w:val="00861DE5"/>
    <w:rsid w:val="0086231D"/>
    <w:rsid w:val="008623D9"/>
    <w:rsid w:val="008623E3"/>
    <w:rsid w:val="00862455"/>
    <w:rsid w:val="00862463"/>
    <w:rsid w:val="00862C64"/>
    <w:rsid w:val="00862FC4"/>
    <w:rsid w:val="00862FE4"/>
    <w:rsid w:val="008632F6"/>
    <w:rsid w:val="00863325"/>
    <w:rsid w:val="008637B7"/>
    <w:rsid w:val="008637FA"/>
    <w:rsid w:val="0086389A"/>
    <w:rsid w:val="0086396F"/>
    <w:rsid w:val="00863FBE"/>
    <w:rsid w:val="0086405F"/>
    <w:rsid w:val="0086467E"/>
    <w:rsid w:val="008646D6"/>
    <w:rsid w:val="008647E9"/>
    <w:rsid w:val="00864F90"/>
    <w:rsid w:val="008654BE"/>
    <w:rsid w:val="008654F6"/>
    <w:rsid w:val="00865C8F"/>
    <w:rsid w:val="00865E80"/>
    <w:rsid w:val="00865FC1"/>
    <w:rsid w:val="00866370"/>
    <w:rsid w:val="0086663C"/>
    <w:rsid w:val="0086686B"/>
    <w:rsid w:val="00866ED4"/>
    <w:rsid w:val="008672C3"/>
    <w:rsid w:val="00867353"/>
    <w:rsid w:val="008675FF"/>
    <w:rsid w:val="00867622"/>
    <w:rsid w:val="008677BD"/>
    <w:rsid w:val="008677F2"/>
    <w:rsid w:val="00867FD7"/>
    <w:rsid w:val="008700C9"/>
    <w:rsid w:val="0087031C"/>
    <w:rsid w:val="00870552"/>
    <w:rsid w:val="008709DB"/>
    <w:rsid w:val="00870B6A"/>
    <w:rsid w:val="00870FB4"/>
    <w:rsid w:val="00871096"/>
    <w:rsid w:val="00871328"/>
    <w:rsid w:val="0087152F"/>
    <w:rsid w:val="008717FC"/>
    <w:rsid w:val="00871ED9"/>
    <w:rsid w:val="00871F08"/>
    <w:rsid w:val="0087204F"/>
    <w:rsid w:val="00872243"/>
    <w:rsid w:val="00872448"/>
    <w:rsid w:val="0087299A"/>
    <w:rsid w:val="00872B54"/>
    <w:rsid w:val="00872BFA"/>
    <w:rsid w:val="00873085"/>
    <w:rsid w:val="008730D1"/>
    <w:rsid w:val="00873297"/>
    <w:rsid w:val="008736CF"/>
    <w:rsid w:val="008737B4"/>
    <w:rsid w:val="008737B8"/>
    <w:rsid w:val="00873933"/>
    <w:rsid w:val="0087406D"/>
    <w:rsid w:val="00874300"/>
    <w:rsid w:val="008744AA"/>
    <w:rsid w:val="008747F6"/>
    <w:rsid w:val="00874949"/>
    <w:rsid w:val="00874973"/>
    <w:rsid w:val="00874B8C"/>
    <w:rsid w:val="00874F38"/>
    <w:rsid w:val="00874FBD"/>
    <w:rsid w:val="00875192"/>
    <w:rsid w:val="0087532B"/>
    <w:rsid w:val="008755D4"/>
    <w:rsid w:val="00875CB7"/>
    <w:rsid w:val="00875F06"/>
    <w:rsid w:val="0087605E"/>
    <w:rsid w:val="00876109"/>
    <w:rsid w:val="008762F0"/>
    <w:rsid w:val="00876F3A"/>
    <w:rsid w:val="00877415"/>
    <w:rsid w:val="00877638"/>
    <w:rsid w:val="00877E74"/>
    <w:rsid w:val="00880192"/>
    <w:rsid w:val="00880621"/>
    <w:rsid w:val="00880811"/>
    <w:rsid w:val="008810BC"/>
    <w:rsid w:val="0088143A"/>
    <w:rsid w:val="0088155A"/>
    <w:rsid w:val="00881763"/>
    <w:rsid w:val="00881B8C"/>
    <w:rsid w:val="00881CED"/>
    <w:rsid w:val="00881F47"/>
    <w:rsid w:val="008821C5"/>
    <w:rsid w:val="008822F9"/>
    <w:rsid w:val="008827CF"/>
    <w:rsid w:val="0088286F"/>
    <w:rsid w:val="008828BA"/>
    <w:rsid w:val="00883225"/>
    <w:rsid w:val="00883B8D"/>
    <w:rsid w:val="00883F08"/>
    <w:rsid w:val="00883F8E"/>
    <w:rsid w:val="008843F9"/>
    <w:rsid w:val="0088459E"/>
    <w:rsid w:val="008849D4"/>
    <w:rsid w:val="00884AF1"/>
    <w:rsid w:val="00885004"/>
    <w:rsid w:val="00885304"/>
    <w:rsid w:val="00885891"/>
    <w:rsid w:val="00885ABA"/>
    <w:rsid w:val="00885D68"/>
    <w:rsid w:val="00885E0E"/>
    <w:rsid w:val="008865EF"/>
    <w:rsid w:val="00886BBB"/>
    <w:rsid w:val="00886CD8"/>
    <w:rsid w:val="00886F43"/>
    <w:rsid w:val="00886F9E"/>
    <w:rsid w:val="00886FC8"/>
    <w:rsid w:val="0088710A"/>
    <w:rsid w:val="008871CE"/>
    <w:rsid w:val="008872BE"/>
    <w:rsid w:val="008878BE"/>
    <w:rsid w:val="0088791E"/>
    <w:rsid w:val="00887F0C"/>
    <w:rsid w:val="008907E3"/>
    <w:rsid w:val="00890854"/>
    <w:rsid w:val="008909E0"/>
    <w:rsid w:val="00890D12"/>
    <w:rsid w:val="00890FF1"/>
    <w:rsid w:val="0089111F"/>
    <w:rsid w:val="00891389"/>
    <w:rsid w:val="00891D42"/>
    <w:rsid w:val="00891EA0"/>
    <w:rsid w:val="008920E1"/>
    <w:rsid w:val="008922E1"/>
    <w:rsid w:val="00892444"/>
    <w:rsid w:val="0089249C"/>
    <w:rsid w:val="0089254E"/>
    <w:rsid w:val="00892684"/>
    <w:rsid w:val="00892898"/>
    <w:rsid w:val="008929E2"/>
    <w:rsid w:val="008929F3"/>
    <w:rsid w:val="00892A36"/>
    <w:rsid w:val="00892D82"/>
    <w:rsid w:val="00892F90"/>
    <w:rsid w:val="00892FAD"/>
    <w:rsid w:val="00893088"/>
    <w:rsid w:val="008930DF"/>
    <w:rsid w:val="0089348B"/>
    <w:rsid w:val="00893799"/>
    <w:rsid w:val="00893B54"/>
    <w:rsid w:val="00893E39"/>
    <w:rsid w:val="008941AB"/>
    <w:rsid w:val="008943A1"/>
    <w:rsid w:val="0089461D"/>
    <w:rsid w:val="00895231"/>
    <w:rsid w:val="0089523C"/>
    <w:rsid w:val="008953B5"/>
    <w:rsid w:val="00895E42"/>
    <w:rsid w:val="00895F01"/>
    <w:rsid w:val="008961B0"/>
    <w:rsid w:val="0089656D"/>
    <w:rsid w:val="0089671A"/>
    <w:rsid w:val="008967A6"/>
    <w:rsid w:val="00896CFA"/>
    <w:rsid w:val="00896E9E"/>
    <w:rsid w:val="00896ECC"/>
    <w:rsid w:val="00896F29"/>
    <w:rsid w:val="008970FA"/>
    <w:rsid w:val="0089718B"/>
    <w:rsid w:val="0089781F"/>
    <w:rsid w:val="0089783E"/>
    <w:rsid w:val="008A00C0"/>
    <w:rsid w:val="008A018F"/>
    <w:rsid w:val="008A0400"/>
    <w:rsid w:val="008A0447"/>
    <w:rsid w:val="008A09A9"/>
    <w:rsid w:val="008A0B67"/>
    <w:rsid w:val="008A0C77"/>
    <w:rsid w:val="008A1009"/>
    <w:rsid w:val="008A12A1"/>
    <w:rsid w:val="008A163D"/>
    <w:rsid w:val="008A1E14"/>
    <w:rsid w:val="008A1FE1"/>
    <w:rsid w:val="008A20BD"/>
    <w:rsid w:val="008A2169"/>
    <w:rsid w:val="008A235E"/>
    <w:rsid w:val="008A2817"/>
    <w:rsid w:val="008A2ADB"/>
    <w:rsid w:val="008A2B7A"/>
    <w:rsid w:val="008A2C85"/>
    <w:rsid w:val="008A30A1"/>
    <w:rsid w:val="008A34F3"/>
    <w:rsid w:val="008A3E13"/>
    <w:rsid w:val="008A40BC"/>
    <w:rsid w:val="008A40E2"/>
    <w:rsid w:val="008A41CC"/>
    <w:rsid w:val="008A43A1"/>
    <w:rsid w:val="008A48A6"/>
    <w:rsid w:val="008A4C6F"/>
    <w:rsid w:val="008A4E4A"/>
    <w:rsid w:val="008A5029"/>
    <w:rsid w:val="008A55A8"/>
    <w:rsid w:val="008A55E4"/>
    <w:rsid w:val="008A5671"/>
    <w:rsid w:val="008A5C91"/>
    <w:rsid w:val="008A5FC8"/>
    <w:rsid w:val="008A63B2"/>
    <w:rsid w:val="008A6D9C"/>
    <w:rsid w:val="008A7126"/>
    <w:rsid w:val="008A72A6"/>
    <w:rsid w:val="008A76B2"/>
    <w:rsid w:val="008A7B6C"/>
    <w:rsid w:val="008A7C7C"/>
    <w:rsid w:val="008A7F64"/>
    <w:rsid w:val="008B02C5"/>
    <w:rsid w:val="008B07E6"/>
    <w:rsid w:val="008B0B4F"/>
    <w:rsid w:val="008B1154"/>
    <w:rsid w:val="008B15FC"/>
    <w:rsid w:val="008B1E99"/>
    <w:rsid w:val="008B1FDA"/>
    <w:rsid w:val="008B1FEE"/>
    <w:rsid w:val="008B25C6"/>
    <w:rsid w:val="008B2895"/>
    <w:rsid w:val="008B2E6E"/>
    <w:rsid w:val="008B32FB"/>
    <w:rsid w:val="008B358C"/>
    <w:rsid w:val="008B3CDF"/>
    <w:rsid w:val="008B3D20"/>
    <w:rsid w:val="008B3E6B"/>
    <w:rsid w:val="008B452A"/>
    <w:rsid w:val="008B4869"/>
    <w:rsid w:val="008B4B14"/>
    <w:rsid w:val="008B56B5"/>
    <w:rsid w:val="008B5841"/>
    <w:rsid w:val="008B5D46"/>
    <w:rsid w:val="008B5E7E"/>
    <w:rsid w:val="008B5ECC"/>
    <w:rsid w:val="008B6484"/>
    <w:rsid w:val="008B68D1"/>
    <w:rsid w:val="008B6C93"/>
    <w:rsid w:val="008B6E43"/>
    <w:rsid w:val="008B6F39"/>
    <w:rsid w:val="008B7688"/>
    <w:rsid w:val="008B78C8"/>
    <w:rsid w:val="008C0632"/>
    <w:rsid w:val="008C0E27"/>
    <w:rsid w:val="008C11FC"/>
    <w:rsid w:val="008C13CD"/>
    <w:rsid w:val="008C14F9"/>
    <w:rsid w:val="008C1713"/>
    <w:rsid w:val="008C1B48"/>
    <w:rsid w:val="008C1BBF"/>
    <w:rsid w:val="008C1BDA"/>
    <w:rsid w:val="008C22D9"/>
    <w:rsid w:val="008C22FA"/>
    <w:rsid w:val="008C25B3"/>
    <w:rsid w:val="008C2668"/>
    <w:rsid w:val="008C268D"/>
    <w:rsid w:val="008C2BCE"/>
    <w:rsid w:val="008C3075"/>
    <w:rsid w:val="008C3419"/>
    <w:rsid w:val="008C3451"/>
    <w:rsid w:val="008C36EC"/>
    <w:rsid w:val="008C37F4"/>
    <w:rsid w:val="008C3A4D"/>
    <w:rsid w:val="008C3B29"/>
    <w:rsid w:val="008C3BE4"/>
    <w:rsid w:val="008C3E5D"/>
    <w:rsid w:val="008C411A"/>
    <w:rsid w:val="008C4663"/>
    <w:rsid w:val="008C469F"/>
    <w:rsid w:val="008C46A9"/>
    <w:rsid w:val="008C4728"/>
    <w:rsid w:val="008C4EAA"/>
    <w:rsid w:val="008C522A"/>
    <w:rsid w:val="008C535B"/>
    <w:rsid w:val="008C588B"/>
    <w:rsid w:val="008C5CB9"/>
    <w:rsid w:val="008C644D"/>
    <w:rsid w:val="008C6626"/>
    <w:rsid w:val="008C68E9"/>
    <w:rsid w:val="008C6FE1"/>
    <w:rsid w:val="008C71ED"/>
    <w:rsid w:val="008C7633"/>
    <w:rsid w:val="008C7835"/>
    <w:rsid w:val="008C7933"/>
    <w:rsid w:val="008C7B83"/>
    <w:rsid w:val="008C7CF9"/>
    <w:rsid w:val="008D00C3"/>
    <w:rsid w:val="008D058C"/>
    <w:rsid w:val="008D085F"/>
    <w:rsid w:val="008D0FE6"/>
    <w:rsid w:val="008D1446"/>
    <w:rsid w:val="008D147B"/>
    <w:rsid w:val="008D14B0"/>
    <w:rsid w:val="008D1792"/>
    <w:rsid w:val="008D1863"/>
    <w:rsid w:val="008D1919"/>
    <w:rsid w:val="008D21BA"/>
    <w:rsid w:val="008D2394"/>
    <w:rsid w:val="008D375D"/>
    <w:rsid w:val="008D3831"/>
    <w:rsid w:val="008D396A"/>
    <w:rsid w:val="008D40BC"/>
    <w:rsid w:val="008D415F"/>
    <w:rsid w:val="008D4ABD"/>
    <w:rsid w:val="008D4B36"/>
    <w:rsid w:val="008D4F8B"/>
    <w:rsid w:val="008D50AB"/>
    <w:rsid w:val="008D5493"/>
    <w:rsid w:val="008D5A8D"/>
    <w:rsid w:val="008D6306"/>
    <w:rsid w:val="008D64A4"/>
    <w:rsid w:val="008D66EA"/>
    <w:rsid w:val="008D6734"/>
    <w:rsid w:val="008D6AA7"/>
    <w:rsid w:val="008D6B3F"/>
    <w:rsid w:val="008D6BE5"/>
    <w:rsid w:val="008D6C53"/>
    <w:rsid w:val="008D6D40"/>
    <w:rsid w:val="008D6F20"/>
    <w:rsid w:val="008D6F9B"/>
    <w:rsid w:val="008D76BB"/>
    <w:rsid w:val="008D774A"/>
    <w:rsid w:val="008D77A4"/>
    <w:rsid w:val="008D7935"/>
    <w:rsid w:val="008D7A7D"/>
    <w:rsid w:val="008D7BA5"/>
    <w:rsid w:val="008D7D46"/>
    <w:rsid w:val="008D7DF4"/>
    <w:rsid w:val="008D7EE3"/>
    <w:rsid w:val="008E030D"/>
    <w:rsid w:val="008E03CB"/>
    <w:rsid w:val="008E0C04"/>
    <w:rsid w:val="008E0C1E"/>
    <w:rsid w:val="008E0E1C"/>
    <w:rsid w:val="008E12A0"/>
    <w:rsid w:val="008E13FD"/>
    <w:rsid w:val="008E16ED"/>
    <w:rsid w:val="008E16FD"/>
    <w:rsid w:val="008E1881"/>
    <w:rsid w:val="008E1FCD"/>
    <w:rsid w:val="008E212E"/>
    <w:rsid w:val="008E2572"/>
    <w:rsid w:val="008E27D8"/>
    <w:rsid w:val="008E2D4C"/>
    <w:rsid w:val="008E2FD7"/>
    <w:rsid w:val="008E3B5A"/>
    <w:rsid w:val="008E3E3B"/>
    <w:rsid w:val="008E406E"/>
    <w:rsid w:val="008E44BB"/>
    <w:rsid w:val="008E45DE"/>
    <w:rsid w:val="008E4B96"/>
    <w:rsid w:val="008E4EC3"/>
    <w:rsid w:val="008E4EEE"/>
    <w:rsid w:val="008E531A"/>
    <w:rsid w:val="008E54A2"/>
    <w:rsid w:val="008E5537"/>
    <w:rsid w:val="008E5648"/>
    <w:rsid w:val="008E57D1"/>
    <w:rsid w:val="008E5C65"/>
    <w:rsid w:val="008E5D32"/>
    <w:rsid w:val="008E5F5B"/>
    <w:rsid w:val="008E62F4"/>
    <w:rsid w:val="008E6346"/>
    <w:rsid w:val="008E636F"/>
    <w:rsid w:val="008E676C"/>
    <w:rsid w:val="008E67F6"/>
    <w:rsid w:val="008E6B43"/>
    <w:rsid w:val="008E6C29"/>
    <w:rsid w:val="008E6F9C"/>
    <w:rsid w:val="008E7301"/>
    <w:rsid w:val="008E7339"/>
    <w:rsid w:val="008E7479"/>
    <w:rsid w:val="008E76C6"/>
    <w:rsid w:val="008E788A"/>
    <w:rsid w:val="008E79EE"/>
    <w:rsid w:val="008E7BF3"/>
    <w:rsid w:val="008E7D1B"/>
    <w:rsid w:val="008E7D56"/>
    <w:rsid w:val="008E7F6F"/>
    <w:rsid w:val="008F0072"/>
    <w:rsid w:val="008F02B7"/>
    <w:rsid w:val="008F02CB"/>
    <w:rsid w:val="008F0451"/>
    <w:rsid w:val="008F04A4"/>
    <w:rsid w:val="008F05ED"/>
    <w:rsid w:val="008F132C"/>
    <w:rsid w:val="008F14F5"/>
    <w:rsid w:val="008F1ADF"/>
    <w:rsid w:val="008F1F5F"/>
    <w:rsid w:val="008F2016"/>
    <w:rsid w:val="008F2181"/>
    <w:rsid w:val="008F276E"/>
    <w:rsid w:val="008F2896"/>
    <w:rsid w:val="008F2AFD"/>
    <w:rsid w:val="008F2F74"/>
    <w:rsid w:val="008F3330"/>
    <w:rsid w:val="008F3A73"/>
    <w:rsid w:val="008F3B2B"/>
    <w:rsid w:val="008F3F8D"/>
    <w:rsid w:val="008F405C"/>
    <w:rsid w:val="008F4470"/>
    <w:rsid w:val="008F52E7"/>
    <w:rsid w:val="008F5487"/>
    <w:rsid w:val="008F54FC"/>
    <w:rsid w:val="008F56B6"/>
    <w:rsid w:val="008F57B7"/>
    <w:rsid w:val="008F5951"/>
    <w:rsid w:val="008F5956"/>
    <w:rsid w:val="008F5D36"/>
    <w:rsid w:val="008F5FF5"/>
    <w:rsid w:val="008F62A2"/>
    <w:rsid w:val="008F6374"/>
    <w:rsid w:val="008F63AF"/>
    <w:rsid w:val="008F6672"/>
    <w:rsid w:val="008F6A5E"/>
    <w:rsid w:val="008F7547"/>
    <w:rsid w:val="008F7AEB"/>
    <w:rsid w:val="008F7BE2"/>
    <w:rsid w:val="008F7C30"/>
    <w:rsid w:val="00900166"/>
    <w:rsid w:val="00900576"/>
    <w:rsid w:val="0090065F"/>
    <w:rsid w:val="0090066B"/>
    <w:rsid w:val="009008FD"/>
    <w:rsid w:val="00900CCE"/>
    <w:rsid w:val="00900ECD"/>
    <w:rsid w:val="0090102C"/>
    <w:rsid w:val="009010F1"/>
    <w:rsid w:val="009012B4"/>
    <w:rsid w:val="00901825"/>
    <w:rsid w:val="0090193C"/>
    <w:rsid w:val="00902348"/>
    <w:rsid w:val="009024CB"/>
    <w:rsid w:val="00902A7B"/>
    <w:rsid w:val="00902DD9"/>
    <w:rsid w:val="00902F26"/>
    <w:rsid w:val="0090312B"/>
    <w:rsid w:val="00903284"/>
    <w:rsid w:val="00903C32"/>
    <w:rsid w:val="00903C41"/>
    <w:rsid w:val="00904493"/>
    <w:rsid w:val="00904A96"/>
    <w:rsid w:val="00904BE0"/>
    <w:rsid w:val="00904D5D"/>
    <w:rsid w:val="00905112"/>
    <w:rsid w:val="00905B29"/>
    <w:rsid w:val="00906472"/>
    <w:rsid w:val="0090649D"/>
    <w:rsid w:val="00906752"/>
    <w:rsid w:val="00906EF8"/>
    <w:rsid w:val="00906F63"/>
    <w:rsid w:val="00907289"/>
    <w:rsid w:val="00907759"/>
    <w:rsid w:val="00907C75"/>
    <w:rsid w:val="00907E89"/>
    <w:rsid w:val="00907EDB"/>
    <w:rsid w:val="00907F50"/>
    <w:rsid w:val="0091025C"/>
    <w:rsid w:val="009103C1"/>
    <w:rsid w:val="00910441"/>
    <w:rsid w:val="009106C3"/>
    <w:rsid w:val="00910727"/>
    <w:rsid w:val="00910EBF"/>
    <w:rsid w:val="00910FE9"/>
    <w:rsid w:val="0091103F"/>
    <w:rsid w:val="009110F9"/>
    <w:rsid w:val="009112FA"/>
    <w:rsid w:val="00911AFC"/>
    <w:rsid w:val="00911D6F"/>
    <w:rsid w:val="00911FD3"/>
    <w:rsid w:val="00912384"/>
    <w:rsid w:val="0091243A"/>
    <w:rsid w:val="0091262C"/>
    <w:rsid w:val="00912A2C"/>
    <w:rsid w:val="00912E57"/>
    <w:rsid w:val="009131E4"/>
    <w:rsid w:val="0091328C"/>
    <w:rsid w:val="009132F9"/>
    <w:rsid w:val="009134F2"/>
    <w:rsid w:val="00913758"/>
    <w:rsid w:val="009139A9"/>
    <w:rsid w:val="00913F48"/>
    <w:rsid w:val="00914499"/>
    <w:rsid w:val="0091465A"/>
    <w:rsid w:val="00914710"/>
    <w:rsid w:val="00914721"/>
    <w:rsid w:val="00914833"/>
    <w:rsid w:val="0091484E"/>
    <w:rsid w:val="00914EA7"/>
    <w:rsid w:val="00914F59"/>
    <w:rsid w:val="00915062"/>
    <w:rsid w:val="00915515"/>
    <w:rsid w:val="009155B4"/>
    <w:rsid w:val="009156C3"/>
    <w:rsid w:val="009157B0"/>
    <w:rsid w:val="00915A53"/>
    <w:rsid w:val="00915C07"/>
    <w:rsid w:val="00915F99"/>
    <w:rsid w:val="0091606A"/>
    <w:rsid w:val="00916B16"/>
    <w:rsid w:val="00916BB6"/>
    <w:rsid w:val="00916BDD"/>
    <w:rsid w:val="00916C5E"/>
    <w:rsid w:val="009173B9"/>
    <w:rsid w:val="009176AA"/>
    <w:rsid w:val="009179CB"/>
    <w:rsid w:val="00917A61"/>
    <w:rsid w:val="00917BC0"/>
    <w:rsid w:val="00917C5F"/>
    <w:rsid w:val="00917ED2"/>
    <w:rsid w:val="0091DE50"/>
    <w:rsid w:val="00920352"/>
    <w:rsid w:val="00920957"/>
    <w:rsid w:val="009209C5"/>
    <w:rsid w:val="00920B9A"/>
    <w:rsid w:val="00920BE3"/>
    <w:rsid w:val="00920CE8"/>
    <w:rsid w:val="00920DEA"/>
    <w:rsid w:val="00920FCD"/>
    <w:rsid w:val="0092105E"/>
    <w:rsid w:val="00921298"/>
    <w:rsid w:val="0092176F"/>
    <w:rsid w:val="0092199A"/>
    <w:rsid w:val="00921BDF"/>
    <w:rsid w:val="00921F12"/>
    <w:rsid w:val="009220DE"/>
    <w:rsid w:val="00922D36"/>
    <w:rsid w:val="00922E28"/>
    <w:rsid w:val="00922F59"/>
    <w:rsid w:val="0092305D"/>
    <w:rsid w:val="009234E3"/>
    <w:rsid w:val="009239AE"/>
    <w:rsid w:val="00923DC4"/>
    <w:rsid w:val="009245EB"/>
    <w:rsid w:val="00924A20"/>
    <w:rsid w:val="00924F11"/>
    <w:rsid w:val="00925253"/>
    <w:rsid w:val="00925441"/>
    <w:rsid w:val="00925598"/>
    <w:rsid w:val="00925621"/>
    <w:rsid w:val="009258E7"/>
    <w:rsid w:val="00925924"/>
    <w:rsid w:val="009259EE"/>
    <w:rsid w:val="00925A9D"/>
    <w:rsid w:val="0092616F"/>
    <w:rsid w:val="0092668C"/>
    <w:rsid w:val="00926A37"/>
    <w:rsid w:val="00926BEA"/>
    <w:rsid w:val="009271C9"/>
    <w:rsid w:val="00927256"/>
    <w:rsid w:val="0092728A"/>
    <w:rsid w:val="009275B1"/>
    <w:rsid w:val="0092773D"/>
    <w:rsid w:val="009279C3"/>
    <w:rsid w:val="00927C98"/>
    <w:rsid w:val="00927C9A"/>
    <w:rsid w:val="009308AB"/>
    <w:rsid w:val="009308F3"/>
    <w:rsid w:val="009309D4"/>
    <w:rsid w:val="00930BB2"/>
    <w:rsid w:val="00930DD7"/>
    <w:rsid w:val="009315BB"/>
    <w:rsid w:val="0093185B"/>
    <w:rsid w:val="009319F9"/>
    <w:rsid w:val="00931CCB"/>
    <w:rsid w:val="009321B7"/>
    <w:rsid w:val="0093230E"/>
    <w:rsid w:val="009325B3"/>
    <w:rsid w:val="009325BD"/>
    <w:rsid w:val="009325FB"/>
    <w:rsid w:val="00932683"/>
    <w:rsid w:val="00932807"/>
    <w:rsid w:val="009328F6"/>
    <w:rsid w:val="00932E3A"/>
    <w:rsid w:val="00932FF9"/>
    <w:rsid w:val="009330E1"/>
    <w:rsid w:val="0093335D"/>
    <w:rsid w:val="00933422"/>
    <w:rsid w:val="00933929"/>
    <w:rsid w:val="00933BE6"/>
    <w:rsid w:val="00933C48"/>
    <w:rsid w:val="00933DCF"/>
    <w:rsid w:val="00933EB0"/>
    <w:rsid w:val="009340A4"/>
    <w:rsid w:val="009345A1"/>
    <w:rsid w:val="00934AFB"/>
    <w:rsid w:val="00934C94"/>
    <w:rsid w:val="00934DC8"/>
    <w:rsid w:val="00935245"/>
    <w:rsid w:val="009359DA"/>
    <w:rsid w:val="00935BD5"/>
    <w:rsid w:val="00935DC2"/>
    <w:rsid w:val="00935FE8"/>
    <w:rsid w:val="00936048"/>
    <w:rsid w:val="009360C3"/>
    <w:rsid w:val="00936114"/>
    <w:rsid w:val="0093613E"/>
    <w:rsid w:val="0093644A"/>
    <w:rsid w:val="00936541"/>
    <w:rsid w:val="00936DCB"/>
    <w:rsid w:val="0093737A"/>
    <w:rsid w:val="00937433"/>
    <w:rsid w:val="009374E4"/>
    <w:rsid w:val="009379C5"/>
    <w:rsid w:val="00937EA5"/>
    <w:rsid w:val="00937ED7"/>
    <w:rsid w:val="00937F3C"/>
    <w:rsid w:val="00937F76"/>
    <w:rsid w:val="00940577"/>
    <w:rsid w:val="009405D7"/>
    <w:rsid w:val="00940B89"/>
    <w:rsid w:val="00940BA8"/>
    <w:rsid w:val="00940CE9"/>
    <w:rsid w:val="00940EAA"/>
    <w:rsid w:val="00940F9C"/>
    <w:rsid w:val="00940FF7"/>
    <w:rsid w:val="00941223"/>
    <w:rsid w:val="00941474"/>
    <w:rsid w:val="00941C01"/>
    <w:rsid w:val="00941E40"/>
    <w:rsid w:val="00941F96"/>
    <w:rsid w:val="00941FCF"/>
    <w:rsid w:val="00942480"/>
    <w:rsid w:val="009424F2"/>
    <w:rsid w:val="00942C04"/>
    <w:rsid w:val="00942DA8"/>
    <w:rsid w:val="00942EDD"/>
    <w:rsid w:val="00943026"/>
    <w:rsid w:val="0094316D"/>
    <w:rsid w:val="00943227"/>
    <w:rsid w:val="009439C5"/>
    <w:rsid w:val="00943A32"/>
    <w:rsid w:val="00943B70"/>
    <w:rsid w:val="00943EB1"/>
    <w:rsid w:val="00944071"/>
    <w:rsid w:val="009446C4"/>
    <w:rsid w:val="009447C5"/>
    <w:rsid w:val="0094484C"/>
    <w:rsid w:val="00944B91"/>
    <w:rsid w:val="0094506E"/>
    <w:rsid w:val="009452F9"/>
    <w:rsid w:val="009453F8"/>
    <w:rsid w:val="009456EC"/>
    <w:rsid w:val="00945809"/>
    <w:rsid w:val="0094598A"/>
    <w:rsid w:val="00945B54"/>
    <w:rsid w:val="00945C1A"/>
    <w:rsid w:val="00945E1B"/>
    <w:rsid w:val="00945EAB"/>
    <w:rsid w:val="00946287"/>
    <w:rsid w:val="009463CA"/>
    <w:rsid w:val="00946823"/>
    <w:rsid w:val="00946E95"/>
    <w:rsid w:val="00946EC3"/>
    <w:rsid w:val="00946F0F"/>
    <w:rsid w:val="0094731E"/>
    <w:rsid w:val="0094764D"/>
    <w:rsid w:val="00947AAC"/>
    <w:rsid w:val="00947C05"/>
    <w:rsid w:val="00947CA7"/>
    <w:rsid w:val="00947CCE"/>
    <w:rsid w:val="00947DF8"/>
    <w:rsid w:val="00947FA2"/>
    <w:rsid w:val="009501BD"/>
    <w:rsid w:val="009502E7"/>
    <w:rsid w:val="009506A5"/>
    <w:rsid w:val="00950ACF"/>
    <w:rsid w:val="00950C90"/>
    <w:rsid w:val="00950CCB"/>
    <w:rsid w:val="00950F08"/>
    <w:rsid w:val="009511D9"/>
    <w:rsid w:val="0095168E"/>
    <w:rsid w:val="00951A01"/>
    <w:rsid w:val="00952312"/>
    <w:rsid w:val="009525D6"/>
    <w:rsid w:val="0095263A"/>
    <w:rsid w:val="009527A8"/>
    <w:rsid w:val="00952A27"/>
    <w:rsid w:val="00952D56"/>
    <w:rsid w:val="00952DB3"/>
    <w:rsid w:val="00952EF6"/>
    <w:rsid w:val="00953113"/>
    <w:rsid w:val="009536B0"/>
    <w:rsid w:val="009538F2"/>
    <w:rsid w:val="009539BA"/>
    <w:rsid w:val="00953C0E"/>
    <w:rsid w:val="009540D7"/>
    <w:rsid w:val="00954335"/>
    <w:rsid w:val="009544B1"/>
    <w:rsid w:val="00954654"/>
    <w:rsid w:val="00954B71"/>
    <w:rsid w:val="0095525B"/>
    <w:rsid w:val="00955281"/>
    <w:rsid w:val="0095584A"/>
    <w:rsid w:val="009559B6"/>
    <w:rsid w:val="00955C97"/>
    <w:rsid w:val="00955FE9"/>
    <w:rsid w:val="009565B5"/>
    <w:rsid w:val="0095662D"/>
    <w:rsid w:val="00956C6F"/>
    <w:rsid w:val="00956DFA"/>
    <w:rsid w:val="00957007"/>
    <w:rsid w:val="009571AC"/>
    <w:rsid w:val="009571FD"/>
    <w:rsid w:val="009575DA"/>
    <w:rsid w:val="009576B0"/>
    <w:rsid w:val="009577F4"/>
    <w:rsid w:val="009579F9"/>
    <w:rsid w:val="00957C5B"/>
    <w:rsid w:val="00957C80"/>
    <w:rsid w:val="00960136"/>
    <w:rsid w:val="00960303"/>
    <w:rsid w:val="00960433"/>
    <w:rsid w:val="009607CB"/>
    <w:rsid w:val="0096174A"/>
    <w:rsid w:val="0096189A"/>
    <w:rsid w:val="009619E3"/>
    <w:rsid w:val="00961B44"/>
    <w:rsid w:val="00961BBB"/>
    <w:rsid w:val="00961E4A"/>
    <w:rsid w:val="00962176"/>
    <w:rsid w:val="0096220F"/>
    <w:rsid w:val="0096228C"/>
    <w:rsid w:val="009624E9"/>
    <w:rsid w:val="009628A1"/>
    <w:rsid w:val="00962BEE"/>
    <w:rsid w:val="00962E41"/>
    <w:rsid w:val="009635F8"/>
    <w:rsid w:val="009639D2"/>
    <w:rsid w:val="00963BFC"/>
    <w:rsid w:val="00963D58"/>
    <w:rsid w:val="00964349"/>
    <w:rsid w:val="00964725"/>
    <w:rsid w:val="009647CE"/>
    <w:rsid w:val="00964C94"/>
    <w:rsid w:val="009650ED"/>
    <w:rsid w:val="009653B2"/>
    <w:rsid w:val="009653CE"/>
    <w:rsid w:val="00965487"/>
    <w:rsid w:val="00965502"/>
    <w:rsid w:val="00965516"/>
    <w:rsid w:val="009655B2"/>
    <w:rsid w:val="0096564A"/>
    <w:rsid w:val="0096613D"/>
    <w:rsid w:val="009661BC"/>
    <w:rsid w:val="00966AC1"/>
    <w:rsid w:val="00966B7B"/>
    <w:rsid w:val="00966B81"/>
    <w:rsid w:val="00966BA6"/>
    <w:rsid w:val="0096736C"/>
    <w:rsid w:val="009673A5"/>
    <w:rsid w:val="00967726"/>
    <w:rsid w:val="00967DF5"/>
    <w:rsid w:val="0097006F"/>
    <w:rsid w:val="00970398"/>
    <w:rsid w:val="009706A9"/>
    <w:rsid w:val="00970B0B"/>
    <w:rsid w:val="00970C4F"/>
    <w:rsid w:val="00970CE2"/>
    <w:rsid w:val="00971045"/>
    <w:rsid w:val="00971100"/>
    <w:rsid w:val="00971506"/>
    <w:rsid w:val="0097267F"/>
    <w:rsid w:val="00973737"/>
    <w:rsid w:val="00973919"/>
    <w:rsid w:val="00973C95"/>
    <w:rsid w:val="00973DE2"/>
    <w:rsid w:val="00973DEF"/>
    <w:rsid w:val="00973E25"/>
    <w:rsid w:val="0097423F"/>
    <w:rsid w:val="009743FA"/>
    <w:rsid w:val="009749B7"/>
    <w:rsid w:val="00974FBB"/>
    <w:rsid w:val="009754C4"/>
    <w:rsid w:val="009757B2"/>
    <w:rsid w:val="00975BB8"/>
    <w:rsid w:val="00975BED"/>
    <w:rsid w:val="00975CA1"/>
    <w:rsid w:val="00975E92"/>
    <w:rsid w:val="0097654D"/>
    <w:rsid w:val="0097695C"/>
    <w:rsid w:val="00976B37"/>
    <w:rsid w:val="00976B51"/>
    <w:rsid w:val="00976D33"/>
    <w:rsid w:val="009770E7"/>
    <w:rsid w:val="0097760A"/>
    <w:rsid w:val="009776BB"/>
    <w:rsid w:val="009779B2"/>
    <w:rsid w:val="00977DC9"/>
    <w:rsid w:val="00977EEE"/>
    <w:rsid w:val="009802BA"/>
    <w:rsid w:val="00980998"/>
    <w:rsid w:val="00980B24"/>
    <w:rsid w:val="00981B22"/>
    <w:rsid w:val="00981B32"/>
    <w:rsid w:val="009820E0"/>
    <w:rsid w:val="00982443"/>
    <w:rsid w:val="0098250D"/>
    <w:rsid w:val="00982727"/>
    <w:rsid w:val="00982867"/>
    <w:rsid w:val="00982E61"/>
    <w:rsid w:val="0098312A"/>
    <w:rsid w:val="009831B1"/>
    <w:rsid w:val="009832D9"/>
    <w:rsid w:val="00983652"/>
    <w:rsid w:val="00983794"/>
    <w:rsid w:val="00983AE1"/>
    <w:rsid w:val="00983D15"/>
    <w:rsid w:val="00983DD5"/>
    <w:rsid w:val="00984469"/>
    <w:rsid w:val="00984C83"/>
    <w:rsid w:val="00984F06"/>
    <w:rsid w:val="00985035"/>
    <w:rsid w:val="0098516A"/>
    <w:rsid w:val="009851B1"/>
    <w:rsid w:val="0098540F"/>
    <w:rsid w:val="009854E6"/>
    <w:rsid w:val="00985653"/>
    <w:rsid w:val="009858D8"/>
    <w:rsid w:val="00985D8D"/>
    <w:rsid w:val="00985FE5"/>
    <w:rsid w:val="00986505"/>
    <w:rsid w:val="00986613"/>
    <w:rsid w:val="00986A2B"/>
    <w:rsid w:val="00986B8D"/>
    <w:rsid w:val="00986BCC"/>
    <w:rsid w:val="00986E19"/>
    <w:rsid w:val="00987065"/>
    <w:rsid w:val="0098748C"/>
    <w:rsid w:val="009878AD"/>
    <w:rsid w:val="00990156"/>
    <w:rsid w:val="00990594"/>
    <w:rsid w:val="009909EC"/>
    <w:rsid w:val="00990ADC"/>
    <w:rsid w:val="00990CD7"/>
    <w:rsid w:val="00990D12"/>
    <w:rsid w:val="00990E20"/>
    <w:rsid w:val="009910EE"/>
    <w:rsid w:val="009911AF"/>
    <w:rsid w:val="0099138D"/>
    <w:rsid w:val="0099147F"/>
    <w:rsid w:val="00991579"/>
    <w:rsid w:val="00991D4A"/>
    <w:rsid w:val="009924AC"/>
    <w:rsid w:val="009924C3"/>
    <w:rsid w:val="00992593"/>
    <w:rsid w:val="00992632"/>
    <w:rsid w:val="00992685"/>
    <w:rsid w:val="009927CB"/>
    <w:rsid w:val="009930BE"/>
    <w:rsid w:val="0099314E"/>
    <w:rsid w:val="00993B40"/>
    <w:rsid w:val="00993BB1"/>
    <w:rsid w:val="00993C4F"/>
    <w:rsid w:val="00993EB7"/>
    <w:rsid w:val="009940FB"/>
    <w:rsid w:val="0099431F"/>
    <w:rsid w:val="00994835"/>
    <w:rsid w:val="00994E24"/>
    <w:rsid w:val="00994F88"/>
    <w:rsid w:val="00994FCF"/>
    <w:rsid w:val="00995050"/>
    <w:rsid w:val="0099518F"/>
    <w:rsid w:val="00995303"/>
    <w:rsid w:val="00995347"/>
    <w:rsid w:val="0099568A"/>
    <w:rsid w:val="009957A7"/>
    <w:rsid w:val="00995827"/>
    <w:rsid w:val="00995A80"/>
    <w:rsid w:val="00995B0B"/>
    <w:rsid w:val="00995DBB"/>
    <w:rsid w:val="0099631F"/>
    <w:rsid w:val="009963D3"/>
    <w:rsid w:val="00996409"/>
    <w:rsid w:val="0099659D"/>
    <w:rsid w:val="009969D8"/>
    <w:rsid w:val="00996AEC"/>
    <w:rsid w:val="00996B1D"/>
    <w:rsid w:val="00996CFC"/>
    <w:rsid w:val="00996E9E"/>
    <w:rsid w:val="009970A1"/>
    <w:rsid w:val="00997436"/>
    <w:rsid w:val="009974E5"/>
    <w:rsid w:val="00997659"/>
    <w:rsid w:val="009976BE"/>
    <w:rsid w:val="009979D1"/>
    <w:rsid w:val="00997AAA"/>
    <w:rsid w:val="009A0150"/>
    <w:rsid w:val="009A04B9"/>
    <w:rsid w:val="009A052E"/>
    <w:rsid w:val="009A0CC7"/>
    <w:rsid w:val="009A107B"/>
    <w:rsid w:val="009A10A2"/>
    <w:rsid w:val="009A110A"/>
    <w:rsid w:val="009A142D"/>
    <w:rsid w:val="009A16C9"/>
    <w:rsid w:val="009A1A4A"/>
    <w:rsid w:val="009A230B"/>
    <w:rsid w:val="009A24A5"/>
    <w:rsid w:val="009A2853"/>
    <w:rsid w:val="009A28A2"/>
    <w:rsid w:val="009A2A01"/>
    <w:rsid w:val="009A2B8C"/>
    <w:rsid w:val="009A2E8A"/>
    <w:rsid w:val="009A2F72"/>
    <w:rsid w:val="009A31DF"/>
    <w:rsid w:val="009A3283"/>
    <w:rsid w:val="009A35E9"/>
    <w:rsid w:val="009A37AC"/>
    <w:rsid w:val="009A3D65"/>
    <w:rsid w:val="009A3EC6"/>
    <w:rsid w:val="009A3F84"/>
    <w:rsid w:val="009A43D7"/>
    <w:rsid w:val="009A4479"/>
    <w:rsid w:val="009A450D"/>
    <w:rsid w:val="009A4542"/>
    <w:rsid w:val="009A4742"/>
    <w:rsid w:val="009A491B"/>
    <w:rsid w:val="009A4E25"/>
    <w:rsid w:val="009A4E62"/>
    <w:rsid w:val="009A5919"/>
    <w:rsid w:val="009A5B2C"/>
    <w:rsid w:val="009A5BAE"/>
    <w:rsid w:val="009A5FEC"/>
    <w:rsid w:val="009A6384"/>
    <w:rsid w:val="009A673C"/>
    <w:rsid w:val="009A687C"/>
    <w:rsid w:val="009A6D15"/>
    <w:rsid w:val="009A6DC5"/>
    <w:rsid w:val="009A6EFA"/>
    <w:rsid w:val="009A70B9"/>
    <w:rsid w:val="009A713E"/>
    <w:rsid w:val="009A73AB"/>
    <w:rsid w:val="009A7461"/>
    <w:rsid w:val="009A7892"/>
    <w:rsid w:val="009A7A8D"/>
    <w:rsid w:val="009A7BF7"/>
    <w:rsid w:val="009A7F5F"/>
    <w:rsid w:val="009B00BD"/>
    <w:rsid w:val="009B0206"/>
    <w:rsid w:val="009B069F"/>
    <w:rsid w:val="009B0A04"/>
    <w:rsid w:val="009B0A05"/>
    <w:rsid w:val="009B0BD4"/>
    <w:rsid w:val="009B0EA8"/>
    <w:rsid w:val="009B0FB1"/>
    <w:rsid w:val="009B1160"/>
    <w:rsid w:val="009B11B1"/>
    <w:rsid w:val="009B126B"/>
    <w:rsid w:val="009B133D"/>
    <w:rsid w:val="009B1559"/>
    <w:rsid w:val="009B1586"/>
    <w:rsid w:val="009B164A"/>
    <w:rsid w:val="009B1FD5"/>
    <w:rsid w:val="009B2218"/>
    <w:rsid w:val="009B2231"/>
    <w:rsid w:val="009B25D9"/>
    <w:rsid w:val="009B2604"/>
    <w:rsid w:val="009B263B"/>
    <w:rsid w:val="009B27EB"/>
    <w:rsid w:val="009B3313"/>
    <w:rsid w:val="009B3418"/>
    <w:rsid w:val="009B368B"/>
    <w:rsid w:val="009B3B1A"/>
    <w:rsid w:val="009B3C5A"/>
    <w:rsid w:val="009B3DE8"/>
    <w:rsid w:val="009B3E20"/>
    <w:rsid w:val="009B47A2"/>
    <w:rsid w:val="009B47A5"/>
    <w:rsid w:val="009B4B53"/>
    <w:rsid w:val="009B4E0A"/>
    <w:rsid w:val="009B4ED7"/>
    <w:rsid w:val="009B5C53"/>
    <w:rsid w:val="009B6358"/>
    <w:rsid w:val="009B6625"/>
    <w:rsid w:val="009B6860"/>
    <w:rsid w:val="009B6A22"/>
    <w:rsid w:val="009B6D22"/>
    <w:rsid w:val="009B7074"/>
    <w:rsid w:val="009B73A3"/>
    <w:rsid w:val="009B74DF"/>
    <w:rsid w:val="009B7513"/>
    <w:rsid w:val="009B78F4"/>
    <w:rsid w:val="009B7D09"/>
    <w:rsid w:val="009C02DE"/>
    <w:rsid w:val="009C0388"/>
    <w:rsid w:val="009C03B6"/>
    <w:rsid w:val="009C062C"/>
    <w:rsid w:val="009C0705"/>
    <w:rsid w:val="009C0D21"/>
    <w:rsid w:val="009C12DA"/>
    <w:rsid w:val="009C1810"/>
    <w:rsid w:val="009C199A"/>
    <w:rsid w:val="009C1AFD"/>
    <w:rsid w:val="009C1C98"/>
    <w:rsid w:val="009C1FC5"/>
    <w:rsid w:val="009C264B"/>
    <w:rsid w:val="009C272C"/>
    <w:rsid w:val="009C28D6"/>
    <w:rsid w:val="009C2AB8"/>
    <w:rsid w:val="009C2B92"/>
    <w:rsid w:val="009C30E8"/>
    <w:rsid w:val="009C30FE"/>
    <w:rsid w:val="009C4343"/>
    <w:rsid w:val="009C442A"/>
    <w:rsid w:val="009C4620"/>
    <w:rsid w:val="009C495D"/>
    <w:rsid w:val="009C4AC7"/>
    <w:rsid w:val="009C4B46"/>
    <w:rsid w:val="009C4BB9"/>
    <w:rsid w:val="009C51DE"/>
    <w:rsid w:val="009C58CF"/>
    <w:rsid w:val="009C5B24"/>
    <w:rsid w:val="009C5BB1"/>
    <w:rsid w:val="009C6161"/>
    <w:rsid w:val="009C633D"/>
    <w:rsid w:val="009C64D6"/>
    <w:rsid w:val="009C64DC"/>
    <w:rsid w:val="009C6606"/>
    <w:rsid w:val="009C6A70"/>
    <w:rsid w:val="009C6B19"/>
    <w:rsid w:val="009C6BFD"/>
    <w:rsid w:val="009C6CBF"/>
    <w:rsid w:val="009C6FD7"/>
    <w:rsid w:val="009C7360"/>
    <w:rsid w:val="009C73F4"/>
    <w:rsid w:val="009C7720"/>
    <w:rsid w:val="009C7C66"/>
    <w:rsid w:val="009D01E9"/>
    <w:rsid w:val="009D01FA"/>
    <w:rsid w:val="009D02EF"/>
    <w:rsid w:val="009D0657"/>
    <w:rsid w:val="009D0741"/>
    <w:rsid w:val="009D0A4E"/>
    <w:rsid w:val="009D139E"/>
    <w:rsid w:val="009D156A"/>
    <w:rsid w:val="009D17D1"/>
    <w:rsid w:val="009D17E1"/>
    <w:rsid w:val="009D19F0"/>
    <w:rsid w:val="009D1B8B"/>
    <w:rsid w:val="009D1CBA"/>
    <w:rsid w:val="009D1E53"/>
    <w:rsid w:val="009D2D5D"/>
    <w:rsid w:val="009D2E1B"/>
    <w:rsid w:val="009D3307"/>
    <w:rsid w:val="009D3C12"/>
    <w:rsid w:val="009D3FFD"/>
    <w:rsid w:val="009D4103"/>
    <w:rsid w:val="009D43B2"/>
    <w:rsid w:val="009D45CD"/>
    <w:rsid w:val="009D4649"/>
    <w:rsid w:val="009D4AE1"/>
    <w:rsid w:val="009D4D84"/>
    <w:rsid w:val="009D4ECE"/>
    <w:rsid w:val="009D502F"/>
    <w:rsid w:val="009D5584"/>
    <w:rsid w:val="009D5D55"/>
    <w:rsid w:val="009D5EFB"/>
    <w:rsid w:val="009D6981"/>
    <w:rsid w:val="009D6A62"/>
    <w:rsid w:val="009D6E44"/>
    <w:rsid w:val="009D6FDE"/>
    <w:rsid w:val="009D7308"/>
    <w:rsid w:val="009D7523"/>
    <w:rsid w:val="009D759F"/>
    <w:rsid w:val="009E030C"/>
    <w:rsid w:val="009E0CFB"/>
    <w:rsid w:val="009E0E0E"/>
    <w:rsid w:val="009E11C7"/>
    <w:rsid w:val="009E1250"/>
    <w:rsid w:val="009E1B82"/>
    <w:rsid w:val="009E2019"/>
    <w:rsid w:val="009E20A5"/>
    <w:rsid w:val="009E22F3"/>
    <w:rsid w:val="009E2439"/>
    <w:rsid w:val="009E2940"/>
    <w:rsid w:val="009E2A4E"/>
    <w:rsid w:val="009E2A73"/>
    <w:rsid w:val="009E2C48"/>
    <w:rsid w:val="009E2F13"/>
    <w:rsid w:val="009E2F18"/>
    <w:rsid w:val="009E31B6"/>
    <w:rsid w:val="009E32E7"/>
    <w:rsid w:val="009E3529"/>
    <w:rsid w:val="009E3F66"/>
    <w:rsid w:val="009E4080"/>
    <w:rsid w:val="009E43F0"/>
    <w:rsid w:val="009E4436"/>
    <w:rsid w:val="009E44CD"/>
    <w:rsid w:val="009E45B1"/>
    <w:rsid w:val="009E4784"/>
    <w:rsid w:val="009E4952"/>
    <w:rsid w:val="009E4AB0"/>
    <w:rsid w:val="009E4BFE"/>
    <w:rsid w:val="009E4D40"/>
    <w:rsid w:val="009E4DB4"/>
    <w:rsid w:val="009E517E"/>
    <w:rsid w:val="009E57B4"/>
    <w:rsid w:val="009E5D3F"/>
    <w:rsid w:val="009E5D41"/>
    <w:rsid w:val="009E5EA7"/>
    <w:rsid w:val="009E5F66"/>
    <w:rsid w:val="009E5F9B"/>
    <w:rsid w:val="009E6584"/>
    <w:rsid w:val="009E65FD"/>
    <w:rsid w:val="009E66C2"/>
    <w:rsid w:val="009E6700"/>
    <w:rsid w:val="009E6847"/>
    <w:rsid w:val="009E68AC"/>
    <w:rsid w:val="009E6C13"/>
    <w:rsid w:val="009E713B"/>
    <w:rsid w:val="009E7202"/>
    <w:rsid w:val="009E7696"/>
    <w:rsid w:val="009E7D2F"/>
    <w:rsid w:val="009E7F2F"/>
    <w:rsid w:val="009F012A"/>
    <w:rsid w:val="009F0359"/>
    <w:rsid w:val="009F06D6"/>
    <w:rsid w:val="009F0730"/>
    <w:rsid w:val="009F0876"/>
    <w:rsid w:val="009F0D1F"/>
    <w:rsid w:val="009F0E35"/>
    <w:rsid w:val="009F1377"/>
    <w:rsid w:val="009F14E2"/>
    <w:rsid w:val="009F1B20"/>
    <w:rsid w:val="009F1B7D"/>
    <w:rsid w:val="009F1BB5"/>
    <w:rsid w:val="009F1C6F"/>
    <w:rsid w:val="009F2240"/>
    <w:rsid w:val="009F23DF"/>
    <w:rsid w:val="009F26A3"/>
    <w:rsid w:val="009F2D21"/>
    <w:rsid w:val="009F2E60"/>
    <w:rsid w:val="009F302A"/>
    <w:rsid w:val="009F3051"/>
    <w:rsid w:val="009F3487"/>
    <w:rsid w:val="009F3525"/>
    <w:rsid w:val="009F376A"/>
    <w:rsid w:val="009F3B61"/>
    <w:rsid w:val="009F3C9C"/>
    <w:rsid w:val="009F3CB8"/>
    <w:rsid w:val="009F3E03"/>
    <w:rsid w:val="009F3EBB"/>
    <w:rsid w:val="009F4247"/>
    <w:rsid w:val="009F4A7D"/>
    <w:rsid w:val="009F4C5D"/>
    <w:rsid w:val="009F4D8D"/>
    <w:rsid w:val="009F4DDD"/>
    <w:rsid w:val="009F4ED0"/>
    <w:rsid w:val="009F56AE"/>
    <w:rsid w:val="009F5900"/>
    <w:rsid w:val="009F5AAB"/>
    <w:rsid w:val="009F5B49"/>
    <w:rsid w:val="009F5ECB"/>
    <w:rsid w:val="009F645A"/>
    <w:rsid w:val="009F6C2E"/>
    <w:rsid w:val="009F6D20"/>
    <w:rsid w:val="009F6E9C"/>
    <w:rsid w:val="009F7044"/>
    <w:rsid w:val="009F73D8"/>
    <w:rsid w:val="009F7BBA"/>
    <w:rsid w:val="009F7D16"/>
    <w:rsid w:val="00A0008A"/>
    <w:rsid w:val="00A0035A"/>
    <w:rsid w:val="00A003B3"/>
    <w:rsid w:val="00A00645"/>
    <w:rsid w:val="00A009CF"/>
    <w:rsid w:val="00A00ABB"/>
    <w:rsid w:val="00A00B30"/>
    <w:rsid w:val="00A00F79"/>
    <w:rsid w:val="00A01234"/>
    <w:rsid w:val="00A013C5"/>
    <w:rsid w:val="00A01562"/>
    <w:rsid w:val="00A0163F"/>
    <w:rsid w:val="00A016B4"/>
    <w:rsid w:val="00A017D3"/>
    <w:rsid w:val="00A0191B"/>
    <w:rsid w:val="00A01BFE"/>
    <w:rsid w:val="00A01E1F"/>
    <w:rsid w:val="00A01E3F"/>
    <w:rsid w:val="00A02334"/>
    <w:rsid w:val="00A02391"/>
    <w:rsid w:val="00A0262A"/>
    <w:rsid w:val="00A02698"/>
    <w:rsid w:val="00A02904"/>
    <w:rsid w:val="00A036E5"/>
    <w:rsid w:val="00A0373E"/>
    <w:rsid w:val="00A038EB"/>
    <w:rsid w:val="00A03C0D"/>
    <w:rsid w:val="00A03E76"/>
    <w:rsid w:val="00A03EC9"/>
    <w:rsid w:val="00A040D5"/>
    <w:rsid w:val="00A040DD"/>
    <w:rsid w:val="00A044FD"/>
    <w:rsid w:val="00A0474D"/>
    <w:rsid w:val="00A04759"/>
    <w:rsid w:val="00A04DC4"/>
    <w:rsid w:val="00A05413"/>
    <w:rsid w:val="00A05732"/>
    <w:rsid w:val="00A05886"/>
    <w:rsid w:val="00A05D0B"/>
    <w:rsid w:val="00A066C0"/>
    <w:rsid w:val="00A06716"/>
    <w:rsid w:val="00A06ACA"/>
    <w:rsid w:val="00A06FC6"/>
    <w:rsid w:val="00A071F6"/>
    <w:rsid w:val="00A0770A"/>
    <w:rsid w:val="00A0787E"/>
    <w:rsid w:val="00A07C95"/>
    <w:rsid w:val="00A07E25"/>
    <w:rsid w:val="00A102F7"/>
    <w:rsid w:val="00A10723"/>
    <w:rsid w:val="00A109B3"/>
    <w:rsid w:val="00A10B6B"/>
    <w:rsid w:val="00A1125A"/>
    <w:rsid w:val="00A11527"/>
    <w:rsid w:val="00A118ED"/>
    <w:rsid w:val="00A121FF"/>
    <w:rsid w:val="00A1227F"/>
    <w:rsid w:val="00A12561"/>
    <w:rsid w:val="00A1260C"/>
    <w:rsid w:val="00A1267A"/>
    <w:rsid w:val="00A12711"/>
    <w:rsid w:val="00A12967"/>
    <w:rsid w:val="00A12D2D"/>
    <w:rsid w:val="00A12FF3"/>
    <w:rsid w:val="00A13275"/>
    <w:rsid w:val="00A13392"/>
    <w:rsid w:val="00A13939"/>
    <w:rsid w:val="00A139E1"/>
    <w:rsid w:val="00A13A5D"/>
    <w:rsid w:val="00A13B31"/>
    <w:rsid w:val="00A13BE2"/>
    <w:rsid w:val="00A13DC9"/>
    <w:rsid w:val="00A13E32"/>
    <w:rsid w:val="00A13F46"/>
    <w:rsid w:val="00A13FCD"/>
    <w:rsid w:val="00A145D8"/>
    <w:rsid w:val="00A1462C"/>
    <w:rsid w:val="00A148C6"/>
    <w:rsid w:val="00A14AE5"/>
    <w:rsid w:val="00A14CB5"/>
    <w:rsid w:val="00A1505F"/>
    <w:rsid w:val="00A1515E"/>
    <w:rsid w:val="00A154D7"/>
    <w:rsid w:val="00A15611"/>
    <w:rsid w:val="00A15881"/>
    <w:rsid w:val="00A15CC9"/>
    <w:rsid w:val="00A15F23"/>
    <w:rsid w:val="00A15F2A"/>
    <w:rsid w:val="00A164FE"/>
    <w:rsid w:val="00A16636"/>
    <w:rsid w:val="00A169B8"/>
    <w:rsid w:val="00A16B1D"/>
    <w:rsid w:val="00A16B36"/>
    <w:rsid w:val="00A16BDF"/>
    <w:rsid w:val="00A16D3A"/>
    <w:rsid w:val="00A17331"/>
    <w:rsid w:val="00A17361"/>
    <w:rsid w:val="00A173EF"/>
    <w:rsid w:val="00A17B2F"/>
    <w:rsid w:val="00A2030F"/>
    <w:rsid w:val="00A2051C"/>
    <w:rsid w:val="00A20640"/>
    <w:rsid w:val="00A20DB2"/>
    <w:rsid w:val="00A20E27"/>
    <w:rsid w:val="00A20F4F"/>
    <w:rsid w:val="00A21085"/>
    <w:rsid w:val="00A211BC"/>
    <w:rsid w:val="00A2160D"/>
    <w:rsid w:val="00A2167E"/>
    <w:rsid w:val="00A21920"/>
    <w:rsid w:val="00A219AA"/>
    <w:rsid w:val="00A219C1"/>
    <w:rsid w:val="00A22009"/>
    <w:rsid w:val="00A22169"/>
    <w:rsid w:val="00A22220"/>
    <w:rsid w:val="00A22319"/>
    <w:rsid w:val="00A223C9"/>
    <w:rsid w:val="00A22556"/>
    <w:rsid w:val="00A22655"/>
    <w:rsid w:val="00A22735"/>
    <w:rsid w:val="00A22DA7"/>
    <w:rsid w:val="00A23171"/>
    <w:rsid w:val="00A23879"/>
    <w:rsid w:val="00A23AC0"/>
    <w:rsid w:val="00A23ACB"/>
    <w:rsid w:val="00A23AFA"/>
    <w:rsid w:val="00A23B5B"/>
    <w:rsid w:val="00A24204"/>
    <w:rsid w:val="00A244D1"/>
    <w:rsid w:val="00A24BD2"/>
    <w:rsid w:val="00A25268"/>
    <w:rsid w:val="00A25277"/>
    <w:rsid w:val="00A25588"/>
    <w:rsid w:val="00A25980"/>
    <w:rsid w:val="00A25D1F"/>
    <w:rsid w:val="00A25D78"/>
    <w:rsid w:val="00A26147"/>
    <w:rsid w:val="00A26165"/>
    <w:rsid w:val="00A26526"/>
    <w:rsid w:val="00A26A98"/>
    <w:rsid w:val="00A26E51"/>
    <w:rsid w:val="00A271CD"/>
    <w:rsid w:val="00A272E2"/>
    <w:rsid w:val="00A2749C"/>
    <w:rsid w:val="00A27B43"/>
    <w:rsid w:val="00A30419"/>
    <w:rsid w:val="00A3094B"/>
    <w:rsid w:val="00A30A04"/>
    <w:rsid w:val="00A30B8F"/>
    <w:rsid w:val="00A30DBC"/>
    <w:rsid w:val="00A3106C"/>
    <w:rsid w:val="00A31328"/>
    <w:rsid w:val="00A314A5"/>
    <w:rsid w:val="00A3191E"/>
    <w:rsid w:val="00A31A8E"/>
    <w:rsid w:val="00A31B3E"/>
    <w:rsid w:val="00A31C12"/>
    <w:rsid w:val="00A31D6D"/>
    <w:rsid w:val="00A31EAE"/>
    <w:rsid w:val="00A32C74"/>
    <w:rsid w:val="00A334C6"/>
    <w:rsid w:val="00A33547"/>
    <w:rsid w:val="00A338FF"/>
    <w:rsid w:val="00A339E6"/>
    <w:rsid w:val="00A33AE8"/>
    <w:rsid w:val="00A33FF7"/>
    <w:rsid w:val="00A34873"/>
    <w:rsid w:val="00A3487D"/>
    <w:rsid w:val="00A34963"/>
    <w:rsid w:val="00A34C7A"/>
    <w:rsid w:val="00A35354"/>
    <w:rsid w:val="00A35797"/>
    <w:rsid w:val="00A359BA"/>
    <w:rsid w:val="00A35A4C"/>
    <w:rsid w:val="00A35ACB"/>
    <w:rsid w:val="00A35F6A"/>
    <w:rsid w:val="00A35FC5"/>
    <w:rsid w:val="00A364B7"/>
    <w:rsid w:val="00A368F4"/>
    <w:rsid w:val="00A36918"/>
    <w:rsid w:val="00A36B5E"/>
    <w:rsid w:val="00A36BC9"/>
    <w:rsid w:val="00A370D5"/>
    <w:rsid w:val="00A37105"/>
    <w:rsid w:val="00A3727A"/>
    <w:rsid w:val="00A37B53"/>
    <w:rsid w:val="00A37CD3"/>
    <w:rsid w:val="00A37FE8"/>
    <w:rsid w:val="00A4013E"/>
    <w:rsid w:val="00A403CF"/>
    <w:rsid w:val="00A40941"/>
    <w:rsid w:val="00A40B72"/>
    <w:rsid w:val="00A41094"/>
    <w:rsid w:val="00A411FF"/>
    <w:rsid w:val="00A41492"/>
    <w:rsid w:val="00A41907"/>
    <w:rsid w:val="00A41A95"/>
    <w:rsid w:val="00A41C17"/>
    <w:rsid w:val="00A4244D"/>
    <w:rsid w:val="00A43278"/>
    <w:rsid w:val="00A43341"/>
    <w:rsid w:val="00A43A36"/>
    <w:rsid w:val="00A43C6D"/>
    <w:rsid w:val="00A43DFD"/>
    <w:rsid w:val="00A43F7F"/>
    <w:rsid w:val="00A4407A"/>
    <w:rsid w:val="00A440C9"/>
    <w:rsid w:val="00A44176"/>
    <w:rsid w:val="00A443E6"/>
    <w:rsid w:val="00A44465"/>
    <w:rsid w:val="00A445EA"/>
    <w:rsid w:val="00A44D8A"/>
    <w:rsid w:val="00A44E6F"/>
    <w:rsid w:val="00A4524E"/>
    <w:rsid w:val="00A45D99"/>
    <w:rsid w:val="00A45F3B"/>
    <w:rsid w:val="00A45FFD"/>
    <w:rsid w:val="00A46280"/>
    <w:rsid w:val="00A462B5"/>
    <w:rsid w:val="00A462F0"/>
    <w:rsid w:val="00A46401"/>
    <w:rsid w:val="00A46691"/>
    <w:rsid w:val="00A469E7"/>
    <w:rsid w:val="00A46A3E"/>
    <w:rsid w:val="00A46EE2"/>
    <w:rsid w:val="00A472D2"/>
    <w:rsid w:val="00A472F2"/>
    <w:rsid w:val="00A47502"/>
    <w:rsid w:val="00A47841"/>
    <w:rsid w:val="00A50A07"/>
    <w:rsid w:val="00A50B43"/>
    <w:rsid w:val="00A5101A"/>
    <w:rsid w:val="00A512B1"/>
    <w:rsid w:val="00A51357"/>
    <w:rsid w:val="00A513BD"/>
    <w:rsid w:val="00A51893"/>
    <w:rsid w:val="00A51C30"/>
    <w:rsid w:val="00A51E20"/>
    <w:rsid w:val="00A52332"/>
    <w:rsid w:val="00A5288A"/>
    <w:rsid w:val="00A52C4B"/>
    <w:rsid w:val="00A52D75"/>
    <w:rsid w:val="00A52D97"/>
    <w:rsid w:val="00A532F3"/>
    <w:rsid w:val="00A5345B"/>
    <w:rsid w:val="00A534E6"/>
    <w:rsid w:val="00A53508"/>
    <w:rsid w:val="00A53D64"/>
    <w:rsid w:val="00A53DC1"/>
    <w:rsid w:val="00A53F3D"/>
    <w:rsid w:val="00A543E9"/>
    <w:rsid w:val="00A544C8"/>
    <w:rsid w:val="00A5496A"/>
    <w:rsid w:val="00A54ABD"/>
    <w:rsid w:val="00A54B59"/>
    <w:rsid w:val="00A55304"/>
    <w:rsid w:val="00A553C4"/>
    <w:rsid w:val="00A55E29"/>
    <w:rsid w:val="00A55E85"/>
    <w:rsid w:val="00A55F9A"/>
    <w:rsid w:val="00A55FBF"/>
    <w:rsid w:val="00A56004"/>
    <w:rsid w:val="00A56048"/>
    <w:rsid w:val="00A5614C"/>
    <w:rsid w:val="00A5626D"/>
    <w:rsid w:val="00A563D6"/>
    <w:rsid w:val="00A56E19"/>
    <w:rsid w:val="00A56F52"/>
    <w:rsid w:val="00A56F96"/>
    <w:rsid w:val="00A574C3"/>
    <w:rsid w:val="00A575FC"/>
    <w:rsid w:val="00A57703"/>
    <w:rsid w:val="00A60319"/>
    <w:rsid w:val="00A60495"/>
    <w:rsid w:val="00A60787"/>
    <w:rsid w:val="00A608D4"/>
    <w:rsid w:val="00A608EB"/>
    <w:rsid w:val="00A60B8C"/>
    <w:rsid w:val="00A60C98"/>
    <w:rsid w:val="00A60D2D"/>
    <w:rsid w:val="00A61028"/>
    <w:rsid w:val="00A610C4"/>
    <w:rsid w:val="00A6143C"/>
    <w:rsid w:val="00A6147D"/>
    <w:rsid w:val="00A6165D"/>
    <w:rsid w:val="00A6169C"/>
    <w:rsid w:val="00A61739"/>
    <w:rsid w:val="00A61BF4"/>
    <w:rsid w:val="00A61DB2"/>
    <w:rsid w:val="00A6208D"/>
    <w:rsid w:val="00A62150"/>
    <w:rsid w:val="00A62184"/>
    <w:rsid w:val="00A62475"/>
    <w:rsid w:val="00A62501"/>
    <w:rsid w:val="00A62660"/>
    <w:rsid w:val="00A62F37"/>
    <w:rsid w:val="00A63326"/>
    <w:rsid w:val="00A635AA"/>
    <w:rsid w:val="00A636E0"/>
    <w:rsid w:val="00A63854"/>
    <w:rsid w:val="00A63868"/>
    <w:rsid w:val="00A639EA"/>
    <w:rsid w:val="00A642A8"/>
    <w:rsid w:val="00A64536"/>
    <w:rsid w:val="00A645AD"/>
    <w:rsid w:val="00A646AB"/>
    <w:rsid w:val="00A64851"/>
    <w:rsid w:val="00A64CAF"/>
    <w:rsid w:val="00A6521B"/>
    <w:rsid w:val="00A6545D"/>
    <w:rsid w:val="00A65651"/>
    <w:rsid w:val="00A65B17"/>
    <w:rsid w:val="00A65D07"/>
    <w:rsid w:val="00A660CF"/>
    <w:rsid w:val="00A6630F"/>
    <w:rsid w:val="00A66E15"/>
    <w:rsid w:val="00A672C0"/>
    <w:rsid w:val="00A6733E"/>
    <w:rsid w:val="00A6768E"/>
    <w:rsid w:val="00A67A61"/>
    <w:rsid w:val="00A67D2A"/>
    <w:rsid w:val="00A67DF8"/>
    <w:rsid w:val="00A70456"/>
    <w:rsid w:val="00A70AD4"/>
    <w:rsid w:val="00A70BF2"/>
    <w:rsid w:val="00A70C54"/>
    <w:rsid w:val="00A7128D"/>
    <w:rsid w:val="00A715D9"/>
    <w:rsid w:val="00A7174D"/>
    <w:rsid w:val="00A7174F"/>
    <w:rsid w:val="00A71B66"/>
    <w:rsid w:val="00A71C6F"/>
    <w:rsid w:val="00A7210F"/>
    <w:rsid w:val="00A7217D"/>
    <w:rsid w:val="00A725E9"/>
    <w:rsid w:val="00A726B3"/>
    <w:rsid w:val="00A72905"/>
    <w:rsid w:val="00A72FF5"/>
    <w:rsid w:val="00A732C6"/>
    <w:rsid w:val="00A73A8A"/>
    <w:rsid w:val="00A73A8E"/>
    <w:rsid w:val="00A73CCA"/>
    <w:rsid w:val="00A73FF5"/>
    <w:rsid w:val="00A74508"/>
    <w:rsid w:val="00A7453A"/>
    <w:rsid w:val="00A749CC"/>
    <w:rsid w:val="00A74BAD"/>
    <w:rsid w:val="00A74E20"/>
    <w:rsid w:val="00A751BB"/>
    <w:rsid w:val="00A75314"/>
    <w:rsid w:val="00A7533F"/>
    <w:rsid w:val="00A754F9"/>
    <w:rsid w:val="00A75A91"/>
    <w:rsid w:val="00A75B2F"/>
    <w:rsid w:val="00A75C35"/>
    <w:rsid w:val="00A7611C"/>
    <w:rsid w:val="00A76504"/>
    <w:rsid w:val="00A76793"/>
    <w:rsid w:val="00A76805"/>
    <w:rsid w:val="00A76B67"/>
    <w:rsid w:val="00A76C01"/>
    <w:rsid w:val="00A76C5D"/>
    <w:rsid w:val="00A76D9F"/>
    <w:rsid w:val="00A772E4"/>
    <w:rsid w:val="00A77D06"/>
    <w:rsid w:val="00A800BD"/>
    <w:rsid w:val="00A8036B"/>
    <w:rsid w:val="00A8050A"/>
    <w:rsid w:val="00A80560"/>
    <w:rsid w:val="00A80CC3"/>
    <w:rsid w:val="00A80EA5"/>
    <w:rsid w:val="00A8171B"/>
    <w:rsid w:val="00A81AA1"/>
    <w:rsid w:val="00A81D73"/>
    <w:rsid w:val="00A81EC4"/>
    <w:rsid w:val="00A81F09"/>
    <w:rsid w:val="00A81FAC"/>
    <w:rsid w:val="00A822B8"/>
    <w:rsid w:val="00A82380"/>
    <w:rsid w:val="00A8251B"/>
    <w:rsid w:val="00A8259F"/>
    <w:rsid w:val="00A8284F"/>
    <w:rsid w:val="00A82D22"/>
    <w:rsid w:val="00A8303C"/>
    <w:rsid w:val="00A831CE"/>
    <w:rsid w:val="00A83742"/>
    <w:rsid w:val="00A83BF1"/>
    <w:rsid w:val="00A83C1D"/>
    <w:rsid w:val="00A83D86"/>
    <w:rsid w:val="00A83E5A"/>
    <w:rsid w:val="00A83E60"/>
    <w:rsid w:val="00A83F6F"/>
    <w:rsid w:val="00A8446B"/>
    <w:rsid w:val="00A84524"/>
    <w:rsid w:val="00A8453F"/>
    <w:rsid w:val="00A846FB"/>
    <w:rsid w:val="00A8489E"/>
    <w:rsid w:val="00A849F1"/>
    <w:rsid w:val="00A84D0C"/>
    <w:rsid w:val="00A85143"/>
    <w:rsid w:val="00A8555F"/>
    <w:rsid w:val="00A856C2"/>
    <w:rsid w:val="00A85781"/>
    <w:rsid w:val="00A85923"/>
    <w:rsid w:val="00A85F0D"/>
    <w:rsid w:val="00A861CC"/>
    <w:rsid w:val="00A8627A"/>
    <w:rsid w:val="00A8657F"/>
    <w:rsid w:val="00A8699B"/>
    <w:rsid w:val="00A86C84"/>
    <w:rsid w:val="00A87094"/>
    <w:rsid w:val="00A874F8"/>
    <w:rsid w:val="00A87952"/>
    <w:rsid w:val="00A87B2C"/>
    <w:rsid w:val="00A87D2D"/>
    <w:rsid w:val="00A90271"/>
    <w:rsid w:val="00A90528"/>
    <w:rsid w:val="00A9054F"/>
    <w:rsid w:val="00A908F4"/>
    <w:rsid w:val="00A90BDC"/>
    <w:rsid w:val="00A90C3F"/>
    <w:rsid w:val="00A90C9B"/>
    <w:rsid w:val="00A90CAE"/>
    <w:rsid w:val="00A90DB7"/>
    <w:rsid w:val="00A90E5E"/>
    <w:rsid w:val="00A9105B"/>
    <w:rsid w:val="00A91499"/>
    <w:rsid w:val="00A9179A"/>
    <w:rsid w:val="00A91EC0"/>
    <w:rsid w:val="00A9246C"/>
    <w:rsid w:val="00A92E17"/>
    <w:rsid w:val="00A932B7"/>
    <w:rsid w:val="00A93425"/>
    <w:rsid w:val="00A9361A"/>
    <w:rsid w:val="00A93967"/>
    <w:rsid w:val="00A93C98"/>
    <w:rsid w:val="00A93CFA"/>
    <w:rsid w:val="00A94349"/>
    <w:rsid w:val="00A9443F"/>
    <w:rsid w:val="00A94663"/>
    <w:rsid w:val="00A94866"/>
    <w:rsid w:val="00A949D8"/>
    <w:rsid w:val="00A94A61"/>
    <w:rsid w:val="00A94A8D"/>
    <w:rsid w:val="00A94A93"/>
    <w:rsid w:val="00A94CAC"/>
    <w:rsid w:val="00A95416"/>
    <w:rsid w:val="00A9551D"/>
    <w:rsid w:val="00A95656"/>
    <w:rsid w:val="00A956F3"/>
    <w:rsid w:val="00A9590F"/>
    <w:rsid w:val="00A959BE"/>
    <w:rsid w:val="00A95A3F"/>
    <w:rsid w:val="00A95AB4"/>
    <w:rsid w:val="00A95AF5"/>
    <w:rsid w:val="00A95FDB"/>
    <w:rsid w:val="00A961FB"/>
    <w:rsid w:val="00A96847"/>
    <w:rsid w:val="00A96880"/>
    <w:rsid w:val="00A968CD"/>
    <w:rsid w:val="00A969D2"/>
    <w:rsid w:val="00A97533"/>
    <w:rsid w:val="00A97769"/>
    <w:rsid w:val="00A9795A"/>
    <w:rsid w:val="00A97A6B"/>
    <w:rsid w:val="00AA0111"/>
    <w:rsid w:val="00AA0117"/>
    <w:rsid w:val="00AA0385"/>
    <w:rsid w:val="00AA0522"/>
    <w:rsid w:val="00AA0A5F"/>
    <w:rsid w:val="00AA0ED7"/>
    <w:rsid w:val="00AA1CCE"/>
    <w:rsid w:val="00AA1D6F"/>
    <w:rsid w:val="00AA20C3"/>
    <w:rsid w:val="00AA2443"/>
    <w:rsid w:val="00AA2735"/>
    <w:rsid w:val="00AA2A84"/>
    <w:rsid w:val="00AA30B4"/>
    <w:rsid w:val="00AA3434"/>
    <w:rsid w:val="00AA3495"/>
    <w:rsid w:val="00AA3732"/>
    <w:rsid w:val="00AA3778"/>
    <w:rsid w:val="00AA38A2"/>
    <w:rsid w:val="00AA391B"/>
    <w:rsid w:val="00AA4225"/>
    <w:rsid w:val="00AA47C9"/>
    <w:rsid w:val="00AA4841"/>
    <w:rsid w:val="00AA48CF"/>
    <w:rsid w:val="00AA4AF8"/>
    <w:rsid w:val="00AA4DEF"/>
    <w:rsid w:val="00AA5057"/>
    <w:rsid w:val="00AA5A19"/>
    <w:rsid w:val="00AA5BC3"/>
    <w:rsid w:val="00AA5F36"/>
    <w:rsid w:val="00AA63C2"/>
    <w:rsid w:val="00AA6C95"/>
    <w:rsid w:val="00AA6CDA"/>
    <w:rsid w:val="00AA6D33"/>
    <w:rsid w:val="00AA705B"/>
    <w:rsid w:val="00AA73EE"/>
    <w:rsid w:val="00AA7CDB"/>
    <w:rsid w:val="00AA7CDF"/>
    <w:rsid w:val="00AA7D87"/>
    <w:rsid w:val="00AA7E3B"/>
    <w:rsid w:val="00AA7F60"/>
    <w:rsid w:val="00AADCFB"/>
    <w:rsid w:val="00AB022F"/>
    <w:rsid w:val="00AB09D2"/>
    <w:rsid w:val="00AB0BBE"/>
    <w:rsid w:val="00AB0BDF"/>
    <w:rsid w:val="00AB0CF4"/>
    <w:rsid w:val="00AB0EEA"/>
    <w:rsid w:val="00AB0FBE"/>
    <w:rsid w:val="00AB1208"/>
    <w:rsid w:val="00AB129E"/>
    <w:rsid w:val="00AB12DB"/>
    <w:rsid w:val="00AB181E"/>
    <w:rsid w:val="00AB186D"/>
    <w:rsid w:val="00AB189C"/>
    <w:rsid w:val="00AB19A7"/>
    <w:rsid w:val="00AB19E1"/>
    <w:rsid w:val="00AB2008"/>
    <w:rsid w:val="00AB2198"/>
    <w:rsid w:val="00AB241F"/>
    <w:rsid w:val="00AB2E5A"/>
    <w:rsid w:val="00AB3142"/>
    <w:rsid w:val="00AB358E"/>
    <w:rsid w:val="00AB3595"/>
    <w:rsid w:val="00AB38B4"/>
    <w:rsid w:val="00AB398B"/>
    <w:rsid w:val="00AB3B77"/>
    <w:rsid w:val="00AB3EC9"/>
    <w:rsid w:val="00AB40A4"/>
    <w:rsid w:val="00AB41F1"/>
    <w:rsid w:val="00AB4335"/>
    <w:rsid w:val="00AB459E"/>
    <w:rsid w:val="00AB465E"/>
    <w:rsid w:val="00AB47BD"/>
    <w:rsid w:val="00AB4A0E"/>
    <w:rsid w:val="00AB4ACD"/>
    <w:rsid w:val="00AB50A9"/>
    <w:rsid w:val="00AB54D1"/>
    <w:rsid w:val="00AB568C"/>
    <w:rsid w:val="00AB56F3"/>
    <w:rsid w:val="00AB5CDA"/>
    <w:rsid w:val="00AB5E7D"/>
    <w:rsid w:val="00AB604C"/>
    <w:rsid w:val="00AB66AB"/>
    <w:rsid w:val="00AB6956"/>
    <w:rsid w:val="00AB7190"/>
    <w:rsid w:val="00AB73D5"/>
    <w:rsid w:val="00AB74FD"/>
    <w:rsid w:val="00AB7AEE"/>
    <w:rsid w:val="00AB7AFA"/>
    <w:rsid w:val="00AB7C38"/>
    <w:rsid w:val="00AB7C3C"/>
    <w:rsid w:val="00AB7F9D"/>
    <w:rsid w:val="00AC0005"/>
    <w:rsid w:val="00AC00E0"/>
    <w:rsid w:val="00AC06D0"/>
    <w:rsid w:val="00AC081C"/>
    <w:rsid w:val="00AC090A"/>
    <w:rsid w:val="00AC0CF9"/>
    <w:rsid w:val="00AC0E52"/>
    <w:rsid w:val="00AC1181"/>
    <w:rsid w:val="00AC12AD"/>
    <w:rsid w:val="00AC1567"/>
    <w:rsid w:val="00AC1649"/>
    <w:rsid w:val="00AC1B5D"/>
    <w:rsid w:val="00AC1B95"/>
    <w:rsid w:val="00AC267F"/>
    <w:rsid w:val="00AC27BB"/>
    <w:rsid w:val="00AC29F3"/>
    <w:rsid w:val="00AC2CEF"/>
    <w:rsid w:val="00AC2DB5"/>
    <w:rsid w:val="00AC2E34"/>
    <w:rsid w:val="00AC307E"/>
    <w:rsid w:val="00AC3086"/>
    <w:rsid w:val="00AC32D4"/>
    <w:rsid w:val="00AC35A8"/>
    <w:rsid w:val="00AC3636"/>
    <w:rsid w:val="00AC36E8"/>
    <w:rsid w:val="00AC3EF2"/>
    <w:rsid w:val="00AC3FA8"/>
    <w:rsid w:val="00AC4186"/>
    <w:rsid w:val="00AC41F2"/>
    <w:rsid w:val="00AC45FA"/>
    <w:rsid w:val="00AC46BC"/>
    <w:rsid w:val="00AC4B93"/>
    <w:rsid w:val="00AC4E31"/>
    <w:rsid w:val="00AC51F7"/>
    <w:rsid w:val="00AC526F"/>
    <w:rsid w:val="00AC5400"/>
    <w:rsid w:val="00AC5425"/>
    <w:rsid w:val="00AC597A"/>
    <w:rsid w:val="00AC59A0"/>
    <w:rsid w:val="00AC5A86"/>
    <w:rsid w:val="00AC5C6F"/>
    <w:rsid w:val="00AC5F37"/>
    <w:rsid w:val="00AC6511"/>
    <w:rsid w:val="00AC65D1"/>
    <w:rsid w:val="00AC69D1"/>
    <w:rsid w:val="00AC6B0D"/>
    <w:rsid w:val="00AC6BAB"/>
    <w:rsid w:val="00AC75E9"/>
    <w:rsid w:val="00AC7F52"/>
    <w:rsid w:val="00AD036F"/>
    <w:rsid w:val="00AD0420"/>
    <w:rsid w:val="00AD07A8"/>
    <w:rsid w:val="00AD0B60"/>
    <w:rsid w:val="00AD0E64"/>
    <w:rsid w:val="00AD115A"/>
    <w:rsid w:val="00AD11F1"/>
    <w:rsid w:val="00AD1257"/>
    <w:rsid w:val="00AD13B1"/>
    <w:rsid w:val="00AD1747"/>
    <w:rsid w:val="00AD1E4C"/>
    <w:rsid w:val="00AD1EB4"/>
    <w:rsid w:val="00AD257E"/>
    <w:rsid w:val="00AD26B8"/>
    <w:rsid w:val="00AD2C16"/>
    <w:rsid w:val="00AD30CD"/>
    <w:rsid w:val="00AD3BCB"/>
    <w:rsid w:val="00AD3CD3"/>
    <w:rsid w:val="00AD3E05"/>
    <w:rsid w:val="00AD4043"/>
    <w:rsid w:val="00AD41B6"/>
    <w:rsid w:val="00AD4247"/>
    <w:rsid w:val="00AD465F"/>
    <w:rsid w:val="00AD5AED"/>
    <w:rsid w:val="00AD5BBB"/>
    <w:rsid w:val="00AD615F"/>
    <w:rsid w:val="00AD671A"/>
    <w:rsid w:val="00AD679B"/>
    <w:rsid w:val="00AD68EE"/>
    <w:rsid w:val="00AD6B1D"/>
    <w:rsid w:val="00AD6CF4"/>
    <w:rsid w:val="00AD6E39"/>
    <w:rsid w:val="00AD720C"/>
    <w:rsid w:val="00AD72E8"/>
    <w:rsid w:val="00AD736E"/>
    <w:rsid w:val="00AD74F6"/>
    <w:rsid w:val="00AD775E"/>
    <w:rsid w:val="00AD7D83"/>
    <w:rsid w:val="00AD7FC4"/>
    <w:rsid w:val="00AE01F0"/>
    <w:rsid w:val="00AE0481"/>
    <w:rsid w:val="00AE07F1"/>
    <w:rsid w:val="00AE0895"/>
    <w:rsid w:val="00AE0902"/>
    <w:rsid w:val="00AE0C1D"/>
    <w:rsid w:val="00AE0CEA"/>
    <w:rsid w:val="00AE0DAD"/>
    <w:rsid w:val="00AE0E9F"/>
    <w:rsid w:val="00AE112E"/>
    <w:rsid w:val="00AE14D7"/>
    <w:rsid w:val="00AE1758"/>
    <w:rsid w:val="00AE1766"/>
    <w:rsid w:val="00AE1789"/>
    <w:rsid w:val="00AE1DF5"/>
    <w:rsid w:val="00AE1E9E"/>
    <w:rsid w:val="00AE1F5D"/>
    <w:rsid w:val="00AE1F90"/>
    <w:rsid w:val="00AE205A"/>
    <w:rsid w:val="00AE21F9"/>
    <w:rsid w:val="00AE2602"/>
    <w:rsid w:val="00AE2A91"/>
    <w:rsid w:val="00AE2AC0"/>
    <w:rsid w:val="00AE3058"/>
    <w:rsid w:val="00AE30AC"/>
    <w:rsid w:val="00AE3649"/>
    <w:rsid w:val="00AE39EB"/>
    <w:rsid w:val="00AE40E2"/>
    <w:rsid w:val="00AE42F8"/>
    <w:rsid w:val="00AE4403"/>
    <w:rsid w:val="00AE463F"/>
    <w:rsid w:val="00AE489C"/>
    <w:rsid w:val="00AE4C68"/>
    <w:rsid w:val="00AE4E27"/>
    <w:rsid w:val="00AE4EB4"/>
    <w:rsid w:val="00AE4ED6"/>
    <w:rsid w:val="00AE4F0E"/>
    <w:rsid w:val="00AE5615"/>
    <w:rsid w:val="00AE56AF"/>
    <w:rsid w:val="00AE5701"/>
    <w:rsid w:val="00AE5985"/>
    <w:rsid w:val="00AE5C68"/>
    <w:rsid w:val="00AE5F57"/>
    <w:rsid w:val="00AE646D"/>
    <w:rsid w:val="00AE64D7"/>
    <w:rsid w:val="00AE654B"/>
    <w:rsid w:val="00AE6655"/>
    <w:rsid w:val="00AE7CFB"/>
    <w:rsid w:val="00AE7D81"/>
    <w:rsid w:val="00AE7D96"/>
    <w:rsid w:val="00AF00BF"/>
    <w:rsid w:val="00AF0127"/>
    <w:rsid w:val="00AF03FC"/>
    <w:rsid w:val="00AF05E5"/>
    <w:rsid w:val="00AF05FD"/>
    <w:rsid w:val="00AF16B0"/>
    <w:rsid w:val="00AF1CF1"/>
    <w:rsid w:val="00AF1F76"/>
    <w:rsid w:val="00AF20DB"/>
    <w:rsid w:val="00AF2498"/>
    <w:rsid w:val="00AF29A5"/>
    <w:rsid w:val="00AF29CB"/>
    <w:rsid w:val="00AF31B8"/>
    <w:rsid w:val="00AF34B8"/>
    <w:rsid w:val="00AF41F0"/>
    <w:rsid w:val="00AF4E91"/>
    <w:rsid w:val="00AF53BF"/>
    <w:rsid w:val="00AF5404"/>
    <w:rsid w:val="00AF55F5"/>
    <w:rsid w:val="00AF5F8C"/>
    <w:rsid w:val="00AF601D"/>
    <w:rsid w:val="00AF62C5"/>
    <w:rsid w:val="00AF6326"/>
    <w:rsid w:val="00AF6453"/>
    <w:rsid w:val="00AF6B0B"/>
    <w:rsid w:val="00AF70C9"/>
    <w:rsid w:val="00AF738F"/>
    <w:rsid w:val="00AF74FE"/>
    <w:rsid w:val="00AF78EB"/>
    <w:rsid w:val="00AF7BBF"/>
    <w:rsid w:val="00AF7D15"/>
    <w:rsid w:val="00B00D42"/>
    <w:rsid w:val="00B014A8"/>
    <w:rsid w:val="00B015BF"/>
    <w:rsid w:val="00B0187E"/>
    <w:rsid w:val="00B019CB"/>
    <w:rsid w:val="00B01AAB"/>
    <w:rsid w:val="00B01D20"/>
    <w:rsid w:val="00B01D3C"/>
    <w:rsid w:val="00B02775"/>
    <w:rsid w:val="00B029A9"/>
    <w:rsid w:val="00B02A02"/>
    <w:rsid w:val="00B03093"/>
    <w:rsid w:val="00B03E4E"/>
    <w:rsid w:val="00B03FD2"/>
    <w:rsid w:val="00B040BC"/>
    <w:rsid w:val="00B0476A"/>
    <w:rsid w:val="00B049FB"/>
    <w:rsid w:val="00B04AC9"/>
    <w:rsid w:val="00B04AE4"/>
    <w:rsid w:val="00B04C5F"/>
    <w:rsid w:val="00B04DFF"/>
    <w:rsid w:val="00B04FDE"/>
    <w:rsid w:val="00B05685"/>
    <w:rsid w:val="00B0569C"/>
    <w:rsid w:val="00B057FA"/>
    <w:rsid w:val="00B0590E"/>
    <w:rsid w:val="00B05B19"/>
    <w:rsid w:val="00B05CA9"/>
    <w:rsid w:val="00B05CBE"/>
    <w:rsid w:val="00B06100"/>
    <w:rsid w:val="00B06159"/>
    <w:rsid w:val="00B06464"/>
    <w:rsid w:val="00B0679C"/>
    <w:rsid w:val="00B067DE"/>
    <w:rsid w:val="00B06900"/>
    <w:rsid w:val="00B071C1"/>
    <w:rsid w:val="00B071D6"/>
    <w:rsid w:val="00B073A2"/>
    <w:rsid w:val="00B07539"/>
    <w:rsid w:val="00B076B1"/>
    <w:rsid w:val="00B07734"/>
    <w:rsid w:val="00B07904"/>
    <w:rsid w:val="00B079D4"/>
    <w:rsid w:val="00B07B22"/>
    <w:rsid w:val="00B1017F"/>
    <w:rsid w:val="00B10A96"/>
    <w:rsid w:val="00B10CE7"/>
    <w:rsid w:val="00B10D1B"/>
    <w:rsid w:val="00B10E60"/>
    <w:rsid w:val="00B10EA5"/>
    <w:rsid w:val="00B10EF5"/>
    <w:rsid w:val="00B10F95"/>
    <w:rsid w:val="00B1125A"/>
    <w:rsid w:val="00B11378"/>
    <w:rsid w:val="00B113C0"/>
    <w:rsid w:val="00B11455"/>
    <w:rsid w:val="00B11520"/>
    <w:rsid w:val="00B11572"/>
    <w:rsid w:val="00B11806"/>
    <w:rsid w:val="00B11810"/>
    <w:rsid w:val="00B11832"/>
    <w:rsid w:val="00B11CBD"/>
    <w:rsid w:val="00B11DAE"/>
    <w:rsid w:val="00B11E2E"/>
    <w:rsid w:val="00B11E67"/>
    <w:rsid w:val="00B121FB"/>
    <w:rsid w:val="00B1228F"/>
    <w:rsid w:val="00B125D4"/>
    <w:rsid w:val="00B127F5"/>
    <w:rsid w:val="00B12A34"/>
    <w:rsid w:val="00B12F4B"/>
    <w:rsid w:val="00B12FD5"/>
    <w:rsid w:val="00B13068"/>
    <w:rsid w:val="00B133A3"/>
    <w:rsid w:val="00B133F0"/>
    <w:rsid w:val="00B13872"/>
    <w:rsid w:val="00B13889"/>
    <w:rsid w:val="00B13A25"/>
    <w:rsid w:val="00B13B7B"/>
    <w:rsid w:val="00B13BFF"/>
    <w:rsid w:val="00B13D99"/>
    <w:rsid w:val="00B13F6D"/>
    <w:rsid w:val="00B14A1A"/>
    <w:rsid w:val="00B14F4E"/>
    <w:rsid w:val="00B152BD"/>
    <w:rsid w:val="00B15351"/>
    <w:rsid w:val="00B154DD"/>
    <w:rsid w:val="00B15670"/>
    <w:rsid w:val="00B15A75"/>
    <w:rsid w:val="00B15BD4"/>
    <w:rsid w:val="00B160B3"/>
    <w:rsid w:val="00B163DE"/>
    <w:rsid w:val="00B167A0"/>
    <w:rsid w:val="00B16899"/>
    <w:rsid w:val="00B16CA6"/>
    <w:rsid w:val="00B16DC3"/>
    <w:rsid w:val="00B16F3A"/>
    <w:rsid w:val="00B172A3"/>
    <w:rsid w:val="00B17F5D"/>
    <w:rsid w:val="00B17FDC"/>
    <w:rsid w:val="00B202E6"/>
    <w:rsid w:val="00B20B30"/>
    <w:rsid w:val="00B20CBD"/>
    <w:rsid w:val="00B21459"/>
    <w:rsid w:val="00B21511"/>
    <w:rsid w:val="00B21719"/>
    <w:rsid w:val="00B219E1"/>
    <w:rsid w:val="00B21B18"/>
    <w:rsid w:val="00B21B31"/>
    <w:rsid w:val="00B21CFF"/>
    <w:rsid w:val="00B21D62"/>
    <w:rsid w:val="00B21F2C"/>
    <w:rsid w:val="00B220AB"/>
    <w:rsid w:val="00B2228C"/>
    <w:rsid w:val="00B222CD"/>
    <w:rsid w:val="00B22D7F"/>
    <w:rsid w:val="00B23051"/>
    <w:rsid w:val="00B231E5"/>
    <w:rsid w:val="00B23B48"/>
    <w:rsid w:val="00B23FF7"/>
    <w:rsid w:val="00B24597"/>
    <w:rsid w:val="00B246B8"/>
    <w:rsid w:val="00B24719"/>
    <w:rsid w:val="00B2471B"/>
    <w:rsid w:val="00B2488B"/>
    <w:rsid w:val="00B24CD6"/>
    <w:rsid w:val="00B24F5F"/>
    <w:rsid w:val="00B25585"/>
    <w:rsid w:val="00B2565E"/>
    <w:rsid w:val="00B256B9"/>
    <w:rsid w:val="00B2580F"/>
    <w:rsid w:val="00B25C0C"/>
    <w:rsid w:val="00B25DA0"/>
    <w:rsid w:val="00B2673A"/>
    <w:rsid w:val="00B268BA"/>
    <w:rsid w:val="00B26A92"/>
    <w:rsid w:val="00B26FAA"/>
    <w:rsid w:val="00B271DB"/>
    <w:rsid w:val="00B27230"/>
    <w:rsid w:val="00B275D1"/>
    <w:rsid w:val="00B276B4"/>
    <w:rsid w:val="00B2782A"/>
    <w:rsid w:val="00B279A2"/>
    <w:rsid w:val="00B279A7"/>
    <w:rsid w:val="00B27AB5"/>
    <w:rsid w:val="00B27FE6"/>
    <w:rsid w:val="00B3023B"/>
    <w:rsid w:val="00B302C1"/>
    <w:rsid w:val="00B30579"/>
    <w:rsid w:val="00B3065A"/>
    <w:rsid w:val="00B30A44"/>
    <w:rsid w:val="00B30A7A"/>
    <w:rsid w:val="00B30C66"/>
    <w:rsid w:val="00B31035"/>
    <w:rsid w:val="00B31317"/>
    <w:rsid w:val="00B31607"/>
    <w:rsid w:val="00B31E82"/>
    <w:rsid w:val="00B323B3"/>
    <w:rsid w:val="00B325EC"/>
    <w:rsid w:val="00B3286C"/>
    <w:rsid w:val="00B32A78"/>
    <w:rsid w:val="00B32D95"/>
    <w:rsid w:val="00B32EC6"/>
    <w:rsid w:val="00B32F3E"/>
    <w:rsid w:val="00B32F64"/>
    <w:rsid w:val="00B33131"/>
    <w:rsid w:val="00B33AC0"/>
    <w:rsid w:val="00B34370"/>
    <w:rsid w:val="00B34702"/>
    <w:rsid w:val="00B34FA9"/>
    <w:rsid w:val="00B3517C"/>
    <w:rsid w:val="00B35323"/>
    <w:rsid w:val="00B35730"/>
    <w:rsid w:val="00B3593B"/>
    <w:rsid w:val="00B35A4E"/>
    <w:rsid w:val="00B36019"/>
    <w:rsid w:val="00B36590"/>
    <w:rsid w:val="00B368D2"/>
    <w:rsid w:val="00B36D4A"/>
    <w:rsid w:val="00B36E8F"/>
    <w:rsid w:val="00B36F33"/>
    <w:rsid w:val="00B3728C"/>
    <w:rsid w:val="00B3728F"/>
    <w:rsid w:val="00B374D9"/>
    <w:rsid w:val="00B3765F"/>
    <w:rsid w:val="00B378CA"/>
    <w:rsid w:val="00B37A8A"/>
    <w:rsid w:val="00B37B94"/>
    <w:rsid w:val="00B37D62"/>
    <w:rsid w:val="00B400A8"/>
    <w:rsid w:val="00B40888"/>
    <w:rsid w:val="00B4089C"/>
    <w:rsid w:val="00B408C2"/>
    <w:rsid w:val="00B41166"/>
    <w:rsid w:val="00B416E6"/>
    <w:rsid w:val="00B41A77"/>
    <w:rsid w:val="00B42668"/>
    <w:rsid w:val="00B431E3"/>
    <w:rsid w:val="00B434FF"/>
    <w:rsid w:val="00B43657"/>
    <w:rsid w:val="00B43BEA"/>
    <w:rsid w:val="00B43BF9"/>
    <w:rsid w:val="00B4442C"/>
    <w:rsid w:val="00B446EC"/>
    <w:rsid w:val="00B44C24"/>
    <w:rsid w:val="00B44CC3"/>
    <w:rsid w:val="00B44FBE"/>
    <w:rsid w:val="00B45127"/>
    <w:rsid w:val="00B454B5"/>
    <w:rsid w:val="00B455B8"/>
    <w:rsid w:val="00B455C7"/>
    <w:rsid w:val="00B459F2"/>
    <w:rsid w:val="00B45C99"/>
    <w:rsid w:val="00B45E22"/>
    <w:rsid w:val="00B4651B"/>
    <w:rsid w:val="00B46644"/>
    <w:rsid w:val="00B46653"/>
    <w:rsid w:val="00B473ED"/>
    <w:rsid w:val="00B47883"/>
    <w:rsid w:val="00B47CDA"/>
    <w:rsid w:val="00B47E57"/>
    <w:rsid w:val="00B47FE1"/>
    <w:rsid w:val="00B5036E"/>
    <w:rsid w:val="00B50864"/>
    <w:rsid w:val="00B50931"/>
    <w:rsid w:val="00B50B08"/>
    <w:rsid w:val="00B50B45"/>
    <w:rsid w:val="00B50BEE"/>
    <w:rsid w:val="00B50D37"/>
    <w:rsid w:val="00B5164B"/>
    <w:rsid w:val="00B5220F"/>
    <w:rsid w:val="00B5250D"/>
    <w:rsid w:val="00B525CB"/>
    <w:rsid w:val="00B526F9"/>
    <w:rsid w:val="00B527A2"/>
    <w:rsid w:val="00B52834"/>
    <w:rsid w:val="00B52B7B"/>
    <w:rsid w:val="00B52F51"/>
    <w:rsid w:val="00B5330A"/>
    <w:rsid w:val="00B5363A"/>
    <w:rsid w:val="00B53998"/>
    <w:rsid w:val="00B53AB1"/>
    <w:rsid w:val="00B541FA"/>
    <w:rsid w:val="00B5473F"/>
    <w:rsid w:val="00B548E8"/>
    <w:rsid w:val="00B54CFF"/>
    <w:rsid w:val="00B54F21"/>
    <w:rsid w:val="00B558DA"/>
    <w:rsid w:val="00B5657D"/>
    <w:rsid w:val="00B566E6"/>
    <w:rsid w:val="00B5693F"/>
    <w:rsid w:val="00B56C5F"/>
    <w:rsid w:val="00B5706D"/>
    <w:rsid w:val="00B572B7"/>
    <w:rsid w:val="00B5761F"/>
    <w:rsid w:val="00B5780F"/>
    <w:rsid w:val="00B57B59"/>
    <w:rsid w:val="00B57C71"/>
    <w:rsid w:val="00B57E2D"/>
    <w:rsid w:val="00B609AC"/>
    <w:rsid w:val="00B60B96"/>
    <w:rsid w:val="00B60FAE"/>
    <w:rsid w:val="00B61781"/>
    <w:rsid w:val="00B61985"/>
    <w:rsid w:val="00B61AED"/>
    <w:rsid w:val="00B61F5D"/>
    <w:rsid w:val="00B62017"/>
    <w:rsid w:val="00B62025"/>
    <w:rsid w:val="00B6253C"/>
    <w:rsid w:val="00B62638"/>
    <w:rsid w:val="00B62707"/>
    <w:rsid w:val="00B62AA6"/>
    <w:rsid w:val="00B62E81"/>
    <w:rsid w:val="00B63006"/>
    <w:rsid w:val="00B6321A"/>
    <w:rsid w:val="00B63559"/>
    <w:rsid w:val="00B63712"/>
    <w:rsid w:val="00B63A14"/>
    <w:rsid w:val="00B63C42"/>
    <w:rsid w:val="00B63DAF"/>
    <w:rsid w:val="00B643A0"/>
    <w:rsid w:val="00B6471F"/>
    <w:rsid w:val="00B647D2"/>
    <w:rsid w:val="00B64C49"/>
    <w:rsid w:val="00B65004"/>
    <w:rsid w:val="00B65252"/>
    <w:rsid w:val="00B65799"/>
    <w:rsid w:val="00B65FD5"/>
    <w:rsid w:val="00B660C8"/>
    <w:rsid w:val="00B6619A"/>
    <w:rsid w:val="00B66573"/>
    <w:rsid w:val="00B66A82"/>
    <w:rsid w:val="00B67154"/>
    <w:rsid w:val="00B67666"/>
    <w:rsid w:val="00B6770E"/>
    <w:rsid w:val="00B67903"/>
    <w:rsid w:val="00B67AF9"/>
    <w:rsid w:val="00B67B1D"/>
    <w:rsid w:val="00B67D60"/>
    <w:rsid w:val="00B67D7D"/>
    <w:rsid w:val="00B70232"/>
    <w:rsid w:val="00B707B9"/>
    <w:rsid w:val="00B7086F"/>
    <w:rsid w:val="00B7087B"/>
    <w:rsid w:val="00B7097F"/>
    <w:rsid w:val="00B7098D"/>
    <w:rsid w:val="00B70A0E"/>
    <w:rsid w:val="00B70ADD"/>
    <w:rsid w:val="00B70AFA"/>
    <w:rsid w:val="00B70CC8"/>
    <w:rsid w:val="00B71339"/>
    <w:rsid w:val="00B71524"/>
    <w:rsid w:val="00B7167C"/>
    <w:rsid w:val="00B7170C"/>
    <w:rsid w:val="00B71788"/>
    <w:rsid w:val="00B71A61"/>
    <w:rsid w:val="00B71C31"/>
    <w:rsid w:val="00B72392"/>
    <w:rsid w:val="00B72592"/>
    <w:rsid w:val="00B72639"/>
    <w:rsid w:val="00B726C9"/>
    <w:rsid w:val="00B72786"/>
    <w:rsid w:val="00B72811"/>
    <w:rsid w:val="00B72AF2"/>
    <w:rsid w:val="00B72BB7"/>
    <w:rsid w:val="00B72C70"/>
    <w:rsid w:val="00B72CFE"/>
    <w:rsid w:val="00B72D40"/>
    <w:rsid w:val="00B72D75"/>
    <w:rsid w:val="00B733BA"/>
    <w:rsid w:val="00B73A9E"/>
    <w:rsid w:val="00B73C70"/>
    <w:rsid w:val="00B73DD2"/>
    <w:rsid w:val="00B73EAC"/>
    <w:rsid w:val="00B73EE0"/>
    <w:rsid w:val="00B7438B"/>
    <w:rsid w:val="00B7458F"/>
    <w:rsid w:val="00B749EB"/>
    <w:rsid w:val="00B74DAD"/>
    <w:rsid w:val="00B751DB"/>
    <w:rsid w:val="00B752C6"/>
    <w:rsid w:val="00B75446"/>
    <w:rsid w:val="00B759DA"/>
    <w:rsid w:val="00B75B55"/>
    <w:rsid w:val="00B75EC6"/>
    <w:rsid w:val="00B75F90"/>
    <w:rsid w:val="00B76043"/>
    <w:rsid w:val="00B76184"/>
    <w:rsid w:val="00B76187"/>
    <w:rsid w:val="00B767DC"/>
    <w:rsid w:val="00B76834"/>
    <w:rsid w:val="00B76B3B"/>
    <w:rsid w:val="00B76E25"/>
    <w:rsid w:val="00B77097"/>
    <w:rsid w:val="00B770A7"/>
    <w:rsid w:val="00B7749E"/>
    <w:rsid w:val="00B77AA1"/>
    <w:rsid w:val="00B77BE9"/>
    <w:rsid w:val="00B77C43"/>
    <w:rsid w:val="00B77DC6"/>
    <w:rsid w:val="00B80055"/>
    <w:rsid w:val="00B806D9"/>
    <w:rsid w:val="00B81364"/>
    <w:rsid w:val="00B813A7"/>
    <w:rsid w:val="00B81940"/>
    <w:rsid w:val="00B81C10"/>
    <w:rsid w:val="00B81C15"/>
    <w:rsid w:val="00B81EB9"/>
    <w:rsid w:val="00B81F8B"/>
    <w:rsid w:val="00B8237A"/>
    <w:rsid w:val="00B825D0"/>
    <w:rsid w:val="00B82A6B"/>
    <w:rsid w:val="00B82ADE"/>
    <w:rsid w:val="00B82C7C"/>
    <w:rsid w:val="00B82E88"/>
    <w:rsid w:val="00B8338B"/>
    <w:rsid w:val="00B8360F"/>
    <w:rsid w:val="00B838B5"/>
    <w:rsid w:val="00B83ABE"/>
    <w:rsid w:val="00B83B2E"/>
    <w:rsid w:val="00B84011"/>
    <w:rsid w:val="00B84127"/>
    <w:rsid w:val="00B844C9"/>
    <w:rsid w:val="00B849F0"/>
    <w:rsid w:val="00B85071"/>
    <w:rsid w:val="00B85078"/>
    <w:rsid w:val="00B85159"/>
    <w:rsid w:val="00B85192"/>
    <w:rsid w:val="00B8528C"/>
    <w:rsid w:val="00B8597A"/>
    <w:rsid w:val="00B8599E"/>
    <w:rsid w:val="00B85B8C"/>
    <w:rsid w:val="00B85C8F"/>
    <w:rsid w:val="00B85DB7"/>
    <w:rsid w:val="00B8627A"/>
    <w:rsid w:val="00B86DD7"/>
    <w:rsid w:val="00B873B4"/>
    <w:rsid w:val="00B87BC9"/>
    <w:rsid w:val="00B87C03"/>
    <w:rsid w:val="00B87D2E"/>
    <w:rsid w:val="00B90087"/>
    <w:rsid w:val="00B903EC"/>
    <w:rsid w:val="00B90575"/>
    <w:rsid w:val="00B905A7"/>
    <w:rsid w:val="00B90707"/>
    <w:rsid w:val="00B907D5"/>
    <w:rsid w:val="00B90DCC"/>
    <w:rsid w:val="00B91096"/>
    <w:rsid w:val="00B91401"/>
    <w:rsid w:val="00B917EA"/>
    <w:rsid w:val="00B91904"/>
    <w:rsid w:val="00B91ABB"/>
    <w:rsid w:val="00B91ADB"/>
    <w:rsid w:val="00B91C06"/>
    <w:rsid w:val="00B91EC5"/>
    <w:rsid w:val="00B92692"/>
    <w:rsid w:val="00B928A9"/>
    <w:rsid w:val="00B92B24"/>
    <w:rsid w:val="00B92B59"/>
    <w:rsid w:val="00B92F11"/>
    <w:rsid w:val="00B93196"/>
    <w:rsid w:val="00B9325F"/>
    <w:rsid w:val="00B9335F"/>
    <w:rsid w:val="00B93380"/>
    <w:rsid w:val="00B93401"/>
    <w:rsid w:val="00B934C2"/>
    <w:rsid w:val="00B93580"/>
    <w:rsid w:val="00B93803"/>
    <w:rsid w:val="00B9394D"/>
    <w:rsid w:val="00B93B59"/>
    <w:rsid w:val="00B93B64"/>
    <w:rsid w:val="00B944CC"/>
    <w:rsid w:val="00B946A4"/>
    <w:rsid w:val="00B949A1"/>
    <w:rsid w:val="00B94ADD"/>
    <w:rsid w:val="00B94B37"/>
    <w:rsid w:val="00B94CDE"/>
    <w:rsid w:val="00B94DD5"/>
    <w:rsid w:val="00B954EE"/>
    <w:rsid w:val="00B9565E"/>
    <w:rsid w:val="00B95700"/>
    <w:rsid w:val="00B95724"/>
    <w:rsid w:val="00B95CC8"/>
    <w:rsid w:val="00B95E3E"/>
    <w:rsid w:val="00B96163"/>
    <w:rsid w:val="00B96F0D"/>
    <w:rsid w:val="00B96FB2"/>
    <w:rsid w:val="00B9701A"/>
    <w:rsid w:val="00B975A0"/>
    <w:rsid w:val="00B977CC"/>
    <w:rsid w:val="00B9789E"/>
    <w:rsid w:val="00B97CDE"/>
    <w:rsid w:val="00B97D24"/>
    <w:rsid w:val="00B97D9B"/>
    <w:rsid w:val="00BA07CF"/>
    <w:rsid w:val="00BA08CF"/>
    <w:rsid w:val="00BA09CE"/>
    <w:rsid w:val="00BA13C1"/>
    <w:rsid w:val="00BA1507"/>
    <w:rsid w:val="00BA1D8A"/>
    <w:rsid w:val="00BA1F6F"/>
    <w:rsid w:val="00BA235B"/>
    <w:rsid w:val="00BA25B0"/>
    <w:rsid w:val="00BA26AB"/>
    <w:rsid w:val="00BA2B33"/>
    <w:rsid w:val="00BA3193"/>
    <w:rsid w:val="00BA397C"/>
    <w:rsid w:val="00BA3E85"/>
    <w:rsid w:val="00BA40D5"/>
    <w:rsid w:val="00BA41C7"/>
    <w:rsid w:val="00BA43AE"/>
    <w:rsid w:val="00BA45B8"/>
    <w:rsid w:val="00BA466D"/>
    <w:rsid w:val="00BA4928"/>
    <w:rsid w:val="00BA4C4D"/>
    <w:rsid w:val="00BA4F1C"/>
    <w:rsid w:val="00BA51D1"/>
    <w:rsid w:val="00BA51D9"/>
    <w:rsid w:val="00BA5330"/>
    <w:rsid w:val="00BA5375"/>
    <w:rsid w:val="00BA5619"/>
    <w:rsid w:val="00BA5B41"/>
    <w:rsid w:val="00BA5B73"/>
    <w:rsid w:val="00BA5DF6"/>
    <w:rsid w:val="00BA5F37"/>
    <w:rsid w:val="00BA6082"/>
    <w:rsid w:val="00BA60A5"/>
    <w:rsid w:val="00BA6443"/>
    <w:rsid w:val="00BA64DF"/>
    <w:rsid w:val="00BA686A"/>
    <w:rsid w:val="00BA6920"/>
    <w:rsid w:val="00BA6A65"/>
    <w:rsid w:val="00BA6AD6"/>
    <w:rsid w:val="00BA6FB0"/>
    <w:rsid w:val="00BA7225"/>
    <w:rsid w:val="00BA73D7"/>
    <w:rsid w:val="00BA77C8"/>
    <w:rsid w:val="00BA77DA"/>
    <w:rsid w:val="00BA7B92"/>
    <w:rsid w:val="00BA7EBD"/>
    <w:rsid w:val="00BB011E"/>
    <w:rsid w:val="00BB041F"/>
    <w:rsid w:val="00BB08E4"/>
    <w:rsid w:val="00BB0A8D"/>
    <w:rsid w:val="00BB0FA9"/>
    <w:rsid w:val="00BB148C"/>
    <w:rsid w:val="00BB14BE"/>
    <w:rsid w:val="00BB18EA"/>
    <w:rsid w:val="00BB1A33"/>
    <w:rsid w:val="00BB246F"/>
    <w:rsid w:val="00BB28D6"/>
    <w:rsid w:val="00BB29D3"/>
    <w:rsid w:val="00BB2C05"/>
    <w:rsid w:val="00BB2DA1"/>
    <w:rsid w:val="00BB2F7F"/>
    <w:rsid w:val="00BB30B4"/>
    <w:rsid w:val="00BB30F2"/>
    <w:rsid w:val="00BB3103"/>
    <w:rsid w:val="00BB357E"/>
    <w:rsid w:val="00BB3989"/>
    <w:rsid w:val="00BB3B8B"/>
    <w:rsid w:val="00BB42E3"/>
    <w:rsid w:val="00BB45AF"/>
    <w:rsid w:val="00BB46A0"/>
    <w:rsid w:val="00BB480E"/>
    <w:rsid w:val="00BB4945"/>
    <w:rsid w:val="00BB4B03"/>
    <w:rsid w:val="00BB4BEE"/>
    <w:rsid w:val="00BB50EA"/>
    <w:rsid w:val="00BB53D6"/>
    <w:rsid w:val="00BB54F2"/>
    <w:rsid w:val="00BB57FF"/>
    <w:rsid w:val="00BB5908"/>
    <w:rsid w:val="00BB607D"/>
    <w:rsid w:val="00BB65E8"/>
    <w:rsid w:val="00BB7876"/>
    <w:rsid w:val="00BB799F"/>
    <w:rsid w:val="00BB7D84"/>
    <w:rsid w:val="00BC0019"/>
    <w:rsid w:val="00BC0873"/>
    <w:rsid w:val="00BC0C6B"/>
    <w:rsid w:val="00BC0F29"/>
    <w:rsid w:val="00BC11B9"/>
    <w:rsid w:val="00BC1283"/>
    <w:rsid w:val="00BC131F"/>
    <w:rsid w:val="00BC1596"/>
    <w:rsid w:val="00BC15C3"/>
    <w:rsid w:val="00BC190C"/>
    <w:rsid w:val="00BC1C72"/>
    <w:rsid w:val="00BC1C96"/>
    <w:rsid w:val="00BC20AB"/>
    <w:rsid w:val="00BC217A"/>
    <w:rsid w:val="00BC248D"/>
    <w:rsid w:val="00BC2618"/>
    <w:rsid w:val="00BC2C72"/>
    <w:rsid w:val="00BC32B2"/>
    <w:rsid w:val="00BC363C"/>
    <w:rsid w:val="00BC38B7"/>
    <w:rsid w:val="00BC39BD"/>
    <w:rsid w:val="00BC3FFA"/>
    <w:rsid w:val="00BC4046"/>
    <w:rsid w:val="00BC489B"/>
    <w:rsid w:val="00BC4FCD"/>
    <w:rsid w:val="00BC5084"/>
    <w:rsid w:val="00BC51C1"/>
    <w:rsid w:val="00BC54CF"/>
    <w:rsid w:val="00BC5726"/>
    <w:rsid w:val="00BC6653"/>
    <w:rsid w:val="00BC6798"/>
    <w:rsid w:val="00BC6FE5"/>
    <w:rsid w:val="00BC741A"/>
    <w:rsid w:val="00BC7519"/>
    <w:rsid w:val="00BC7BFE"/>
    <w:rsid w:val="00BC7C37"/>
    <w:rsid w:val="00BD0507"/>
    <w:rsid w:val="00BD068C"/>
    <w:rsid w:val="00BD06BD"/>
    <w:rsid w:val="00BD09A6"/>
    <w:rsid w:val="00BD0C00"/>
    <w:rsid w:val="00BD0C43"/>
    <w:rsid w:val="00BD0FB7"/>
    <w:rsid w:val="00BD139F"/>
    <w:rsid w:val="00BD140E"/>
    <w:rsid w:val="00BD1575"/>
    <w:rsid w:val="00BD1722"/>
    <w:rsid w:val="00BD18D8"/>
    <w:rsid w:val="00BD190D"/>
    <w:rsid w:val="00BD1B99"/>
    <w:rsid w:val="00BD1E51"/>
    <w:rsid w:val="00BD259D"/>
    <w:rsid w:val="00BD278D"/>
    <w:rsid w:val="00BD2809"/>
    <w:rsid w:val="00BD291F"/>
    <w:rsid w:val="00BD2AE4"/>
    <w:rsid w:val="00BD30AE"/>
    <w:rsid w:val="00BD37CB"/>
    <w:rsid w:val="00BD3A81"/>
    <w:rsid w:val="00BD3F38"/>
    <w:rsid w:val="00BD429D"/>
    <w:rsid w:val="00BD4370"/>
    <w:rsid w:val="00BD48B4"/>
    <w:rsid w:val="00BD4A06"/>
    <w:rsid w:val="00BD4C3A"/>
    <w:rsid w:val="00BD4E9E"/>
    <w:rsid w:val="00BD4F54"/>
    <w:rsid w:val="00BD548F"/>
    <w:rsid w:val="00BD5D9F"/>
    <w:rsid w:val="00BD601A"/>
    <w:rsid w:val="00BD616D"/>
    <w:rsid w:val="00BD616F"/>
    <w:rsid w:val="00BD62D1"/>
    <w:rsid w:val="00BD668C"/>
    <w:rsid w:val="00BD6B2D"/>
    <w:rsid w:val="00BD6B97"/>
    <w:rsid w:val="00BD6CC0"/>
    <w:rsid w:val="00BD6F75"/>
    <w:rsid w:val="00BD6FBC"/>
    <w:rsid w:val="00BD79E3"/>
    <w:rsid w:val="00BD7A1C"/>
    <w:rsid w:val="00BD7C06"/>
    <w:rsid w:val="00BD7CC7"/>
    <w:rsid w:val="00BD7DA3"/>
    <w:rsid w:val="00BD7E96"/>
    <w:rsid w:val="00BE0020"/>
    <w:rsid w:val="00BE0257"/>
    <w:rsid w:val="00BE0302"/>
    <w:rsid w:val="00BE0641"/>
    <w:rsid w:val="00BE06D0"/>
    <w:rsid w:val="00BE0851"/>
    <w:rsid w:val="00BE0C0A"/>
    <w:rsid w:val="00BE0FB8"/>
    <w:rsid w:val="00BE129B"/>
    <w:rsid w:val="00BE13CE"/>
    <w:rsid w:val="00BE1564"/>
    <w:rsid w:val="00BE19E1"/>
    <w:rsid w:val="00BE19F5"/>
    <w:rsid w:val="00BE1D99"/>
    <w:rsid w:val="00BE21AF"/>
    <w:rsid w:val="00BE253E"/>
    <w:rsid w:val="00BE2680"/>
    <w:rsid w:val="00BE2989"/>
    <w:rsid w:val="00BE2BF1"/>
    <w:rsid w:val="00BE2CFC"/>
    <w:rsid w:val="00BE2E33"/>
    <w:rsid w:val="00BE3145"/>
    <w:rsid w:val="00BE33DC"/>
    <w:rsid w:val="00BE3845"/>
    <w:rsid w:val="00BE398A"/>
    <w:rsid w:val="00BE3EDC"/>
    <w:rsid w:val="00BE41BC"/>
    <w:rsid w:val="00BE4290"/>
    <w:rsid w:val="00BE4383"/>
    <w:rsid w:val="00BE487B"/>
    <w:rsid w:val="00BE48FD"/>
    <w:rsid w:val="00BE4B9B"/>
    <w:rsid w:val="00BE5089"/>
    <w:rsid w:val="00BE50FB"/>
    <w:rsid w:val="00BE5478"/>
    <w:rsid w:val="00BE5BAF"/>
    <w:rsid w:val="00BE5C3C"/>
    <w:rsid w:val="00BE5D65"/>
    <w:rsid w:val="00BE5E65"/>
    <w:rsid w:val="00BE6043"/>
    <w:rsid w:val="00BE6134"/>
    <w:rsid w:val="00BE6250"/>
    <w:rsid w:val="00BE63F1"/>
    <w:rsid w:val="00BE671F"/>
    <w:rsid w:val="00BE6801"/>
    <w:rsid w:val="00BE6AA6"/>
    <w:rsid w:val="00BE6C16"/>
    <w:rsid w:val="00BE6C1C"/>
    <w:rsid w:val="00BE6DAE"/>
    <w:rsid w:val="00BE6DE8"/>
    <w:rsid w:val="00BE6E6F"/>
    <w:rsid w:val="00BE6EF5"/>
    <w:rsid w:val="00BE6EFF"/>
    <w:rsid w:val="00BE70AF"/>
    <w:rsid w:val="00BE7133"/>
    <w:rsid w:val="00BE7174"/>
    <w:rsid w:val="00BE747F"/>
    <w:rsid w:val="00BE78EE"/>
    <w:rsid w:val="00BE7A1C"/>
    <w:rsid w:val="00BE7C3C"/>
    <w:rsid w:val="00BF060A"/>
    <w:rsid w:val="00BF06B3"/>
    <w:rsid w:val="00BF0700"/>
    <w:rsid w:val="00BF08B7"/>
    <w:rsid w:val="00BF10E1"/>
    <w:rsid w:val="00BF11FC"/>
    <w:rsid w:val="00BF18C8"/>
    <w:rsid w:val="00BF1B47"/>
    <w:rsid w:val="00BF1C46"/>
    <w:rsid w:val="00BF2162"/>
    <w:rsid w:val="00BF2184"/>
    <w:rsid w:val="00BF2217"/>
    <w:rsid w:val="00BF226D"/>
    <w:rsid w:val="00BF26DD"/>
    <w:rsid w:val="00BF28F3"/>
    <w:rsid w:val="00BF2C68"/>
    <w:rsid w:val="00BF31BC"/>
    <w:rsid w:val="00BF3296"/>
    <w:rsid w:val="00BF33CD"/>
    <w:rsid w:val="00BF34B9"/>
    <w:rsid w:val="00BF3A0F"/>
    <w:rsid w:val="00BF473D"/>
    <w:rsid w:val="00BF480D"/>
    <w:rsid w:val="00BF4833"/>
    <w:rsid w:val="00BF4EA2"/>
    <w:rsid w:val="00BF5263"/>
    <w:rsid w:val="00BF540A"/>
    <w:rsid w:val="00BF546D"/>
    <w:rsid w:val="00BF5541"/>
    <w:rsid w:val="00BF5974"/>
    <w:rsid w:val="00BF5D2A"/>
    <w:rsid w:val="00BF5FF4"/>
    <w:rsid w:val="00BF67DF"/>
    <w:rsid w:val="00BF69C4"/>
    <w:rsid w:val="00BF6A38"/>
    <w:rsid w:val="00BF6BB3"/>
    <w:rsid w:val="00BF6C6E"/>
    <w:rsid w:val="00BF723A"/>
    <w:rsid w:val="00BF7864"/>
    <w:rsid w:val="00BF7886"/>
    <w:rsid w:val="00BF7B91"/>
    <w:rsid w:val="00BF7DAC"/>
    <w:rsid w:val="00C00890"/>
    <w:rsid w:val="00C00C65"/>
    <w:rsid w:val="00C00F17"/>
    <w:rsid w:val="00C0159E"/>
    <w:rsid w:val="00C01920"/>
    <w:rsid w:val="00C019CD"/>
    <w:rsid w:val="00C01DD9"/>
    <w:rsid w:val="00C027A5"/>
    <w:rsid w:val="00C0282A"/>
    <w:rsid w:val="00C0288E"/>
    <w:rsid w:val="00C028B8"/>
    <w:rsid w:val="00C02915"/>
    <w:rsid w:val="00C02A99"/>
    <w:rsid w:val="00C02B87"/>
    <w:rsid w:val="00C02D70"/>
    <w:rsid w:val="00C02E71"/>
    <w:rsid w:val="00C02EC4"/>
    <w:rsid w:val="00C02FA3"/>
    <w:rsid w:val="00C0314E"/>
    <w:rsid w:val="00C032AC"/>
    <w:rsid w:val="00C033A3"/>
    <w:rsid w:val="00C0353F"/>
    <w:rsid w:val="00C0378C"/>
    <w:rsid w:val="00C03AE2"/>
    <w:rsid w:val="00C04153"/>
    <w:rsid w:val="00C0423B"/>
    <w:rsid w:val="00C048FA"/>
    <w:rsid w:val="00C048FC"/>
    <w:rsid w:val="00C04AB5"/>
    <w:rsid w:val="00C04CC8"/>
    <w:rsid w:val="00C04E77"/>
    <w:rsid w:val="00C05143"/>
    <w:rsid w:val="00C0514D"/>
    <w:rsid w:val="00C055B1"/>
    <w:rsid w:val="00C05718"/>
    <w:rsid w:val="00C05994"/>
    <w:rsid w:val="00C05C25"/>
    <w:rsid w:val="00C060E8"/>
    <w:rsid w:val="00C0667E"/>
    <w:rsid w:val="00C06B39"/>
    <w:rsid w:val="00C06E7A"/>
    <w:rsid w:val="00C06F07"/>
    <w:rsid w:val="00C07B4B"/>
    <w:rsid w:val="00C07E29"/>
    <w:rsid w:val="00C07EAA"/>
    <w:rsid w:val="00C1003F"/>
    <w:rsid w:val="00C100BF"/>
    <w:rsid w:val="00C10443"/>
    <w:rsid w:val="00C1068F"/>
    <w:rsid w:val="00C1079E"/>
    <w:rsid w:val="00C10AD0"/>
    <w:rsid w:val="00C10B77"/>
    <w:rsid w:val="00C10E3D"/>
    <w:rsid w:val="00C11033"/>
    <w:rsid w:val="00C1182D"/>
    <w:rsid w:val="00C1191B"/>
    <w:rsid w:val="00C11AF5"/>
    <w:rsid w:val="00C11B2D"/>
    <w:rsid w:val="00C11DFA"/>
    <w:rsid w:val="00C11E35"/>
    <w:rsid w:val="00C11FF3"/>
    <w:rsid w:val="00C12093"/>
    <w:rsid w:val="00C1237C"/>
    <w:rsid w:val="00C125AD"/>
    <w:rsid w:val="00C127EB"/>
    <w:rsid w:val="00C12C78"/>
    <w:rsid w:val="00C1315C"/>
    <w:rsid w:val="00C13176"/>
    <w:rsid w:val="00C13596"/>
    <w:rsid w:val="00C13BD0"/>
    <w:rsid w:val="00C13E3D"/>
    <w:rsid w:val="00C14077"/>
    <w:rsid w:val="00C1416F"/>
    <w:rsid w:val="00C141ED"/>
    <w:rsid w:val="00C14365"/>
    <w:rsid w:val="00C14528"/>
    <w:rsid w:val="00C14975"/>
    <w:rsid w:val="00C14C88"/>
    <w:rsid w:val="00C14E7B"/>
    <w:rsid w:val="00C15500"/>
    <w:rsid w:val="00C15891"/>
    <w:rsid w:val="00C15B17"/>
    <w:rsid w:val="00C15D6B"/>
    <w:rsid w:val="00C15FF8"/>
    <w:rsid w:val="00C160E3"/>
    <w:rsid w:val="00C16119"/>
    <w:rsid w:val="00C1616E"/>
    <w:rsid w:val="00C161E5"/>
    <w:rsid w:val="00C16ABA"/>
    <w:rsid w:val="00C16C0A"/>
    <w:rsid w:val="00C172B1"/>
    <w:rsid w:val="00C17B74"/>
    <w:rsid w:val="00C17C38"/>
    <w:rsid w:val="00C17EE2"/>
    <w:rsid w:val="00C20034"/>
    <w:rsid w:val="00C202CB"/>
    <w:rsid w:val="00C20351"/>
    <w:rsid w:val="00C2056B"/>
    <w:rsid w:val="00C209A6"/>
    <w:rsid w:val="00C209F2"/>
    <w:rsid w:val="00C20AE2"/>
    <w:rsid w:val="00C2174C"/>
    <w:rsid w:val="00C21A32"/>
    <w:rsid w:val="00C21D92"/>
    <w:rsid w:val="00C22265"/>
    <w:rsid w:val="00C22451"/>
    <w:rsid w:val="00C227B0"/>
    <w:rsid w:val="00C22B14"/>
    <w:rsid w:val="00C23361"/>
    <w:rsid w:val="00C23C83"/>
    <w:rsid w:val="00C23EA9"/>
    <w:rsid w:val="00C23F4A"/>
    <w:rsid w:val="00C240D1"/>
    <w:rsid w:val="00C24161"/>
    <w:rsid w:val="00C243BC"/>
    <w:rsid w:val="00C24657"/>
    <w:rsid w:val="00C24E66"/>
    <w:rsid w:val="00C251E0"/>
    <w:rsid w:val="00C254A9"/>
    <w:rsid w:val="00C256AF"/>
    <w:rsid w:val="00C25966"/>
    <w:rsid w:val="00C259C9"/>
    <w:rsid w:val="00C25ABA"/>
    <w:rsid w:val="00C25D73"/>
    <w:rsid w:val="00C25E09"/>
    <w:rsid w:val="00C25E2B"/>
    <w:rsid w:val="00C25F8E"/>
    <w:rsid w:val="00C260B0"/>
    <w:rsid w:val="00C261B1"/>
    <w:rsid w:val="00C2668B"/>
    <w:rsid w:val="00C26F67"/>
    <w:rsid w:val="00C26F74"/>
    <w:rsid w:val="00C270F2"/>
    <w:rsid w:val="00C274D4"/>
    <w:rsid w:val="00C276F6"/>
    <w:rsid w:val="00C27BC4"/>
    <w:rsid w:val="00C30065"/>
    <w:rsid w:val="00C300AD"/>
    <w:rsid w:val="00C3040B"/>
    <w:rsid w:val="00C30478"/>
    <w:rsid w:val="00C30613"/>
    <w:rsid w:val="00C30684"/>
    <w:rsid w:val="00C30A3F"/>
    <w:rsid w:val="00C30CC2"/>
    <w:rsid w:val="00C31288"/>
    <w:rsid w:val="00C313B5"/>
    <w:rsid w:val="00C31856"/>
    <w:rsid w:val="00C3194F"/>
    <w:rsid w:val="00C31AA8"/>
    <w:rsid w:val="00C31C22"/>
    <w:rsid w:val="00C31EE6"/>
    <w:rsid w:val="00C328BF"/>
    <w:rsid w:val="00C32C3C"/>
    <w:rsid w:val="00C32D8A"/>
    <w:rsid w:val="00C32EC4"/>
    <w:rsid w:val="00C33580"/>
    <w:rsid w:val="00C335E8"/>
    <w:rsid w:val="00C33675"/>
    <w:rsid w:val="00C33756"/>
    <w:rsid w:val="00C338F4"/>
    <w:rsid w:val="00C33A8D"/>
    <w:rsid w:val="00C33F96"/>
    <w:rsid w:val="00C34392"/>
    <w:rsid w:val="00C34694"/>
    <w:rsid w:val="00C3473E"/>
    <w:rsid w:val="00C34DD9"/>
    <w:rsid w:val="00C35074"/>
    <w:rsid w:val="00C3588C"/>
    <w:rsid w:val="00C358C6"/>
    <w:rsid w:val="00C35A94"/>
    <w:rsid w:val="00C35B3D"/>
    <w:rsid w:val="00C35B54"/>
    <w:rsid w:val="00C35EFC"/>
    <w:rsid w:val="00C361CF"/>
    <w:rsid w:val="00C368CE"/>
    <w:rsid w:val="00C36AF6"/>
    <w:rsid w:val="00C36D56"/>
    <w:rsid w:val="00C36EDF"/>
    <w:rsid w:val="00C37728"/>
    <w:rsid w:val="00C377A0"/>
    <w:rsid w:val="00C37A70"/>
    <w:rsid w:val="00C37C91"/>
    <w:rsid w:val="00C37D01"/>
    <w:rsid w:val="00C37DB3"/>
    <w:rsid w:val="00C400E7"/>
    <w:rsid w:val="00C40439"/>
    <w:rsid w:val="00C4086D"/>
    <w:rsid w:val="00C40B39"/>
    <w:rsid w:val="00C40CB7"/>
    <w:rsid w:val="00C40FED"/>
    <w:rsid w:val="00C415D8"/>
    <w:rsid w:val="00C41836"/>
    <w:rsid w:val="00C41CEC"/>
    <w:rsid w:val="00C4206E"/>
    <w:rsid w:val="00C42169"/>
    <w:rsid w:val="00C42328"/>
    <w:rsid w:val="00C42A9E"/>
    <w:rsid w:val="00C42BBC"/>
    <w:rsid w:val="00C42C7A"/>
    <w:rsid w:val="00C42DA9"/>
    <w:rsid w:val="00C433F9"/>
    <w:rsid w:val="00C43706"/>
    <w:rsid w:val="00C437C4"/>
    <w:rsid w:val="00C442C9"/>
    <w:rsid w:val="00C444C1"/>
    <w:rsid w:val="00C44617"/>
    <w:rsid w:val="00C44679"/>
    <w:rsid w:val="00C4494D"/>
    <w:rsid w:val="00C44D37"/>
    <w:rsid w:val="00C44D65"/>
    <w:rsid w:val="00C44D7F"/>
    <w:rsid w:val="00C44DB8"/>
    <w:rsid w:val="00C44F39"/>
    <w:rsid w:val="00C45125"/>
    <w:rsid w:val="00C45150"/>
    <w:rsid w:val="00C451CA"/>
    <w:rsid w:val="00C4526E"/>
    <w:rsid w:val="00C45335"/>
    <w:rsid w:val="00C4545F"/>
    <w:rsid w:val="00C45C13"/>
    <w:rsid w:val="00C45D7C"/>
    <w:rsid w:val="00C45DCD"/>
    <w:rsid w:val="00C465A4"/>
    <w:rsid w:val="00C468B1"/>
    <w:rsid w:val="00C46B84"/>
    <w:rsid w:val="00C46C40"/>
    <w:rsid w:val="00C46D84"/>
    <w:rsid w:val="00C470FC"/>
    <w:rsid w:val="00C4720D"/>
    <w:rsid w:val="00C474CD"/>
    <w:rsid w:val="00C478B9"/>
    <w:rsid w:val="00C478E4"/>
    <w:rsid w:val="00C47C41"/>
    <w:rsid w:val="00C47E8C"/>
    <w:rsid w:val="00C50363"/>
    <w:rsid w:val="00C5047C"/>
    <w:rsid w:val="00C50BEF"/>
    <w:rsid w:val="00C50CF3"/>
    <w:rsid w:val="00C51239"/>
    <w:rsid w:val="00C51317"/>
    <w:rsid w:val="00C51391"/>
    <w:rsid w:val="00C514B9"/>
    <w:rsid w:val="00C51A05"/>
    <w:rsid w:val="00C51A6C"/>
    <w:rsid w:val="00C51E6A"/>
    <w:rsid w:val="00C5218B"/>
    <w:rsid w:val="00C52465"/>
    <w:rsid w:val="00C525C5"/>
    <w:rsid w:val="00C5263E"/>
    <w:rsid w:val="00C52A93"/>
    <w:rsid w:val="00C52C62"/>
    <w:rsid w:val="00C52D73"/>
    <w:rsid w:val="00C5317A"/>
    <w:rsid w:val="00C5368A"/>
    <w:rsid w:val="00C537D2"/>
    <w:rsid w:val="00C539A0"/>
    <w:rsid w:val="00C53A61"/>
    <w:rsid w:val="00C53AB2"/>
    <w:rsid w:val="00C54126"/>
    <w:rsid w:val="00C54150"/>
    <w:rsid w:val="00C544F4"/>
    <w:rsid w:val="00C546C9"/>
    <w:rsid w:val="00C547B7"/>
    <w:rsid w:val="00C548CF"/>
    <w:rsid w:val="00C54965"/>
    <w:rsid w:val="00C54C6E"/>
    <w:rsid w:val="00C54FE1"/>
    <w:rsid w:val="00C55002"/>
    <w:rsid w:val="00C55018"/>
    <w:rsid w:val="00C552AD"/>
    <w:rsid w:val="00C5546A"/>
    <w:rsid w:val="00C5559E"/>
    <w:rsid w:val="00C55684"/>
    <w:rsid w:val="00C55B7A"/>
    <w:rsid w:val="00C55B8C"/>
    <w:rsid w:val="00C55DE1"/>
    <w:rsid w:val="00C55DE8"/>
    <w:rsid w:val="00C55ED0"/>
    <w:rsid w:val="00C55FA9"/>
    <w:rsid w:val="00C56031"/>
    <w:rsid w:val="00C56047"/>
    <w:rsid w:val="00C56128"/>
    <w:rsid w:val="00C5621D"/>
    <w:rsid w:val="00C562A0"/>
    <w:rsid w:val="00C56553"/>
    <w:rsid w:val="00C56A77"/>
    <w:rsid w:val="00C56BB4"/>
    <w:rsid w:val="00C56C28"/>
    <w:rsid w:val="00C571C0"/>
    <w:rsid w:val="00C57636"/>
    <w:rsid w:val="00C6005D"/>
    <w:rsid w:val="00C604C9"/>
    <w:rsid w:val="00C60776"/>
    <w:rsid w:val="00C612D3"/>
    <w:rsid w:val="00C6149A"/>
    <w:rsid w:val="00C61544"/>
    <w:rsid w:val="00C618FE"/>
    <w:rsid w:val="00C61CFF"/>
    <w:rsid w:val="00C6212F"/>
    <w:rsid w:val="00C62257"/>
    <w:rsid w:val="00C624F1"/>
    <w:rsid w:val="00C626DD"/>
    <w:rsid w:val="00C63186"/>
    <w:rsid w:val="00C634A2"/>
    <w:rsid w:val="00C635D8"/>
    <w:rsid w:val="00C63DE5"/>
    <w:rsid w:val="00C63FBF"/>
    <w:rsid w:val="00C643AD"/>
    <w:rsid w:val="00C64494"/>
    <w:rsid w:val="00C6468F"/>
    <w:rsid w:val="00C64708"/>
    <w:rsid w:val="00C64808"/>
    <w:rsid w:val="00C64887"/>
    <w:rsid w:val="00C64A70"/>
    <w:rsid w:val="00C64B62"/>
    <w:rsid w:val="00C64E9E"/>
    <w:rsid w:val="00C64F03"/>
    <w:rsid w:val="00C64F93"/>
    <w:rsid w:val="00C652F6"/>
    <w:rsid w:val="00C653B9"/>
    <w:rsid w:val="00C653F8"/>
    <w:rsid w:val="00C654F2"/>
    <w:rsid w:val="00C655AA"/>
    <w:rsid w:val="00C6578F"/>
    <w:rsid w:val="00C65B1F"/>
    <w:rsid w:val="00C65B8D"/>
    <w:rsid w:val="00C65D83"/>
    <w:rsid w:val="00C65F1E"/>
    <w:rsid w:val="00C665FA"/>
    <w:rsid w:val="00C66668"/>
    <w:rsid w:val="00C66AE1"/>
    <w:rsid w:val="00C66CED"/>
    <w:rsid w:val="00C66D4C"/>
    <w:rsid w:val="00C66D53"/>
    <w:rsid w:val="00C66D58"/>
    <w:rsid w:val="00C6706E"/>
    <w:rsid w:val="00C670C2"/>
    <w:rsid w:val="00C67215"/>
    <w:rsid w:val="00C67477"/>
    <w:rsid w:val="00C67F55"/>
    <w:rsid w:val="00C7006D"/>
    <w:rsid w:val="00C70184"/>
    <w:rsid w:val="00C703EC"/>
    <w:rsid w:val="00C70912"/>
    <w:rsid w:val="00C709FF"/>
    <w:rsid w:val="00C70DAD"/>
    <w:rsid w:val="00C70DEE"/>
    <w:rsid w:val="00C71089"/>
    <w:rsid w:val="00C71369"/>
    <w:rsid w:val="00C713F9"/>
    <w:rsid w:val="00C71581"/>
    <w:rsid w:val="00C71738"/>
    <w:rsid w:val="00C7180C"/>
    <w:rsid w:val="00C71E76"/>
    <w:rsid w:val="00C71F8B"/>
    <w:rsid w:val="00C72363"/>
    <w:rsid w:val="00C72B96"/>
    <w:rsid w:val="00C72CA2"/>
    <w:rsid w:val="00C72D68"/>
    <w:rsid w:val="00C72E3E"/>
    <w:rsid w:val="00C732C4"/>
    <w:rsid w:val="00C73682"/>
    <w:rsid w:val="00C73E86"/>
    <w:rsid w:val="00C73FEB"/>
    <w:rsid w:val="00C74059"/>
    <w:rsid w:val="00C74106"/>
    <w:rsid w:val="00C74381"/>
    <w:rsid w:val="00C74538"/>
    <w:rsid w:val="00C74B09"/>
    <w:rsid w:val="00C74C46"/>
    <w:rsid w:val="00C74CA6"/>
    <w:rsid w:val="00C74D3D"/>
    <w:rsid w:val="00C753F7"/>
    <w:rsid w:val="00C75428"/>
    <w:rsid w:val="00C75525"/>
    <w:rsid w:val="00C75C9D"/>
    <w:rsid w:val="00C75D6E"/>
    <w:rsid w:val="00C75EEF"/>
    <w:rsid w:val="00C76248"/>
    <w:rsid w:val="00C763CA"/>
    <w:rsid w:val="00C763EC"/>
    <w:rsid w:val="00C766E9"/>
    <w:rsid w:val="00C7720D"/>
    <w:rsid w:val="00C77243"/>
    <w:rsid w:val="00C77648"/>
    <w:rsid w:val="00C77872"/>
    <w:rsid w:val="00C77926"/>
    <w:rsid w:val="00C779B1"/>
    <w:rsid w:val="00C77B8B"/>
    <w:rsid w:val="00C804C1"/>
    <w:rsid w:val="00C804E4"/>
    <w:rsid w:val="00C809EF"/>
    <w:rsid w:val="00C80BCE"/>
    <w:rsid w:val="00C80C84"/>
    <w:rsid w:val="00C80C86"/>
    <w:rsid w:val="00C80DE9"/>
    <w:rsid w:val="00C8107F"/>
    <w:rsid w:val="00C8114E"/>
    <w:rsid w:val="00C8147A"/>
    <w:rsid w:val="00C81484"/>
    <w:rsid w:val="00C8149A"/>
    <w:rsid w:val="00C8149F"/>
    <w:rsid w:val="00C816D6"/>
    <w:rsid w:val="00C81DBC"/>
    <w:rsid w:val="00C81F11"/>
    <w:rsid w:val="00C81F57"/>
    <w:rsid w:val="00C81FAB"/>
    <w:rsid w:val="00C825A2"/>
    <w:rsid w:val="00C829DF"/>
    <w:rsid w:val="00C82C70"/>
    <w:rsid w:val="00C830BD"/>
    <w:rsid w:val="00C83570"/>
    <w:rsid w:val="00C838A3"/>
    <w:rsid w:val="00C839F6"/>
    <w:rsid w:val="00C83A92"/>
    <w:rsid w:val="00C83D7C"/>
    <w:rsid w:val="00C84193"/>
    <w:rsid w:val="00C845F6"/>
    <w:rsid w:val="00C84806"/>
    <w:rsid w:val="00C84CE9"/>
    <w:rsid w:val="00C84E13"/>
    <w:rsid w:val="00C84F4D"/>
    <w:rsid w:val="00C8503D"/>
    <w:rsid w:val="00C8548F"/>
    <w:rsid w:val="00C854F3"/>
    <w:rsid w:val="00C85663"/>
    <w:rsid w:val="00C8572A"/>
    <w:rsid w:val="00C85804"/>
    <w:rsid w:val="00C858E2"/>
    <w:rsid w:val="00C859D3"/>
    <w:rsid w:val="00C85CF1"/>
    <w:rsid w:val="00C85D8F"/>
    <w:rsid w:val="00C85EF4"/>
    <w:rsid w:val="00C860CC"/>
    <w:rsid w:val="00C86142"/>
    <w:rsid w:val="00C865E0"/>
    <w:rsid w:val="00C867D4"/>
    <w:rsid w:val="00C86863"/>
    <w:rsid w:val="00C86868"/>
    <w:rsid w:val="00C868AE"/>
    <w:rsid w:val="00C86A91"/>
    <w:rsid w:val="00C86B8B"/>
    <w:rsid w:val="00C86CDC"/>
    <w:rsid w:val="00C86D14"/>
    <w:rsid w:val="00C86EAE"/>
    <w:rsid w:val="00C87236"/>
    <w:rsid w:val="00C87A23"/>
    <w:rsid w:val="00C87B1B"/>
    <w:rsid w:val="00C87D3E"/>
    <w:rsid w:val="00C90301"/>
    <w:rsid w:val="00C904FE"/>
    <w:rsid w:val="00C90640"/>
    <w:rsid w:val="00C909C8"/>
    <w:rsid w:val="00C90CA7"/>
    <w:rsid w:val="00C90EBC"/>
    <w:rsid w:val="00C910D6"/>
    <w:rsid w:val="00C913D8"/>
    <w:rsid w:val="00C916D3"/>
    <w:rsid w:val="00C91754"/>
    <w:rsid w:val="00C91E6E"/>
    <w:rsid w:val="00C921D0"/>
    <w:rsid w:val="00C927AF"/>
    <w:rsid w:val="00C9299F"/>
    <w:rsid w:val="00C92A34"/>
    <w:rsid w:val="00C93242"/>
    <w:rsid w:val="00C93A6C"/>
    <w:rsid w:val="00C93B15"/>
    <w:rsid w:val="00C93B41"/>
    <w:rsid w:val="00C93BC8"/>
    <w:rsid w:val="00C942AD"/>
    <w:rsid w:val="00C945CE"/>
    <w:rsid w:val="00C950B9"/>
    <w:rsid w:val="00C951AC"/>
    <w:rsid w:val="00C95255"/>
    <w:rsid w:val="00C95290"/>
    <w:rsid w:val="00C952B7"/>
    <w:rsid w:val="00C959B5"/>
    <w:rsid w:val="00C95A5C"/>
    <w:rsid w:val="00C95BAD"/>
    <w:rsid w:val="00C9628C"/>
    <w:rsid w:val="00C96766"/>
    <w:rsid w:val="00C97763"/>
    <w:rsid w:val="00C977B5"/>
    <w:rsid w:val="00C97AA7"/>
    <w:rsid w:val="00CA000F"/>
    <w:rsid w:val="00CA005A"/>
    <w:rsid w:val="00CA01A2"/>
    <w:rsid w:val="00CA042C"/>
    <w:rsid w:val="00CA077F"/>
    <w:rsid w:val="00CA0BC8"/>
    <w:rsid w:val="00CA1896"/>
    <w:rsid w:val="00CA2603"/>
    <w:rsid w:val="00CA287C"/>
    <w:rsid w:val="00CA28BD"/>
    <w:rsid w:val="00CA2919"/>
    <w:rsid w:val="00CA2AC1"/>
    <w:rsid w:val="00CA2E04"/>
    <w:rsid w:val="00CA2E7A"/>
    <w:rsid w:val="00CA2EB6"/>
    <w:rsid w:val="00CA2EEB"/>
    <w:rsid w:val="00CA3CB1"/>
    <w:rsid w:val="00CA43BD"/>
    <w:rsid w:val="00CA4589"/>
    <w:rsid w:val="00CA4A15"/>
    <w:rsid w:val="00CA4C1B"/>
    <w:rsid w:val="00CA51EB"/>
    <w:rsid w:val="00CA5290"/>
    <w:rsid w:val="00CA56CE"/>
    <w:rsid w:val="00CA5CED"/>
    <w:rsid w:val="00CA617F"/>
    <w:rsid w:val="00CA6A21"/>
    <w:rsid w:val="00CA6E94"/>
    <w:rsid w:val="00CA7979"/>
    <w:rsid w:val="00CA7AFA"/>
    <w:rsid w:val="00CA7B28"/>
    <w:rsid w:val="00CA7C7A"/>
    <w:rsid w:val="00CA7DD6"/>
    <w:rsid w:val="00CB01FC"/>
    <w:rsid w:val="00CB0354"/>
    <w:rsid w:val="00CB0550"/>
    <w:rsid w:val="00CB06C2"/>
    <w:rsid w:val="00CB0C2D"/>
    <w:rsid w:val="00CB0D6B"/>
    <w:rsid w:val="00CB10DF"/>
    <w:rsid w:val="00CB1373"/>
    <w:rsid w:val="00CB1521"/>
    <w:rsid w:val="00CB156D"/>
    <w:rsid w:val="00CB17B3"/>
    <w:rsid w:val="00CB17D5"/>
    <w:rsid w:val="00CB19DC"/>
    <w:rsid w:val="00CB1BF8"/>
    <w:rsid w:val="00CB1F9C"/>
    <w:rsid w:val="00CB222C"/>
    <w:rsid w:val="00CB22EE"/>
    <w:rsid w:val="00CB2592"/>
    <w:rsid w:val="00CB2847"/>
    <w:rsid w:val="00CB2CF8"/>
    <w:rsid w:val="00CB2D4E"/>
    <w:rsid w:val="00CB2DAB"/>
    <w:rsid w:val="00CB30C3"/>
    <w:rsid w:val="00CB3180"/>
    <w:rsid w:val="00CB3502"/>
    <w:rsid w:val="00CB373F"/>
    <w:rsid w:val="00CB37E0"/>
    <w:rsid w:val="00CB3A36"/>
    <w:rsid w:val="00CB3A64"/>
    <w:rsid w:val="00CB3EF3"/>
    <w:rsid w:val="00CB40B8"/>
    <w:rsid w:val="00CB40BE"/>
    <w:rsid w:val="00CB40DF"/>
    <w:rsid w:val="00CB50D5"/>
    <w:rsid w:val="00CB5184"/>
    <w:rsid w:val="00CB52B2"/>
    <w:rsid w:val="00CB5339"/>
    <w:rsid w:val="00CB53A5"/>
    <w:rsid w:val="00CB5789"/>
    <w:rsid w:val="00CB58E4"/>
    <w:rsid w:val="00CB5A8D"/>
    <w:rsid w:val="00CB5B28"/>
    <w:rsid w:val="00CB5DE4"/>
    <w:rsid w:val="00CB5FB8"/>
    <w:rsid w:val="00CB6451"/>
    <w:rsid w:val="00CB6AFA"/>
    <w:rsid w:val="00CB6B89"/>
    <w:rsid w:val="00CB6D56"/>
    <w:rsid w:val="00CB6F4D"/>
    <w:rsid w:val="00CB6FEC"/>
    <w:rsid w:val="00CB73F6"/>
    <w:rsid w:val="00CB74E7"/>
    <w:rsid w:val="00CB7645"/>
    <w:rsid w:val="00CB7703"/>
    <w:rsid w:val="00CB791A"/>
    <w:rsid w:val="00CB7A4B"/>
    <w:rsid w:val="00CB7BB5"/>
    <w:rsid w:val="00CB7CF7"/>
    <w:rsid w:val="00CC029C"/>
    <w:rsid w:val="00CC039E"/>
    <w:rsid w:val="00CC0733"/>
    <w:rsid w:val="00CC0903"/>
    <w:rsid w:val="00CC0932"/>
    <w:rsid w:val="00CC0AAA"/>
    <w:rsid w:val="00CC0F21"/>
    <w:rsid w:val="00CC1300"/>
    <w:rsid w:val="00CC179B"/>
    <w:rsid w:val="00CC1945"/>
    <w:rsid w:val="00CC19A5"/>
    <w:rsid w:val="00CC1A00"/>
    <w:rsid w:val="00CC1AE0"/>
    <w:rsid w:val="00CC1B1C"/>
    <w:rsid w:val="00CC1C3C"/>
    <w:rsid w:val="00CC1C48"/>
    <w:rsid w:val="00CC1EA4"/>
    <w:rsid w:val="00CC2044"/>
    <w:rsid w:val="00CC3006"/>
    <w:rsid w:val="00CC3552"/>
    <w:rsid w:val="00CC3761"/>
    <w:rsid w:val="00CC37DD"/>
    <w:rsid w:val="00CC388E"/>
    <w:rsid w:val="00CC3F68"/>
    <w:rsid w:val="00CC43DD"/>
    <w:rsid w:val="00CC4470"/>
    <w:rsid w:val="00CC45E3"/>
    <w:rsid w:val="00CC47F0"/>
    <w:rsid w:val="00CC4F2A"/>
    <w:rsid w:val="00CC50C0"/>
    <w:rsid w:val="00CC53BC"/>
    <w:rsid w:val="00CC5412"/>
    <w:rsid w:val="00CC5B81"/>
    <w:rsid w:val="00CC5F32"/>
    <w:rsid w:val="00CC6415"/>
    <w:rsid w:val="00CC666B"/>
    <w:rsid w:val="00CC69F6"/>
    <w:rsid w:val="00CC6ADB"/>
    <w:rsid w:val="00CC6C8F"/>
    <w:rsid w:val="00CC7214"/>
    <w:rsid w:val="00CC7516"/>
    <w:rsid w:val="00CC7951"/>
    <w:rsid w:val="00CC797E"/>
    <w:rsid w:val="00CD041F"/>
    <w:rsid w:val="00CD065B"/>
    <w:rsid w:val="00CD067A"/>
    <w:rsid w:val="00CD075B"/>
    <w:rsid w:val="00CD089A"/>
    <w:rsid w:val="00CD09D8"/>
    <w:rsid w:val="00CD09F6"/>
    <w:rsid w:val="00CD102E"/>
    <w:rsid w:val="00CD1267"/>
    <w:rsid w:val="00CD130E"/>
    <w:rsid w:val="00CD1385"/>
    <w:rsid w:val="00CD1487"/>
    <w:rsid w:val="00CD14A6"/>
    <w:rsid w:val="00CD1720"/>
    <w:rsid w:val="00CD1761"/>
    <w:rsid w:val="00CD1AEF"/>
    <w:rsid w:val="00CD1CE4"/>
    <w:rsid w:val="00CD21B7"/>
    <w:rsid w:val="00CD221E"/>
    <w:rsid w:val="00CD22C0"/>
    <w:rsid w:val="00CD25D9"/>
    <w:rsid w:val="00CD272D"/>
    <w:rsid w:val="00CD2863"/>
    <w:rsid w:val="00CD29F0"/>
    <w:rsid w:val="00CD2BCE"/>
    <w:rsid w:val="00CD2E7D"/>
    <w:rsid w:val="00CD2FC7"/>
    <w:rsid w:val="00CD32E7"/>
    <w:rsid w:val="00CD34BF"/>
    <w:rsid w:val="00CD36D6"/>
    <w:rsid w:val="00CD3738"/>
    <w:rsid w:val="00CD3BBF"/>
    <w:rsid w:val="00CD3CA6"/>
    <w:rsid w:val="00CD42C3"/>
    <w:rsid w:val="00CD4697"/>
    <w:rsid w:val="00CD46D2"/>
    <w:rsid w:val="00CD498E"/>
    <w:rsid w:val="00CD4B02"/>
    <w:rsid w:val="00CD4CC7"/>
    <w:rsid w:val="00CD4CD4"/>
    <w:rsid w:val="00CD4DC0"/>
    <w:rsid w:val="00CD51F9"/>
    <w:rsid w:val="00CD5675"/>
    <w:rsid w:val="00CD5793"/>
    <w:rsid w:val="00CD5C10"/>
    <w:rsid w:val="00CD5E96"/>
    <w:rsid w:val="00CD5FEA"/>
    <w:rsid w:val="00CD612E"/>
    <w:rsid w:val="00CD63D2"/>
    <w:rsid w:val="00CD6789"/>
    <w:rsid w:val="00CD6D3A"/>
    <w:rsid w:val="00CD6E5A"/>
    <w:rsid w:val="00CD6E66"/>
    <w:rsid w:val="00CD6EB2"/>
    <w:rsid w:val="00CD75EE"/>
    <w:rsid w:val="00CD7755"/>
    <w:rsid w:val="00CD7A5D"/>
    <w:rsid w:val="00CD7BF1"/>
    <w:rsid w:val="00CD7C16"/>
    <w:rsid w:val="00CE03A0"/>
    <w:rsid w:val="00CE03DD"/>
    <w:rsid w:val="00CE0512"/>
    <w:rsid w:val="00CE09C7"/>
    <w:rsid w:val="00CE0B3C"/>
    <w:rsid w:val="00CE0B84"/>
    <w:rsid w:val="00CE0B8E"/>
    <w:rsid w:val="00CE0DE0"/>
    <w:rsid w:val="00CE1129"/>
    <w:rsid w:val="00CE12DC"/>
    <w:rsid w:val="00CE1976"/>
    <w:rsid w:val="00CE1BDB"/>
    <w:rsid w:val="00CE1E47"/>
    <w:rsid w:val="00CE1F9B"/>
    <w:rsid w:val="00CE23EE"/>
    <w:rsid w:val="00CE2877"/>
    <w:rsid w:val="00CE28C4"/>
    <w:rsid w:val="00CE2921"/>
    <w:rsid w:val="00CE2A49"/>
    <w:rsid w:val="00CE2B3A"/>
    <w:rsid w:val="00CE2C22"/>
    <w:rsid w:val="00CE2FE4"/>
    <w:rsid w:val="00CE3293"/>
    <w:rsid w:val="00CE332B"/>
    <w:rsid w:val="00CE33FD"/>
    <w:rsid w:val="00CE3B19"/>
    <w:rsid w:val="00CE3D04"/>
    <w:rsid w:val="00CE3E53"/>
    <w:rsid w:val="00CE3F71"/>
    <w:rsid w:val="00CE4045"/>
    <w:rsid w:val="00CE4130"/>
    <w:rsid w:val="00CE4220"/>
    <w:rsid w:val="00CE42C5"/>
    <w:rsid w:val="00CE46E0"/>
    <w:rsid w:val="00CE4F89"/>
    <w:rsid w:val="00CE4FD7"/>
    <w:rsid w:val="00CE51C4"/>
    <w:rsid w:val="00CE52F4"/>
    <w:rsid w:val="00CE5343"/>
    <w:rsid w:val="00CE5980"/>
    <w:rsid w:val="00CE5E55"/>
    <w:rsid w:val="00CE5F37"/>
    <w:rsid w:val="00CE60FB"/>
    <w:rsid w:val="00CE6164"/>
    <w:rsid w:val="00CE6582"/>
    <w:rsid w:val="00CE670A"/>
    <w:rsid w:val="00CE6EF8"/>
    <w:rsid w:val="00CE6F78"/>
    <w:rsid w:val="00CE706E"/>
    <w:rsid w:val="00CE7636"/>
    <w:rsid w:val="00CE76A4"/>
    <w:rsid w:val="00CE78D7"/>
    <w:rsid w:val="00CE7A36"/>
    <w:rsid w:val="00CE7CFF"/>
    <w:rsid w:val="00CF0A8E"/>
    <w:rsid w:val="00CF1087"/>
    <w:rsid w:val="00CF118C"/>
    <w:rsid w:val="00CF1205"/>
    <w:rsid w:val="00CF131C"/>
    <w:rsid w:val="00CF1757"/>
    <w:rsid w:val="00CF1BC3"/>
    <w:rsid w:val="00CF23DE"/>
    <w:rsid w:val="00CF2468"/>
    <w:rsid w:val="00CF25A4"/>
    <w:rsid w:val="00CF2708"/>
    <w:rsid w:val="00CF2881"/>
    <w:rsid w:val="00CF2E48"/>
    <w:rsid w:val="00CF3387"/>
    <w:rsid w:val="00CF3A29"/>
    <w:rsid w:val="00CF3AB3"/>
    <w:rsid w:val="00CF3EC3"/>
    <w:rsid w:val="00CF4092"/>
    <w:rsid w:val="00CF42AB"/>
    <w:rsid w:val="00CF42D3"/>
    <w:rsid w:val="00CF4460"/>
    <w:rsid w:val="00CF44D8"/>
    <w:rsid w:val="00CF452C"/>
    <w:rsid w:val="00CF4E52"/>
    <w:rsid w:val="00CF50A7"/>
    <w:rsid w:val="00CF513A"/>
    <w:rsid w:val="00CF521B"/>
    <w:rsid w:val="00CF5371"/>
    <w:rsid w:val="00CF55AE"/>
    <w:rsid w:val="00CF56C8"/>
    <w:rsid w:val="00CF5C9E"/>
    <w:rsid w:val="00CF5F7C"/>
    <w:rsid w:val="00CF6355"/>
    <w:rsid w:val="00CF6515"/>
    <w:rsid w:val="00CF66A6"/>
    <w:rsid w:val="00CF67DE"/>
    <w:rsid w:val="00CF6BDA"/>
    <w:rsid w:val="00CF6D63"/>
    <w:rsid w:val="00CF6D8A"/>
    <w:rsid w:val="00CF6E53"/>
    <w:rsid w:val="00CF6FD9"/>
    <w:rsid w:val="00CF7280"/>
    <w:rsid w:val="00CF762A"/>
    <w:rsid w:val="00CF7972"/>
    <w:rsid w:val="00CF7BC1"/>
    <w:rsid w:val="00CF7D9F"/>
    <w:rsid w:val="00D00838"/>
    <w:rsid w:val="00D008C9"/>
    <w:rsid w:val="00D013D2"/>
    <w:rsid w:val="00D01A37"/>
    <w:rsid w:val="00D01AB3"/>
    <w:rsid w:val="00D01E03"/>
    <w:rsid w:val="00D024B4"/>
    <w:rsid w:val="00D02C23"/>
    <w:rsid w:val="00D02C5A"/>
    <w:rsid w:val="00D02E5B"/>
    <w:rsid w:val="00D0323A"/>
    <w:rsid w:val="00D03460"/>
    <w:rsid w:val="00D03680"/>
    <w:rsid w:val="00D03A49"/>
    <w:rsid w:val="00D03A56"/>
    <w:rsid w:val="00D03D97"/>
    <w:rsid w:val="00D03E2F"/>
    <w:rsid w:val="00D03E47"/>
    <w:rsid w:val="00D040C8"/>
    <w:rsid w:val="00D040E7"/>
    <w:rsid w:val="00D043B4"/>
    <w:rsid w:val="00D04A4D"/>
    <w:rsid w:val="00D04AED"/>
    <w:rsid w:val="00D04CBA"/>
    <w:rsid w:val="00D04D4A"/>
    <w:rsid w:val="00D051FB"/>
    <w:rsid w:val="00D05484"/>
    <w:rsid w:val="00D0559F"/>
    <w:rsid w:val="00D0594F"/>
    <w:rsid w:val="00D05E68"/>
    <w:rsid w:val="00D067BF"/>
    <w:rsid w:val="00D06992"/>
    <w:rsid w:val="00D06E8C"/>
    <w:rsid w:val="00D06F0B"/>
    <w:rsid w:val="00D06F62"/>
    <w:rsid w:val="00D072B9"/>
    <w:rsid w:val="00D072F7"/>
    <w:rsid w:val="00D0737B"/>
    <w:rsid w:val="00D0740B"/>
    <w:rsid w:val="00D07433"/>
    <w:rsid w:val="00D07460"/>
    <w:rsid w:val="00D07681"/>
    <w:rsid w:val="00D07777"/>
    <w:rsid w:val="00D077C5"/>
    <w:rsid w:val="00D077E9"/>
    <w:rsid w:val="00D07898"/>
    <w:rsid w:val="00D07DD3"/>
    <w:rsid w:val="00D10073"/>
    <w:rsid w:val="00D10118"/>
    <w:rsid w:val="00D10130"/>
    <w:rsid w:val="00D10420"/>
    <w:rsid w:val="00D10491"/>
    <w:rsid w:val="00D10898"/>
    <w:rsid w:val="00D10B69"/>
    <w:rsid w:val="00D10C0B"/>
    <w:rsid w:val="00D11195"/>
    <w:rsid w:val="00D11286"/>
    <w:rsid w:val="00D118CA"/>
    <w:rsid w:val="00D11C48"/>
    <w:rsid w:val="00D11DE2"/>
    <w:rsid w:val="00D11E64"/>
    <w:rsid w:val="00D123BD"/>
    <w:rsid w:val="00D125F6"/>
    <w:rsid w:val="00D12739"/>
    <w:rsid w:val="00D1275A"/>
    <w:rsid w:val="00D12B28"/>
    <w:rsid w:val="00D12D29"/>
    <w:rsid w:val="00D12F96"/>
    <w:rsid w:val="00D1313C"/>
    <w:rsid w:val="00D132C1"/>
    <w:rsid w:val="00D135A9"/>
    <w:rsid w:val="00D13667"/>
    <w:rsid w:val="00D1389B"/>
    <w:rsid w:val="00D13DE9"/>
    <w:rsid w:val="00D13E6E"/>
    <w:rsid w:val="00D141FA"/>
    <w:rsid w:val="00D142FF"/>
    <w:rsid w:val="00D14527"/>
    <w:rsid w:val="00D146AA"/>
    <w:rsid w:val="00D14746"/>
    <w:rsid w:val="00D14CBD"/>
    <w:rsid w:val="00D1528E"/>
    <w:rsid w:val="00D152A9"/>
    <w:rsid w:val="00D15908"/>
    <w:rsid w:val="00D15925"/>
    <w:rsid w:val="00D15AF6"/>
    <w:rsid w:val="00D15C65"/>
    <w:rsid w:val="00D163D0"/>
    <w:rsid w:val="00D16563"/>
    <w:rsid w:val="00D167B4"/>
    <w:rsid w:val="00D168F4"/>
    <w:rsid w:val="00D16925"/>
    <w:rsid w:val="00D16EDD"/>
    <w:rsid w:val="00D1701B"/>
    <w:rsid w:val="00D17086"/>
    <w:rsid w:val="00D17344"/>
    <w:rsid w:val="00D17764"/>
    <w:rsid w:val="00D17AA5"/>
    <w:rsid w:val="00D17C81"/>
    <w:rsid w:val="00D207C6"/>
    <w:rsid w:val="00D2099B"/>
    <w:rsid w:val="00D20BB8"/>
    <w:rsid w:val="00D21CE0"/>
    <w:rsid w:val="00D21CEE"/>
    <w:rsid w:val="00D21E5B"/>
    <w:rsid w:val="00D21E80"/>
    <w:rsid w:val="00D21FD1"/>
    <w:rsid w:val="00D220B6"/>
    <w:rsid w:val="00D2260A"/>
    <w:rsid w:val="00D22928"/>
    <w:rsid w:val="00D22FEB"/>
    <w:rsid w:val="00D2328C"/>
    <w:rsid w:val="00D2342B"/>
    <w:rsid w:val="00D23471"/>
    <w:rsid w:val="00D23C50"/>
    <w:rsid w:val="00D24281"/>
    <w:rsid w:val="00D244B1"/>
    <w:rsid w:val="00D249D9"/>
    <w:rsid w:val="00D24A7D"/>
    <w:rsid w:val="00D24B49"/>
    <w:rsid w:val="00D24B5F"/>
    <w:rsid w:val="00D25094"/>
    <w:rsid w:val="00D25432"/>
    <w:rsid w:val="00D25464"/>
    <w:rsid w:val="00D25BD2"/>
    <w:rsid w:val="00D26067"/>
    <w:rsid w:val="00D264FB"/>
    <w:rsid w:val="00D2655B"/>
    <w:rsid w:val="00D2673E"/>
    <w:rsid w:val="00D268FD"/>
    <w:rsid w:val="00D26954"/>
    <w:rsid w:val="00D26F80"/>
    <w:rsid w:val="00D26FD2"/>
    <w:rsid w:val="00D2787A"/>
    <w:rsid w:val="00D27CC2"/>
    <w:rsid w:val="00D27F19"/>
    <w:rsid w:val="00D3007C"/>
    <w:rsid w:val="00D3035D"/>
    <w:rsid w:val="00D30695"/>
    <w:rsid w:val="00D30999"/>
    <w:rsid w:val="00D30CD1"/>
    <w:rsid w:val="00D30F84"/>
    <w:rsid w:val="00D310C5"/>
    <w:rsid w:val="00D316C8"/>
    <w:rsid w:val="00D31D3B"/>
    <w:rsid w:val="00D31FF2"/>
    <w:rsid w:val="00D320B9"/>
    <w:rsid w:val="00D323AD"/>
    <w:rsid w:val="00D328C8"/>
    <w:rsid w:val="00D32A89"/>
    <w:rsid w:val="00D32D7D"/>
    <w:rsid w:val="00D32F77"/>
    <w:rsid w:val="00D33090"/>
    <w:rsid w:val="00D33446"/>
    <w:rsid w:val="00D3348F"/>
    <w:rsid w:val="00D33855"/>
    <w:rsid w:val="00D33909"/>
    <w:rsid w:val="00D33BA8"/>
    <w:rsid w:val="00D341F3"/>
    <w:rsid w:val="00D34C19"/>
    <w:rsid w:val="00D34EF8"/>
    <w:rsid w:val="00D3505C"/>
    <w:rsid w:val="00D3525F"/>
    <w:rsid w:val="00D35717"/>
    <w:rsid w:val="00D3583A"/>
    <w:rsid w:val="00D3583D"/>
    <w:rsid w:val="00D3585B"/>
    <w:rsid w:val="00D359EE"/>
    <w:rsid w:val="00D35BB6"/>
    <w:rsid w:val="00D35BFA"/>
    <w:rsid w:val="00D35D83"/>
    <w:rsid w:val="00D35E49"/>
    <w:rsid w:val="00D361AA"/>
    <w:rsid w:val="00D362AA"/>
    <w:rsid w:val="00D3658E"/>
    <w:rsid w:val="00D36656"/>
    <w:rsid w:val="00D36CD6"/>
    <w:rsid w:val="00D370B5"/>
    <w:rsid w:val="00D372B5"/>
    <w:rsid w:val="00D373FF"/>
    <w:rsid w:val="00D3742D"/>
    <w:rsid w:val="00D37692"/>
    <w:rsid w:val="00D37B16"/>
    <w:rsid w:val="00D37D87"/>
    <w:rsid w:val="00D4022F"/>
    <w:rsid w:val="00D4029A"/>
    <w:rsid w:val="00D4053F"/>
    <w:rsid w:val="00D409E9"/>
    <w:rsid w:val="00D40C8E"/>
    <w:rsid w:val="00D41238"/>
    <w:rsid w:val="00D4134C"/>
    <w:rsid w:val="00D41382"/>
    <w:rsid w:val="00D41457"/>
    <w:rsid w:val="00D416BD"/>
    <w:rsid w:val="00D41CF8"/>
    <w:rsid w:val="00D422B8"/>
    <w:rsid w:val="00D423F8"/>
    <w:rsid w:val="00D42405"/>
    <w:rsid w:val="00D42995"/>
    <w:rsid w:val="00D429A8"/>
    <w:rsid w:val="00D42A69"/>
    <w:rsid w:val="00D42CB7"/>
    <w:rsid w:val="00D42D9A"/>
    <w:rsid w:val="00D42EAD"/>
    <w:rsid w:val="00D42F79"/>
    <w:rsid w:val="00D433B2"/>
    <w:rsid w:val="00D43440"/>
    <w:rsid w:val="00D43937"/>
    <w:rsid w:val="00D43F75"/>
    <w:rsid w:val="00D4462F"/>
    <w:rsid w:val="00D44B6B"/>
    <w:rsid w:val="00D44E76"/>
    <w:rsid w:val="00D452A1"/>
    <w:rsid w:val="00D453E2"/>
    <w:rsid w:val="00D45568"/>
    <w:rsid w:val="00D456C3"/>
    <w:rsid w:val="00D45B2A"/>
    <w:rsid w:val="00D45BBF"/>
    <w:rsid w:val="00D45E02"/>
    <w:rsid w:val="00D45F73"/>
    <w:rsid w:val="00D45FD5"/>
    <w:rsid w:val="00D46231"/>
    <w:rsid w:val="00D46258"/>
    <w:rsid w:val="00D46399"/>
    <w:rsid w:val="00D4738E"/>
    <w:rsid w:val="00D473C4"/>
    <w:rsid w:val="00D47B61"/>
    <w:rsid w:val="00D47BE1"/>
    <w:rsid w:val="00D47C44"/>
    <w:rsid w:val="00D47CB2"/>
    <w:rsid w:val="00D50227"/>
    <w:rsid w:val="00D5062C"/>
    <w:rsid w:val="00D5078F"/>
    <w:rsid w:val="00D509D8"/>
    <w:rsid w:val="00D50C50"/>
    <w:rsid w:val="00D50F53"/>
    <w:rsid w:val="00D511EA"/>
    <w:rsid w:val="00D5154F"/>
    <w:rsid w:val="00D516B0"/>
    <w:rsid w:val="00D51C8B"/>
    <w:rsid w:val="00D5204B"/>
    <w:rsid w:val="00D52560"/>
    <w:rsid w:val="00D529A1"/>
    <w:rsid w:val="00D52AEB"/>
    <w:rsid w:val="00D52B61"/>
    <w:rsid w:val="00D52C18"/>
    <w:rsid w:val="00D5305F"/>
    <w:rsid w:val="00D53075"/>
    <w:rsid w:val="00D53440"/>
    <w:rsid w:val="00D5373F"/>
    <w:rsid w:val="00D53B91"/>
    <w:rsid w:val="00D53DC7"/>
    <w:rsid w:val="00D5413D"/>
    <w:rsid w:val="00D54271"/>
    <w:rsid w:val="00D548CC"/>
    <w:rsid w:val="00D5499B"/>
    <w:rsid w:val="00D54BBD"/>
    <w:rsid w:val="00D54E70"/>
    <w:rsid w:val="00D54F15"/>
    <w:rsid w:val="00D550CD"/>
    <w:rsid w:val="00D55584"/>
    <w:rsid w:val="00D556CE"/>
    <w:rsid w:val="00D55A21"/>
    <w:rsid w:val="00D563CD"/>
    <w:rsid w:val="00D56411"/>
    <w:rsid w:val="00D5655D"/>
    <w:rsid w:val="00D56A61"/>
    <w:rsid w:val="00D570A9"/>
    <w:rsid w:val="00D57137"/>
    <w:rsid w:val="00D571F5"/>
    <w:rsid w:val="00D57CCC"/>
    <w:rsid w:val="00D57CDE"/>
    <w:rsid w:val="00D57E20"/>
    <w:rsid w:val="00D57F5C"/>
    <w:rsid w:val="00D60392"/>
    <w:rsid w:val="00D60A9E"/>
    <w:rsid w:val="00D60F59"/>
    <w:rsid w:val="00D61123"/>
    <w:rsid w:val="00D61237"/>
    <w:rsid w:val="00D61378"/>
    <w:rsid w:val="00D6147A"/>
    <w:rsid w:val="00D61517"/>
    <w:rsid w:val="00D615DF"/>
    <w:rsid w:val="00D61685"/>
    <w:rsid w:val="00D621A2"/>
    <w:rsid w:val="00D628AE"/>
    <w:rsid w:val="00D628D0"/>
    <w:rsid w:val="00D62D3D"/>
    <w:rsid w:val="00D62F7A"/>
    <w:rsid w:val="00D635DE"/>
    <w:rsid w:val="00D63605"/>
    <w:rsid w:val="00D645D5"/>
    <w:rsid w:val="00D64E03"/>
    <w:rsid w:val="00D650ED"/>
    <w:rsid w:val="00D6522D"/>
    <w:rsid w:val="00D65337"/>
    <w:rsid w:val="00D655D9"/>
    <w:rsid w:val="00D6562A"/>
    <w:rsid w:val="00D657C3"/>
    <w:rsid w:val="00D6598B"/>
    <w:rsid w:val="00D65AC9"/>
    <w:rsid w:val="00D65B14"/>
    <w:rsid w:val="00D65DE6"/>
    <w:rsid w:val="00D65E7E"/>
    <w:rsid w:val="00D660DB"/>
    <w:rsid w:val="00D665BA"/>
    <w:rsid w:val="00D668B7"/>
    <w:rsid w:val="00D66D9B"/>
    <w:rsid w:val="00D6709C"/>
    <w:rsid w:val="00D673C7"/>
    <w:rsid w:val="00D676D6"/>
    <w:rsid w:val="00D6781E"/>
    <w:rsid w:val="00D67A8B"/>
    <w:rsid w:val="00D7021A"/>
    <w:rsid w:val="00D703F5"/>
    <w:rsid w:val="00D70743"/>
    <w:rsid w:val="00D70D02"/>
    <w:rsid w:val="00D710D7"/>
    <w:rsid w:val="00D7145A"/>
    <w:rsid w:val="00D71733"/>
    <w:rsid w:val="00D71CB9"/>
    <w:rsid w:val="00D71EA6"/>
    <w:rsid w:val="00D72057"/>
    <w:rsid w:val="00D721B5"/>
    <w:rsid w:val="00D724C0"/>
    <w:rsid w:val="00D7254E"/>
    <w:rsid w:val="00D726A9"/>
    <w:rsid w:val="00D7279A"/>
    <w:rsid w:val="00D72A02"/>
    <w:rsid w:val="00D72A47"/>
    <w:rsid w:val="00D72CFB"/>
    <w:rsid w:val="00D72E34"/>
    <w:rsid w:val="00D72FB9"/>
    <w:rsid w:val="00D733CC"/>
    <w:rsid w:val="00D735B2"/>
    <w:rsid w:val="00D735DC"/>
    <w:rsid w:val="00D73658"/>
    <w:rsid w:val="00D738C1"/>
    <w:rsid w:val="00D73AC5"/>
    <w:rsid w:val="00D73E6B"/>
    <w:rsid w:val="00D7465B"/>
    <w:rsid w:val="00D74C28"/>
    <w:rsid w:val="00D750C1"/>
    <w:rsid w:val="00D7518A"/>
    <w:rsid w:val="00D75421"/>
    <w:rsid w:val="00D75591"/>
    <w:rsid w:val="00D7574D"/>
    <w:rsid w:val="00D757D7"/>
    <w:rsid w:val="00D76070"/>
    <w:rsid w:val="00D7620D"/>
    <w:rsid w:val="00D7626B"/>
    <w:rsid w:val="00D76560"/>
    <w:rsid w:val="00D766A7"/>
    <w:rsid w:val="00D769B1"/>
    <w:rsid w:val="00D76A46"/>
    <w:rsid w:val="00D76B0F"/>
    <w:rsid w:val="00D76BB3"/>
    <w:rsid w:val="00D76E0F"/>
    <w:rsid w:val="00D76EE2"/>
    <w:rsid w:val="00D77064"/>
    <w:rsid w:val="00D770C7"/>
    <w:rsid w:val="00D770F9"/>
    <w:rsid w:val="00D775A2"/>
    <w:rsid w:val="00D776CB"/>
    <w:rsid w:val="00D776FD"/>
    <w:rsid w:val="00D77777"/>
    <w:rsid w:val="00D779CF"/>
    <w:rsid w:val="00D77A55"/>
    <w:rsid w:val="00D77EC6"/>
    <w:rsid w:val="00D8008E"/>
    <w:rsid w:val="00D805C1"/>
    <w:rsid w:val="00D80851"/>
    <w:rsid w:val="00D80C87"/>
    <w:rsid w:val="00D81130"/>
    <w:rsid w:val="00D81353"/>
    <w:rsid w:val="00D81901"/>
    <w:rsid w:val="00D81A42"/>
    <w:rsid w:val="00D82128"/>
    <w:rsid w:val="00D825C9"/>
    <w:rsid w:val="00D8274C"/>
    <w:rsid w:val="00D82875"/>
    <w:rsid w:val="00D829B0"/>
    <w:rsid w:val="00D82CBE"/>
    <w:rsid w:val="00D82E23"/>
    <w:rsid w:val="00D82E7B"/>
    <w:rsid w:val="00D83101"/>
    <w:rsid w:val="00D831EC"/>
    <w:rsid w:val="00D83624"/>
    <w:rsid w:val="00D83DC4"/>
    <w:rsid w:val="00D83E61"/>
    <w:rsid w:val="00D83F86"/>
    <w:rsid w:val="00D840FC"/>
    <w:rsid w:val="00D84139"/>
    <w:rsid w:val="00D8425B"/>
    <w:rsid w:val="00D84C4A"/>
    <w:rsid w:val="00D84E3B"/>
    <w:rsid w:val="00D84FCB"/>
    <w:rsid w:val="00D8503B"/>
    <w:rsid w:val="00D851F3"/>
    <w:rsid w:val="00D856E3"/>
    <w:rsid w:val="00D857C7"/>
    <w:rsid w:val="00D8586D"/>
    <w:rsid w:val="00D858BB"/>
    <w:rsid w:val="00D85AE0"/>
    <w:rsid w:val="00D85C5A"/>
    <w:rsid w:val="00D86090"/>
    <w:rsid w:val="00D8615D"/>
    <w:rsid w:val="00D8642A"/>
    <w:rsid w:val="00D868D7"/>
    <w:rsid w:val="00D86945"/>
    <w:rsid w:val="00D869B2"/>
    <w:rsid w:val="00D86D45"/>
    <w:rsid w:val="00D86D93"/>
    <w:rsid w:val="00D86E84"/>
    <w:rsid w:val="00D86F9F"/>
    <w:rsid w:val="00D877C1"/>
    <w:rsid w:val="00D8786F"/>
    <w:rsid w:val="00D87B31"/>
    <w:rsid w:val="00D87D1C"/>
    <w:rsid w:val="00D87F7D"/>
    <w:rsid w:val="00D87FA0"/>
    <w:rsid w:val="00D90290"/>
    <w:rsid w:val="00D90512"/>
    <w:rsid w:val="00D909BB"/>
    <w:rsid w:val="00D90D54"/>
    <w:rsid w:val="00D90EB9"/>
    <w:rsid w:val="00D9109C"/>
    <w:rsid w:val="00D9169A"/>
    <w:rsid w:val="00D91AC5"/>
    <w:rsid w:val="00D92149"/>
    <w:rsid w:val="00D9251F"/>
    <w:rsid w:val="00D92978"/>
    <w:rsid w:val="00D92993"/>
    <w:rsid w:val="00D92A82"/>
    <w:rsid w:val="00D935AE"/>
    <w:rsid w:val="00D93A40"/>
    <w:rsid w:val="00D93FB4"/>
    <w:rsid w:val="00D94480"/>
    <w:rsid w:val="00D946C0"/>
    <w:rsid w:val="00D946C1"/>
    <w:rsid w:val="00D94CF4"/>
    <w:rsid w:val="00D951B8"/>
    <w:rsid w:val="00D95259"/>
    <w:rsid w:val="00D9525E"/>
    <w:rsid w:val="00D9546B"/>
    <w:rsid w:val="00D95722"/>
    <w:rsid w:val="00D9576C"/>
    <w:rsid w:val="00D95A34"/>
    <w:rsid w:val="00D95E2D"/>
    <w:rsid w:val="00D95F14"/>
    <w:rsid w:val="00D9606E"/>
    <w:rsid w:val="00D963DC"/>
    <w:rsid w:val="00D963EA"/>
    <w:rsid w:val="00D9676C"/>
    <w:rsid w:val="00D96922"/>
    <w:rsid w:val="00D96AF7"/>
    <w:rsid w:val="00D96D0F"/>
    <w:rsid w:val="00D96EF4"/>
    <w:rsid w:val="00D97040"/>
    <w:rsid w:val="00D970C5"/>
    <w:rsid w:val="00D9744C"/>
    <w:rsid w:val="00D97523"/>
    <w:rsid w:val="00D9776D"/>
    <w:rsid w:val="00D9783F"/>
    <w:rsid w:val="00D97C24"/>
    <w:rsid w:val="00D97C68"/>
    <w:rsid w:val="00D97CC2"/>
    <w:rsid w:val="00D97EC0"/>
    <w:rsid w:val="00DA00C5"/>
    <w:rsid w:val="00DA03E9"/>
    <w:rsid w:val="00DA049C"/>
    <w:rsid w:val="00DA05CF"/>
    <w:rsid w:val="00DA0753"/>
    <w:rsid w:val="00DA07B6"/>
    <w:rsid w:val="00DA0882"/>
    <w:rsid w:val="00DA0963"/>
    <w:rsid w:val="00DA0999"/>
    <w:rsid w:val="00DA09CA"/>
    <w:rsid w:val="00DA0B33"/>
    <w:rsid w:val="00DA0CEB"/>
    <w:rsid w:val="00DA0D8B"/>
    <w:rsid w:val="00DA0F5A"/>
    <w:rsid w:val="00DA1327"/>
    <w:rsid w:val="00DA13C8"/>
    <w:rsid w:val="00DA15E2"/>
    <w:rsid w:val="00DA2080"/>
    <w:rsid w:val="00DA21B3"/>
    <w:rsid w:val="00DA2436"/>
    <w:rsid w:val="00DA25DB"/>
    <w:rsid w:val="00DA283E"/>
    <w:rsid w:val="00DA2CB0"/>
    <w:rsid w:val="00DA2D07"/>
    <w:rsid w:val="00DA2D78"/>
    <w:rsid w:val="00DA2DE9"/>
    <w:rsid w:val="00DA3090"/>
    <w:rsid w:val="00DA3271"/>
    <w:rsid w:val="00DA3282"/>
    <w:rsid w:val="00DA329C"/>
    <w:rsid w:val="00DA3538"/>
    <w:rsid w:val="00DA361F"/>
    <w:rsid w:val="00DA3669"/>
    <w:rsid w:val="00DA3706"/>
    <w:rsid w:val="00DA372A"/>
    <w:rsid w:val="00DA37BB"/>
    <w:rsid w:val="00DA3C60"/>
    <w:rsid w:val="00DA41DD"/>
    <w:rsid w:val="00DA4323"/>
    <w:rsid w:val="00DA4763"/>
    <w:rsid w:val="00DA4B13"/>
    <w:rsid w:val="00DA4B24"/>
    <w:rsid w:val="00DA4C77"/>
    <w:rsid w:val="00DA4DF5"/>
    <w:rsid w:val="00DA5081"/>
    <w:rsid w:val="00DA53ED"/>
    <w:rsid w:val="00DA55C9"/>
    <w:rsid w:val="00DA5780"/>
    <w:rsid w:val="00DA5CCC"/>
    <w:rsid w:val="00DA5EFC"/>
    <w:rsid w:val="00DA6AED"/>
    <w:rsid w:val="00DA6DC7"/>
    <w:rsid w:val="00DA70A5"/>
    <w:rsid w:val="00DA78C7"/>
    <w:rsid w:val="00DA7A6C"/>
    <w:rsid w:val="00DA7C9C"/>
    <w:rsid w:val="00DA7D76"/>
    <w:rsid w:val="00DA7E4D"/>
    <w:rsid w:val="00DB0089"/>
    <w:rsid w:val="00DB047E"/>
    <w:rsid w:val="00DB08CB"/>
    <w:rsid w:val="00DB0A87"/>
    <w:rsid w:val="00DB0D50"/>
    <w:rsid w:val="00DB10FA"/>
    <w:rsid w:val="00DB1531"/>
    <w:rsid w:val="00DB18E1"/>
    <w:rsid w:val="00DB1998"/>
    <w:rsid w:val="00DB2199"/>
    <w:rsid w:val="00DB25AF"/>
    <w:rsid w:val="00DB2794"/>
    <w:rsid w:val="00DB319B"/>
    <w:rsid w:val="00DB3275"/>
    <w:rsid w:val="00DB3331"/>
    <w:rsid w:val="00DB33E8"/>
    <w:rsid w:val="00DB3799"/>
    <w:rsid w:val="00DB3811"/>
    <w:rsid w:val="00DB3C41"/>
    <w:rsid w:val="00DB4395"/>
    <w:rsid w:val="00DB468C"/>
    <w:rsid w:val="00DB4B36"/>
    <w:rsid w:val="00DB4BB4"/>
    <w:rsid w:val="00DB4E26"/>
    <w:rsid w:val="00DB4E79"/>
    <w:rsid w:val="00DB4F7F"/>
    <w:rsid w:val="00DB51E5"/>
    <w:rsid w:val="00DB524D"/>
    <w:rsid w:val="00DB55A8"/>
    <w:rsid w:val="00DB5A8F"/>
    <w:rsid w:val="00DB5AF7"/>
    <w:rsid w:val="00DB5D73"/>
    <w:rsid w:val="00DB619E"/>
    <w:rsid w:val="00DB639C"/>
    <w:rsid w:val="00DB6476"/>
    <w:rsid w:val="00DB649A"/>
    <w:rsid w:val="00DB6A52"/>
    <w:rsid w:val="00DB7565"/>
    <w:rsid w:val="00DB7596"/>
    <w:rsid w:val="00DB7B7B"/>
    <w:rsid w:val="00DB7D86"/>
    <w:rsid w:val="00DB7E30"/>
    <w:rsid w:val="00DC0017"/>
    <w:rsid w:val="00DC0039"/>
    <w:rsid w:val="00DC00FD"/>
    <w:rsid w:val="00DC062F"/>
    <w:rsid w:val="00DC0747"/>
    <w:rsid w:val="00DC08D8"/>
    <w:rsid w:val="00DC0A88"/>
    <w:rsid w:val="00DC0B39"/>
    <w:rsid w:val="00DC0D66"/>
    <w:rsid w:val="00DC10ED"/>
    <w:rsid w:val="00DC13F8"/>
    <w:rsid w:val="00DC15CA"/>
    <w:rsid w:val="00DC19DF"/>
    <w:rsid w:val="00DC1A21"/>
    <w:rsid w:val="00DC225A"/>
    <w:rsid w:val="00DC23E2"/>
    <w:rsid w:val="00DC2648"/>
    <w:rsid w:val="00DC27EB"/>
    <w:rsid w:val="00DC289A"/>
    <w:rsid w:val="00DC28D5"/>
    <w:rsid w:val="00DC2B33"/>
    <w:rsid w:val="00DC2CE8"/>
    <w:rsid w:val="00DC3157"/>
    <w:rsid w:val="00DC36AF"/>
    <w:rsid w:val="00DC3767"/>
    <w:rsid w:val="00DC3A15"/>
    <w:rsid w:val="00DC3BBF"/>
    <w:rsid w:val="00DC40CD"/>
    <w:rsid w:val="00DC4759"/>
    <w:rsid w:val="00DC47EE"/>
    <w:rsid w:val="00DC4997"/>
    <w:rsid w:val="00DC49BC"/>
    <w:rsid w:val="00DC4AC0"/>
    <w:rsid w:val="00DC4D0D"/>
    <w:rsid w:val="00DC4E1B"/>
    <w:rsid w:val="00DC51F9"/>
    <w:rsid w:val="00DC5642"/>
    <w:rsid w:val="00DC5AF9"/>
    <w:rsid w:val="00DC5E66"/>
    <w:rsid w:val="00DC5E80"/>
    <w:rsid w:val="00DC6072"/>
    <w:rsid w:val="00DC65D1"/>
    <w:rsid w:val="00DC6910"/>
    <w:rsid w:val="00DC69B8"/>
    <w:rsid w:val="00DC6A2F"/>
    <w:rsid w:val="00DC7080"/>
    <w:rsid w:val="00DC724C"/>
    <w:rsid w:val="00DC7461"/>
    <w:rsid w:val="00DC7525"/>
    <w:rsid w:val="00DC7F7A"/>
    <w:rsid w:val="00DD0114"/>
    <w:rsid w:val="00DD0736"/>
    <w:rsid w:val="00DD07CA"/>
    <w:rsid w:val="00DD0F27"/>
    <w:rsid w:val="00DD1451"/>
    <w:rsid w:val="00DD152F"/>
    <w:rsid w:val="00DD1826"/>
    <w:rsid w:val="00DD1890"/>
    <w:rsid w:val="00DD1FFF"/>
    <w:rsid w:val="00DD222A"/>
    <w:rsid w:val="00DD2488"/>
    <w:rsid w:val="00DD26BE"/>
    <w:rsid w:val="00DD2A46"/>
    <w:rsid w:val="00DD34DE"/>
    <w:rsid w:val="00DD4123"/>
    <w:rsid w:val="00DD4800"/>
    <w:rsid w:val="00DD489C"/>
    <w:rsid w:val="00DD4BBB"/>
    <w:rsid w:val="00DD4C1F"/>
    <w:rsid w:val="00DD5413"/>
    <w:rsid w:val="00DD5499"/>
    <w:rsid w:val="00DD59E1"/>
    <w:rsid w:val="00DD5A1A"/>
    <w:rsid w:val="00DD5B6C"/>
    <w:rsid w:val="00DD5EAB"/>
    <w:rsid w:val="00DD5F8E"/>
    <w:rsid w:val="00DD5FE4"/>
    <w:rsid w:val="00DD694B"/>
    <w:rsid w:val="00DD6B88"/>
    <w:rsid w:val="00DD6C4A"/>
    <w:rsid w:val="00DD6CA1"/>
    <w:rsid w:val="00DD6D79"/>
    <w:rsid w:val="00DD7047"/>
    <w:rsid w:val="00DD71CB"/>
    <w:rsid w:val="00DD780C"/>
    <w:rsid w:val="00DD79CD"/>
    <w:rsid w:val="00DD7D72"/>
    <w:rsid w:val="00DD7FC1"/>
    <w:rsid w:val="00DE0327"/>
    <w:rsid w:val="00DE0361"/>
    <w:rsid w:val="00DE03CE"/>
    <w:rsid w:val="00DE06B7"/>
    <w:rsid w:val="00DE09AD"/>
    <w:rsid w:val="00DE0B35"/>
    <w:rsid w:val="00DE0FA5"/>
    <w:rsid w:val="00DE0FDA"/>
    <w:rsid w:val="00DE114C"/>
    <w:rsid w:val="00DE1259"/>
    <w:rsid w:val="00DE1310"/>
    <w:rsid w:val="00DE144C"/>
    <w:rsid w:val="00DE1A4D"/>
    <w:rsid w:val="00DE1D19"/>
    <w:rsid w:val="00DE1E50"/>
    <w:rsid w:val="00DE213F"/>
    <w:rsid w:val="00DE24DD"/>
    <w:rsid w:val="00DE279D"/>
    <w:rsid w:val="00DE2D38"/>
    <w:rsid w:val="00DE3AF8"/>
    <w:rsid w:val="00DE3B62"/>
    <w:rsid w:val="00DE3BF7"/>
    <w:rsid w:val="00DE3E5C"/>
    <w:rsid w:val="00DE3EDD"/>
    <w:rsid w:val="00DE44CD"/>
    <w:rsid w:val="00DE44D2"/>
    <w:rsid w:val="00DE4920"/>
    <w:rsid w:val="00DE4BE5"/>
    <w:rsid w:val="00DE4C4F"/>
    <w:rsid w:val="00DE4E63"/>
    <w:rsid w:val="00DE5111"/>
    <w:rsid w:val="00DE518C"/>
    <w:rsid w:val="00DE58A1"/>
    <w:rsid w:val="00DE592A"/>
    <w:rsid w:val="00DE5CD0"/>
    <w:rsid w:val="00DE5DF8"/>
    <w:rsid w:val="00DE6345"/>
    <w:rsid w:val="00DE639D"/>
    <w:rsid w:val="00DE64A5"/>
    <w:rsid w:val="00DE670B"/>
    <w:rsid w:val="00DE6B1E"/>
    <w:rsid w:val="00DE6BDC"/>
    <w:rsid w:val="00DE6CCC"/>
    <w:rsid w:val="00DE6CD4"/>
    <w:rsid w:val="00DE7059"/>
    <w:rsid w:val="00DE7447"/>
    <w:rsid w:val="00DE78C0"/>
    <w:rsid w:val="00DE7918"/>
    <w:rsid w:val="00DE7929"/>
    <w:rsid w:val="00DE7AD0"/>
    <w:rsid w:val="00DE7DBF"/>
    <w:rsid w:val="00DF0135"/>
    <w:rsid w:val="00DF024B"/>
    <w:rsid w:val="00DF027C"/>
    <w:rsid w:val="00DF03A3"/>
    <w:rsid w:val="00DF03F7"/>
    <w:rsid w:val="00DF0402"/>
    <w:rsid w:val="00DF0420"/>
    <w:rsid w:val="00DF056A"/>
    <w:rsid w:val="00DF05E3"/>
    <w:rsid w:val="00DF0A02"/>
    <w:rsid w:val="00DF103D"/>
    <w:rsid w:val="00DF127F"/>
    <w:rsid w:val="00DF12BA"/>
    <w:rsid w:val="00DF16A4"/>
    <w:rsid w:val="00DF1729"/>
    <w:rsid w:val="00DF1850"/>
    <w:rsid w:val="00DF1964"/>
    <w:rsid w:val="00DF1BC9"/>
    <w:rsid w:val="00DF1C62"/>
    <w:rsid w:val="00DF1CAC"/>
    <w:rsid w:val="00DF2C5D"/>
    <w:rsid w:val="00DF301A"/>
    <w:rsid w:val="00DF33D4"/>
    <w:rsid w:val="00DF37E8"/>
    <w:rsid w:val="00DF3880"/>
    <w:rsid w:val="00DF3938"/>
    <w:rsid w:val="00DF39DC"/>
    <w:rsid w:val="00DF3B22"/>
    <w:rsid w:val="00DF3F24"/>
    <w:rsid w:val="00DF3F5E"/>
    <w:rsid w:val="00DF438D"/>
    <w:rsid w:val="00DF44AD"/>
    <w:rsid w:val="00DF4574"/>
    <w:rsid w:val="00DF4917"/>
    <w:rsid w:val="00DF4A4D"/>
    <w:rsid w:val="00DF4CB2"/>
    <w:rsid w:val="00DF4D08"/>
    <w:rsid w:val="00DF4D2C"/>
    <w:rsid w:val="00DF4E05"/>
    <w:rsid w:val="00DF53E4"/>
    <w:rsid w:val="00DF55AA"/>
    <w:rsid w:val="00DF5B0F"/>
    <w:rsid w:val="00DF6490"/>
    <w:rsid w:val="00DF6B5C"/>
    <w:rsid w:val="00DF6BE7"/>
    <w:rsid w:val="00DF6CA3"/>
    <w:rsid w:val="00DF7241"/>
    <w:rsid w:val="00DF7326"/>
    <w:rsid w:val="00DF7540"/>
    <w:rsid w:val="00DF7596"/>
    <w:rsid w:val="00DF7C76"/>
    <w:rsid w:val="00DF7FFC"/>
    <w:rsid w:val="00E000D1"/>
    <w:rsid w:val="00E00A32"/>
    <w:rsid w:val="00E01008"/>
    <w:rsid w:val="00E01227"/>
    <w:rsid w:val="00E01465"/>
    <w:rsid w:val="00E01733"/>
    <w:rsid w:val="00E01B57"/>
    <w:rsid w:val="00E02078"/>
    <w:rsid w:val="00E020D3"/>
    <w:rsid w:val="00E02147"/>
    <w:rsid w:val="00E021AE"/>
    <w:rsid w:val="00E02229"/>
    <w:rsid w:val="00E0257F"/>
    <w:rsid w:val="00E0263A"/>
    <w:rsid w:val="00E0284D"/>
    <w:rsid w:val="00E02A96"/>
    <w:rsid w:val="00E02E09"/>
    <w:rsid w:val="00E02E5D"/>
    <w:rsid w:val="00E03112"/>
    <w:rsid w:val="00E036F5"/>
    <w:rsid w:val="00E0373C"/>
    <w:rsid w:val="00E03A4C"/>
    <w:rsid w:val="00E03AEA"/>
    <w:rsid w:val="00E03F9C"/>
    <w:rsid w:val="00E040B7"/>
    <w:rsid w:val="00E04122"/>
    <w:rsid w:val="00E04154"/>
    <w:rsid w:val="00E04926"/>
    <w:rsid w:val="00E0493C"/>
    <w:rsid w:val="00E04D25"/>
    <w:rsid w:val="00E0528A"/>
    <w:rsid w:val="00E053CC"/>
    <w:rsid w:val="00E05697"/>
    <w:rsid w:val="00E057C4"/>
    <w:rsid w:val="00E05D00"/>
    <w:rsid w:val="00E05EF1"/>
    <w:rsid w:val="00E0652D"/>
    <w:rsid w:val="00E06870"/>
    <w:rsid w:val="00E06935"/>
    <w:rsid w:val="00E06BE1"/>
    <w:rsid w:val="00E06C87"/>
    <w:rsid w:val="00E06ED6"/>
    <w:rsid w:val="00E07190"/>
    <w:rsid w:val="00E0748D"/>
    <w:rsid w:val="00E07660"/>
    <w:rsid w:val="00E0766F"/>
    <w:rsid w:val="00E078A2"/>
    <w:rsid w:val="00E079F0"/>
    <w:rsid w:val="00E07A1D"/>
    <w:rsid w:val="00E07AB2"/>
    <w:rsid w:val="00E07BEA"/>
    <w:rsid w:val="00E07C3F"/>
    <w:rsid w:val="00E10777"/>
    <w:rsid w:val="00E10CCC"/>
    <w:rsid w:val="00E10D44"/>
    <w:rsid w:val="00E110D8"/>
    <w:rsid w:val="00E1166C"/>
    <w:rsid w:val="00E116B5"/>
    <w:rsid w:val="00E1170A"/>
    <w:rsid w:val="00E11ABF"/>
    <w:rsid w:val="00E122EA"/>
    <w:rsid w:val="00E124AA"/>
    <w:rsid w:val="00E124DF"/>
    <w:rsid w:val="00E12774"/>
    <w:rsid w:val="00E12DFB"/>
    <w:rsid w:val="00E130DF"/>
    <w:rsid w:val="00E13414"/>
    <w:rsid w:val="00E13599"/>
    <w:rsid w:val="00E135C1"/>
    <w:rsid w:val="00E138EB"/>
    <w:rsid w:val="00E13B24"/>
    <w:rsid w:val="00E13BA1"/>
    <w:rsid w:val="00E13FCA"/>
    <w:rsid w:val="00E140A7"/>
    <w:rsid w:val="00E1423C"/>
    <w:rsid w:val="00E14403"/>
    <w:rsid w:val="00E1459F"/>
    <w:rsid w:val="00E145F6"/>
    <w:rsid w:val="00E14604"/>
    <w:rsid w:val="00E147EB"/>
    <w:rsid w:val="00E1485D"/>
    <w:rsid w:val="00E14978"/>
    <w:rsid w:val="00E149BC"/>
    <w:rsid w:val="00E149BF"/>
    <w:rsid w:val="00E14A7F"/>
    <w:rsid w:val="00E14A8C"/>
    <w:rsid w:val="00E14BF5"/>
    <w:rsid w:val="00E14E96"/>
    <w:rsid w:val="00E150E8"/>
    <w:rsid w:val="00E15199"/>
    <w:rsid w:val="00E154A3"/>
    <w:rsid w:val="00E154DC"/>
    <w:rsid w:val="00E157C9"/>
    <w:rsid w:val="00E15840"/>
    <w:rsid w:val="00E15AA6"/>
    <w:rsid w:val="00E15E49"/>
    <w:rsid w:val="00E15FD3"/>
    <w:rsid w:val="00E1614A"/>
    <w:rsid w:val="00E1638D"/>
    <w:rsid w:val="00E16B1F"/>
    <w:rsid w:val="00E16E8F"/>
    <w:rsid w:val="00E17287"/>
    <w:rsid w:val="00E17CD1"/>
    <w:rsid w:val="00E17D56"/>
    <w:rsid w:val="00E20037"/>
    <w:rsid w:val="00E20352"/>
    <w:rsid w:val="00E208E8"/>
    <w:rsid w:val="00E2094A"/>
    <w:rsid w:val="00E20D59"/>
    <w:rsid w:val="00E21465"/>
    <w:rsid w:val="00E214B7"/>
    <w:rsid w:val="00E2165E"/>
    <w:rsid w:val="00E2184C"/>
    <w:rsid w:val="00E21DB0"/>
    <w:rsid w:val="00E21E57"/>
    <w:rsid w:val="00E21E92"/>
    <w:rsid w:val="00E22203"/>
    <w:rsid w:val="00E22255"/>
    <w:rsid w:val="00E22329"/>
    <w:rsid w:val="00E2238B"/>
    <w:rsid w:val="00E22455"/>
    <w:rsid w:val="00E2266A"/>
    <w:rsid w:val="00E227F8"/>
    <w:rsid w:val="00E22873"/>
    <w:rsid w:val="00E22ACD"/>
    <w:rsid w:val="00E22B93"/>
    <w:rsid w:val="00E22ECD"/>
    <w:rsid w:val="00E22EE6"/>
    <w:rsid w:val="00E22F8C"/>
    <w:rsid w:val="00E22F91"/>
    <w:rsid w:val="00E22FB9"/>
    <w:rsid w:val="00E2308E"/>
    <w:rsid w:val="00E230C5"/>
    <w:rsid w:val="00E232C2"/>
    <w:rsid w:val="00E23586"/>
    <w:rsid w:val="00E2365F"/>
    <w:rsid w:val="00E23B52"/>
    <w:rsid w:val="00E23D42"/>
    <w:rsid w:val="00E23D98"/>
    <w:rsid w:val="00E2400F"/>
    <w:rsid w:val="00E24170"/>
    <w:rsid w:val="00E24290"/>
    <w:rsid w:val="00E24317"/>
    <w:rsid w:val="00E243CA"/>
    <w:rsid w:val="00E24A0F"/>
    <w:rsid w:val="00E24C0F"/>
    <w:rsid w:val="00E24CB9"/>
    <w:rsid w:val="00E24F02"/>
    <w:rsid w:val="00E24F39"/>
    <w:rsid w:val="00E25433"/>
    <w:rsid w:val="00E255BA"/>
    <w:rsid w:val="00E25623"/>
    <w:rsid w:val="00E25798"/>
    <w:rsid w:val="00E25839"/>
    <w:rsid w:val="00E259BA"/>
    <w:rsid w:val="00E25DB8"/>
    <w:rsid w:val="00E25DE3"/>
    <w:rsid w:val="00E2604D"/>
    <w:rsid w:val="00E2617A"/>
    <w:rsid w:val="00E26421"/>
    <w:rsid w:val="00E2664B"/>
    <w:rsid w:val="00E269A2"/>
    <w:rsid w:val="00E26A9F"/>
    <w:rsid w:val="00E26D0C"/>
    <w:rsid w:val="00E2701E"/>
    <w:rsid w:val="00E2732B"/>
    <w:rsid w:val="00E27A32"/>
    <w:rsid w:val="00E27AEF"/>
    <w:rsid w:val="00E30238"/>
    <w:rsid w:val="00E30310"/>
    <w:rsid w:val="00E30342"/>
    <w:rsid w:val="00E30465"/>
    <w:rsid w:val="00E3050A"/>
    <w:rsid w:val="00E305A8"/>
    <w:rsid w:val="00E3063F"/>
    <w:rsid w:val="00E30C3F"/>
    <w:rsid w:val="00E314A2"/>
    <w:rsid w:val="00E31676"/>
    <w:rsid w:val="00E316D8"/>
    <w:rsid w:val="00E319CF"/>
    <w:rsid w:val="00E3264E"/>
    <w:rsid w:val="00E3268C"/>
    <w:rsid w:val="00E32A3B"/>
    <w:rsid w:val="00E32B1E"/>
    <w:rsid w:val="00E33342"/>
    <w:rsid w:val="00E33353"/>
    <w:rsid w:val="00E342CA"/>
    <w:rsid w:val="00E342D9"/>
    <w:rsid w:val="00E3488A"/>
    <w:rsid w:val="00E34943"/>
    <w:rsid w:val="00E34944"/>
    <w:rsid w:val="00E34ED0"/>
    <w:rsid w:val="00E34F87"/>
    <w:rsid w:val="00E35145"/>
    <w:rsid w:val="00E357A7"/>
    <w:rsid w:val="00E359BA"/>
    <w:rsid w:val="00E35B85"/>
    <w:rsid w:val="00E35CB1"/>
    <w:rsid w:val="00E360A9"/>
    <w:rsid w:val="00E362A0"/>
    <w:rsid w:val="00E364F4"/>
    <w:rsid w:val="00E36567"/>
    <w:rsid w:val="00E367C8"/>
    <w:rsid w:val="00E36B96"/>
    <w:rsid w:val="00E37168"/>
    <w:rsid w:val="00E37265"/>
    <w:rsid w:val="00E376D6"/>
    <w:rsid w:val="00E4085A"/>
    <w:rsid w:val="00E409D1"/>
    <w:rsid w:val="00E40AD6"/>
    <w:rsid w:val="00E40BFA"/>
    <w:rsid w:val="00E40D4D"/>
    <w:rsid w:val="00E41585"/>
    <w:rsid w:val="00E41B9B"/>
    <w:rsid w:val="00E41E91"/>
    <w:rsid w:val="00E41F80"/>
    <w:rsid w:val="00E4278C"/>
    <w:rsid w:val="00E429D4"/>
    <w:rsid w:val="00E42B3E"/>
    <w:rsid w:val="00E430FE"/>
    <w:rsid w:val="00E43297"/>
    <w:rsid w:val="00E4332E"/>
    <w:rsid w:val="00E43350"/>
    <w:rsid w:val="00E435BE"/>
    <w:rsid w:val="00E4370B"/>
    <w:rsid w:val="00E43C3A"/>
    <w:rsid w:val="00E44465"/>
    <w:rsid w:val="00E447CA"/>
    <w:rsid w:val="00E44935"/>
    <w:rsid w:val="00E449AA"/>
    <w:rsid w:val="00E44EB3"/>
    <w:rsid w:val="00E450AA"/>
    <w:rsid w:val="00E45283"/>
    <w:rsid w:val="00E452CA"/>
    <w:rsid w:val="00E4535D"/>
    <w:rsid w:val="00E45524"/>
    <w:rsid w:val="00E458DC"/>
    <w:rsid w:val="00E462D2"/>
    <w:rsid w:val="00E4648E"/>
    <w:rsid w:val="00E465E6"/>
    <w:rsid w:val="00E466B9"/>
    <w:rsid w:val="00E4684C"/>
    <w:rsid w:val="00E4696B"/>
    <w:rsid w:val="00E469C9"/>
    <w:rsid w:val="00E46A56"/>
    <w:rsid w:val="00E46ABF"/>
    <w:rsid w:val="00E46D8B"/>
    <w:rsid w:val="00E46EAA"/>
    <w:rsid w:val="00E46F20"/>
    <w:rsid w:val="00E46F7A"/>
    <w:rsid w:val="00E476E6"/>
    <w:rsid w:val="00E47AB5"/>
    <w:rsid w:val="00E47B94"/>
    <w:rsid w:val="00E47C0C"/>
    <w:rsid w:val="00E47C6A"/>
    <w:rsid w:val="00E47E62"/>
    <w:rsid w:val="00E47F80"/>
    <w:rsid w:val="00E5009C"/>
    <w:rsid w:val="00E50467"/>
    <w:rsid w:val="00E509D0"/>
    <w:rsid w:val="00E50B40"/>
    <w:rsid w:val="00E50EBD"/>
    <w:rsid w:val="00E51706"/>
    <w:rsid w:val="00E518E7"/>
    <w:rsid w:val="00E51FFB"/>
    <w:rsid w:val="00E522CD"/>
    <w:rsid w:val="00E52630"/>
    <w:rsid w:val="00E52DC9"/>
    <w:rsid w:val="00E52EA7"/>
    <w:rsid w:val="00E533E0"/>
    <w:rsid w:val="00E5368F"/>
    <w:rsid w:val="00E5378A"/>
    <w:rsid w:val="00E537B4"/>
    <w:rsid w:val="00E537D5"/>
    <w:rsid w:val="00E540F5"/>
    <w:rsid w:val="00E541F9"/>
    <w:rsid w:val="00E54380"/>
    <w:rsid w:val="00E5486F"/>
    <w:rsid w:val="00E549F0"/>
    <w:rsid w:val="00E54A77"/>
    <w:rsid w:val="00E54F9F"/>
    <w:rsid w:val="00E551C2"/>
    <w:rsid w:val="00E552A3"/>
    <w:rsid w:val="00E5531A"/>
    <w:rsid w:val="00E553EA"/>
    <w:rsid w:val="00E55643"/>
    <w:rsid w:val="00E55F4B"/>
    <w:rsid w:val="00E5601C"/>
    <w:rsid w:val="00E56411"/>
    <w:rsid w:val="00E566D3"/>
    <w:rsid w:val="00E56887"/>
    <w:rsid w:val="00E5692E"/>
    <w:rsid w:val="00E5696B"/>
    <w:rsid w:val="00E569BF"/>
    <w:rsid w:val="00E56BDE"/>
    <w:rsid w:val="00E56F7D"/>
    <w:rsid w:val="00E5712B"/>
    <w:rsid w:val="00E572EC"/>
    <w:rsid w:val="00E57A51"/>
    <w:rsid w:val="00E57D7B"/>
    <w:rsid w:val="00E60320"/>
    <w:rsid w:val="00E60473"/>
    <w:rsid w:val="00E6070F"/>
    <w:rsid w:val="00E60926"/>
    <w:rsid w:val="00E60B9B"/>
    <w:rsid w:val="00E60C35"/>
    <w:rsid w:val="00E60DF3"/>
    <w:rsid w:val="00E61534"/>
    <w:rsid w:val="00E61DC4"/>
    <w:rsid w:val="00E620B0"/>
    <w:rsid w:val="00E621E3"/>
    <w:rsid w:val="00E626BF"/>
    <w:rsid w:val="00E62B8B"/>
    <w:rsid w:val="00E6302B"/>
    <w:rsid w:val="00E630AD"/>
    <w:rsid w:val="00E637E0"/>
    <w:rsid w:val="00E638F3"/>
    <w:rsid w:val="00E6398D"/>
    <w:rsid w:val="00E63AB3"/>
    <w:rsid w:val="00E63AF7"/>
    <w:rsid w:val="00E63C74"/>
    <w:rsid w:val="00E63F4F"/>
    <w:rsid w:val="00E63FB9"/>
    <w:rsid w:val="00E64036"/>
    <w:rsid w:val="00E64072"/>
    <w:rsid w:val="00E64269"/>
    <w:rsid w:val="00E6457E"/>
    <w:rsid w:val="00E64D70"/>
    <w:rsid w:val="00E64F11"/>
    <w:rsid w:val="00E64FF1"/>
    <w:rsid w:val="00E651EC"/>
    <w:rsid w:val="00E658CA"/>
    <w:rsid w:val="00E6644C"/>
    <w:rsid w:val="00E669E4"/>
    <w:rsid w:val="00E67313"/>
    <w:rsid w:val="00E674BE"/>
    <w:rsid w:val="00E6773C"/>
    <w:rsid w:val="00E677D4"/>
    <w:rsid w:val="00E67932"/>
    <w:rsid w:val="00E67C52"/>
    <w:rsid w:val="00E67F7F"/>
    <w:rsid w:val="00E70316"/>
    <w:rsid w:val="00E707F4"/>
    <w:rsid w:val="00E709A1"/>
    <w:rsid w:val="00E71436"/>
    <w:rsid w:val="00E722A1"/>
    <w:rsid w:val="00E72393"/>
    <w:rsid w:val="00E723D5"/>
    <w:rsid w:val="00E72BFB"/>
    <w:rsid w:val="00E7324E"/>
    <w:rsid w:val="00E73933"/>
    <w:rsid w:val="00E73B95"/>
    <w:rsid w:val="00E74521"/>
    <w:rsid w:val="00E74776"/>
    <w:rsid w:val="00E747ED"/>
    <w:rsid w:val="00E74833"/>
    <w:rsid w:val="00E749B9"/>
    <w:rsid w:val="00E74B5C"/>
    <w:rsid w:val="00E74FC8"/>
    <w:rsid w:val="00E75195"/>
    <w:rsid w:val="00E751A9"/>
    <w:rsid w:val="00E752F0"/>
    <w:rsid w:val="00E755E9"/>
    <w:rsid w:val="00E75884"/>
    <w:rsid w:val="00E75973"/>
    <w:rsid w:val="00E7631E"/>
    <w:rsid w:val="00E76375"/>
    <w:rsid w:val="00E764CA"/>
    <w:rsid w:val="00E76659"/>
    <w:rsid w:val="00E76F3D"/>
    <w:rsid w:val="00E77795"/>
    <w:rsid w:val="00E77A25"/>
    <w:rsid w:val="00E77E09"/>
    <w:rsid w:val="00E77E6B"/>
    <w:rsid w:val="00E800C3"/>
    <w:rsid w:val="00E80611"/>
    <w:rsid w:val="00E80750"/>
    <w:rsid w:val="00E80FE0"/>
    <w:rsid w:val="00E80FE8"/>
    <w:rsid w:val="00E811D6"/>
    <w:rsid w:val="00E81279"/>
    <w:rsid w:val="00E8168B"/>
    <w:rsid w:val="00E816B8"/>
    <w:rsid w:val="00E81B40"/>
    <w:rsid w:val="00E823A6"/>
    <w:rsid w:val="00E82572"/>
    <w:rsid w:val="00E8263A"/>
    <w:rsid w:val="00E82A81"/>
    <w:rsid w:val="00E82B6F"/>
    <w:rsid w:val="00E82DE9"/>
    <w:rsid w:val="00E82F07"/>
    <w:rsid w:val="00E830B9"/>
    <w:rsid w:val="00E83214"/>
    <w:rsid w:val="00E836DC"/>
    <w:rsid w:val="00E83984"/>
    <w:rsid w:val="00E83B4E"/>
    <w:rsid w:val="00E8410B"/>
    <w:rsid w:val="00E84246"/>
    <w:rsid w:val="00E84350"/>
    <w:rsid w:val="00E845A3"/>
    <w:rsid w:val="00E84796"/>
    <w:rsid w:val="00E84A61"/>
    <w:rsid w:val="00E84AF1"/>
    <w:rsid w:val="00E84E43"/>
    <w:rsid w:val="00E8503C"/>
    <w:rsid w:val="00E853DD"/>
    <w:rsid w:val="00E8559C"/>
    <w:rsid w:val="00E85920"/>
    <w:rsid w:val="00E877B6"/>
    <w:rsid w:val="00E90139"/>
    <w:rsid w:val="00E90F68"/>
    <w:rsid w:val="00E910C0"/>
    <w:rsid w:val="00E9133A"/>
    <w:rsid w:val="00E913AE"/>
    <w:rsid w:val="00E913C7"/>
    <w:rsid w:val="00E9187B"/>
    <w:rsid w:val="00E9196D"/>
    <w:rsid w:val="00E91B78"/>
    <w:rsid w:val="00E9200E"/>
    <w:rsid w:val="00E92025"/>
    <w:rsid w:val="00E92191"/>
    <w:rsid w:val="00E9246A"/>
    <w:rsid w:val="00E924F0"/>
    <w:rsid w:val="00E92512"/>
    <w:rsid w:val="00E928B7"/>
    <w:rsid w:val="00E92E90"/>
    <w:rsid w:val="00E93002"/>
    <w:rsid w:val="00E93291"/>
    <w:rsid w:val="00E93AC7"/>
    <w:rsid w:val="00E93D8D"/>
    <w:rsid w:val="00E93FD9"/>
    <w:rsid w:val="00E94091"/>
    <w:rsid w:val="00E9409C"/>
    <w:rsid w:val="00E940AD"/>
    <w:rsid w:val="00E942CE"/>
    <w:rsid w:val="00E94301"/>
    <w:rsid w:val="00E946DF"/>
    <w:rsid w:val="00E94A6A"/>
    <w:rsid w:val="00E94E02"/>
    <w:rsid w:val="00E950FB"/>
    <w:rsid w:val="00E95146"/>
    <w:rsid w:val="00E952DF"/>
    <w:rsid w:val="00E9533F"/>
    <w:rsid w:val="00E953C7"/>
    <w:rsid w:val="00E95554"/>
    <w:rsid w:val="00E958F9"/>
    <w:rsid w:val="00E95A73"/>
    <w:rsid w:val="00E96010"/>
    <w:rsid w:val="00E96163"/>
    <w:rsid w:val="00E9642B"/>
    <w:rsid w:val="00E966F7"/>
    <w:rsid w:val="00E968EA"/>
    <w:rsid w:val="00E96B27"/>
    <w:rsid w:val="00E96BED"/>
    <w:rsid w:val="00E96DC2"/>
    <w:rsid w:val="00E974CC"/>
    <w:rsid w:val="00E979FA"/>
    <w:rsid w:val="00E97E5B"/>
    <w:rsid w:val="00EA02FC"/>
    <w:rsid w:val="00EA04E3"/>
    <w:rsid w:val="00EA0A3A"/>
    <w:rsid w:val="00EA0CFE"/>
    <w:rsid w:val="00EA0F5F"/>
    <w:rsid w:val="00EA1318"/>
    <w:rsid w:val="00EA163D"/>
    <w:rsid w:val="00EA1763"/>
    <w:rsid w:val="00EA1858"/>
    <w:rsid w:val="00EA1AC7"/>
    <w:rsid w:val="00EA1B16"/>
    <w:rsid w:val="00EA1D08"/>
    <w:rsid w:val="00EA1FA8"/>
    <w:rsid w:val="00EA20FD"/>
    <w:rsid w:val="00EA26C0"/>
    <w:rsid w:val="00EA273B"/>
    <w:rsid w:val="00EA2955"/>
    <w:rsid w:val="00EA29C0"/>
    <w:rsid w:val="00EA2A61"/>
    <w:rsid w:val="00EA2BE8"/>
    <w:rsid w:val="00EA2C10"/>
    <w:rsid w:val="00EA2D98"/>
    <w:rsid w:val="00EA3039"/>
    <w:rsid w:val="00EA3048"/>
    <w:rsid w:val="00EA3431"/>
    <w:rsid w:val="00EA345C"/>
    <w:rsid w:val="00EA376C"/>
    <w:rsid w:val="00EA3BF5"/>
    <w:rsid w:val="00EA3FFF"/>
    <w:rsid w:val="00EA41AA"/>
    <w:rsid w:val="00EA43A9"/>
    <w:rsid w:val="00EA4829"/>
    <w:rsid w:val="00EA4836"/>
    <w:rsid w:val="00EA4A27"/>
    <w:rsid w:val="00EA51A0"/>
    <w:rsid w:val="00EA51FD"/>
    <w:rsid w:val="00EA5678"/>
    <w:rsid w:val="00EA639C"/>
    <w:rsid w:val="00EA6828"/>
    <w:rsid w:val="00EA6CD0"/>
    <w:rsid w:val="00EA6D6C"/>
    <w:rsid w:val="00EA728A"/>
    <w:rsid w:val="00EA7519"/>
    <w:rsid w:val="00EA76AE"/>
    <w:rsid w:val="00EA77A4"/>
    <w:rsid w:val="00EA78C4"/>
    <w:rsid w:val="00EA7B49"/>
    <w:rsid w:val="00EA7C11"/>
    <w:rsid w:val="00EA7E99"/>
    <w:rsid w:val="00EA965C"/>
    <w:rsid w:val="00EB0399"/>
    <w:rsid w:val="00EB0424"/>
    <w:rsid w:val="00EB0462"/>
    <w:rsid w:val="00EB04FC"/>
    <w:rsid w:val="00EB06B9"/>
    <w:rsid w:val="00EB0AD4"/>
    <w:rsid w:val="00EB0BDD"/>
    <w:rsid w:val="00EB1134"/>
    <w:rsid w:val="00EB1366"/>
    <w:rsid w:val="00EB1379"/>
    <w:rsid w:val="00EB16A0"/>
    <w:rsid w:val="00EB170A"/>
    <w:rsid w:val="00EB1C81"/>
    <w:rsid w:val="00EB25D1"/>
    <w:rsid w:val="00EB2692"/>
    <w:rsid w:val="00EB2832"/>
    <w:rsid w:val="00EB2A80"/>
    <w:rsid w:val="00EB2D32"/>
    <w:rsid w:val="00EB2DEB"/>
    <w:rsid w:val="00EB2EF3"/>
    <w:rsid w:val="00EB30AD"/>
    <w:rsid w:val="00EB332B"/>
    <w:rsid w:val="00EB3444"/>
    <w:rsid w:val="00EB3530"/>
    <w:rsid w:val="00EB3919"/>
    <w:rsid w:val="00EB3B18"/>
    <w:rsid w:val="00EB3CC2"/>
    <w:rsid w:val="00EB3DD5"/>
    <w:rsid w:val="00EB3FF6"/>
    <w:rsid w:val="00EB418E"/>
    <w:rsid w:val="00EB44AC"/>
    <w:rsid w:val="00EB454C"/>
    <w:rsid w:val="00EB4721"/>
    <w:rsid w:val="00EB4C83"/>
    <w:rsid w:val="00EB4CBB"/>
    <w:rsid w:val="00EB4DFD"/>
    <w:rsid w:val="00EB509D"/>
    <w:rsid w:val="00EB5147"/>
    <w:rsid w:val="00EB51A1"/>
    <w:rsid w:val="00EB5243"/>
    <w:rsid w:val="00EB540E"/>
    <w:rsid w:val="00EB55ED"/>
    <w:rsid w:val="00EB5620"/>
    <w:rsid w:val="00EB5676"/>
    <w:rsid w:val="00EB597D"/>
    <w:rsid w:val="00EB5D36"/>
    <w:rsid w:val="00EB5D93"/>
    <w:rsid w:val="00EB6310"/>
    <w:rsid w:val="00EB6D92"/>
    <w:rsid w:val="00EB728A"/>
    <w:rsid w:val="00EC006D"/>
    <w:rsid w:val="00EC01CB"/>
    <w:rsid w:val="00EC0634"/>
    <w:rsid w:val="00EC07A9"/>
    <w:rsid w:val="00EC0805"/>
    <w:rsid w:val="00EC0C19"/>
    <w:rsid w:val="00EC0CA7"/>
    <w:rsid w:val="00EC101A"/>
    <w:rsid w:val="00EC1022"/>
    <w:rsid w:val="00EC103D"/>
    <w:rsid w:val="00EC10ED"/>
    <w:rsid w:val="00EC11DF"/>
    <w:rsid w:val="00EC15E3"/>
    <w:rsid w:val="00EC1A04"/>
    <w:rsid w:val="00EC1CEB"/>
    <w:rsid w:val="00EC1CFB"/>
    <w:rsid w:val="00EC1E7C"/>
    <w:rsid w:val="00EC2750"/>
    <w:rsid w:val="00EC2A74"/>
    <w:rsid w:val="00EC2D9F"/>
    <w:rsid w:val="00EC2E78"/>
    <w:rsid w:val="00EC331E"/>
    <w:rsid w:val="00EC33F6"/>
    <w:rsid w:val="00EC351E"/>
    <w:rsid w:val="00EC4A9C"/>
    <w:rsid w:val="00EC4D2E"/>
    <w:rsid w:val="00EC4D96"/>
    <w:rsid w:val="00EC4DE0"/>
    <w:rsid w:val="00EC5061"/>
    <w:rsid w:val="00EC55FB"/>
    <w:rsid w:val="00EC56F1"/>
    <w:rsid w:val="00EC5A0D"/>
    <w:rsid w:val="00EC5B9B"/>
    <w:rsid w:val="00EC5BB9"/>
    <w:rsid w:val="00EC5CA7"/>
    <w:rsid w:val="00EC6159"/>
    <w:rsid w:val="00EC68BC"/>
    <w:rsid w:val="00EC68D1"/>
    <w:rsid w:val="00EC6A46"/>
    <w:rsid w:val="00EC7052"/>
    <w:rsid w:val="00EC70FD"/>
    <w:rsid w:val="00EC7201"/>
    <w:rsid w:val="00EC72AF"/>
    <w:rsid w:val="00EC7664"/>
    <w:rsid w:val="00EC7A53"/>
    <w:rsid w:val="00EC7C6F"/>
    <w:rsid w:val="00EC7DC0"/>
    <w:rsid w:val="00EC7EAC"/>
    <w:rsid w:val="00ED0040"/>
    <w:rsid w:val="00ED004F"/>
    <w:rsid w:val="00ED01FF"/>
    <w:rsid w:val="00ED02BE"/>
    <w:rsid w:val="00ED02D9"/>
    <w:rsid w:val="00ED031C"/>
    <w:rsid w:val="00ED0443"/>
    <w:rsid w:val="00ED048D"/>
    <w:rsid w:val="00ED0DD5"/>
    <w:rsid w:val="00ED12B0"/>
    <w:rsid w:val="00ED17AE"/>
    <w:rsid w:val="00ED1D83"/>
    <w:rsid w:val="00ED22D2"/>
    <w:rsid w:val="00ED2644"/>
    <w:rsid w:val="00ED2AB0"/>
    <w:rsid w:val="00ED2B72"/>
    <w:rsid w:val="00ED38FD"/>
    <w:rsid w:val="00ED3B61"/>
    <w:rsid w:val="00ED3CC3"/>
    <w:rsid w:val="00ED4006"/>
    <w:rsid w:val="00ED4768"/>
    <w:rsid w:val="00ED49FE"/>
    <w:rsid w:val="00ED4AA5"/>
    <w:rsid w:val="00ED4CDF"/>
    <w:rsid w:val="00ED4D05"/>
    <w:rsid w:val="00ED598D"/>
    <w:rsid w:val="00ED5C53"/>
    <w:rsid w:val="00ED5FF4"/>
    <w:rsid w:val="00ED607D"/>
    <w:rsid w:val="00ED678E"/>
    <w:rsid w:val="00ED6996"/>
    <w:rsid w:val="00ED6AED"/>
    <w:rsid w:val="00ED6B57"/>
    <w:rsid w:val="00ED6DAD"/>
    <w:rsid w:val="00ED6DDA"/>
    <w:rsid w:val="00ED6E50"/>
    <w:rsid w:val="00ED7078"/>
    <w:rsid w:val="00ED726B"/>
    <w:rsid w:val="00ED74BE"/>
    <w:rsid w:val="00ED756A"/>
    <w:rsid w:val="00ED763C"/>
    <w:rsid w:val="00ED77C9"/>
    <w:rsid w:val="00ED7981"/>
    <w:rsid w:val="00ED79A7"/>
    <w:rsid w:val="00ED7CF1"/>
    <w:rsid w:val="00ED7F9A"/>
    <w:rsid w:val="00EE0135"/>
    <w:rsid w:val="00EE02A1"/>
    <w:rsid w:val="00EE0489"/>
    <w:rsid w:val="00EE048D"/>
    <w:rsid w:val="00EE05F1"/>
    <w:rsid w:val="00EE0A96"/>
    <w:rsid w:val="00EE1338"/>
    <w:rsid w:val="00EE2218"/>
    <w:rsid w:val="00EE22B5"/>
    <w:rsid w:val="00EE24E0"/>
    <w:rsid w:val="00EE251E"/>
    <w:rsid w:val="00EE2791"/>
    <w:rsid w:val="00EE2926"/>
    <w:rsid w:val="00EE2B50"/>
    <w:rsid w:val="00EE2B61"/>
    <w:rsid w:val="00EE31B9"/>
    <w:rsid w:val="00EE31D1"/>
    <w:rsid w:val="00EE32DC"/>
    <w:rsid w:val="00EE393A"/>
    <w:rsid w:val="00EE3E19"/>
    <w:rsid w:val="00EE3F87"/>
    <w:rsid w:val="00EE422D"/>
    <w:rsid w:val="00EE44A1"/>
    <w:rsid w:val="00EE4C9C"/>
    <w:rsid w:val="00EE4D8D"/>
    <w:rsid w:val="00EE4FD2"/>
    <w:rsid w:val="00EE50F3"/>
    <w:rsid w:val="00EE5225"/>
    <w:rsid w:val="00EE5393"/>
    <w:rsid w:val="00EE543C"/>
    <w:rsid w:val="00EE5545"/>
    <w:rsid w:val="00EE58C4"/>
    <w:rsid w:val="00EE5BF5"/>
    <w:rsid w:val="00EE5E38"/>
    <w:rsid w:val="00EE6137"/>
    <w:rsid w:val="00EE6176"/>
    <w:rsid w:val="00EE6240"/>
    <w:rsid w:val="00EE662D"/>
    <w:rsid w:val="00EE6758"/>
    <w:rsid w:val="00EE689F"/>
    <w:rsid w:val="00EE6954"/>
    <w:rsid w:val="00EE6D4B"/>
    <w:rsid w:val="00EE6ED2"/>
    <w:rsid w:val="00EE6FB8"/>
    <w:rsid w:val="00EE71B4"/>
    <w:rsid w:val="00EE727A"/>
    <w:rsid w:val="00EE7B0C"/>
    <w:rsid w:val="00EE7B7E"/>
    <w:rsid w:val="00EF0271"/>
    <w:rsid w:val="00EF02F2"/>
    <w:rsid w:val="00EF08EB"/>
    <w:rsid w:val="00EF0BFE"/>
    <w:rsid w:val="00EF16B3"/>
    <w:rsid w:val="00EF1833"/>
    <w:rsid w:val="00EF1881"/>
    <w:rsid w:val="00EF18E9"/>
    <w:rsid w:val="00EF1B96"/>
    <w:rsid w:val="00EF2045"/>
    <w:rsid w:val="00EF2053"/>
    <w:rsid w:val="00EF2389"/>
    <w:rsid w:val="00EF2419"/>
    <w:rsid w:val="00EF2CB9"/>
    <w:rsid w:val="00EF2F03"/>
    <w:rsid w:val="00EF3400"/>
    <w:rsid w:val="00EF346A"/>
    <w:rsid w:val="00EF34EF"/>
    <w:rsid w:val="00EF35A2"/>
    <w:rsid w:val="00EF3C83"/>
    <w:rsid w:val="00EF3DBD"/>
    <w:rsid w:val="00EF421A"/>
    <w:rsid w:val="00EF42A8"/>
    <w:rsid w:val="00EF4302"/>
    <w:rsid w:val="00EF43FC"/>
    <w:rsid w:val="00EF4960"/>
    <w:rsid w:val="00EF4B8F"/>
    <w:rsid w:val="00EF518B"/>
    <w:rsid w:val="00EF538F"/>
    <w:rsid w:val="00EF540D"/>
    <w:rsid w:val="00EF54B0"/>
    <w:rsid w:val="00EF555B"/>
    <w:rsid w:val="00EF5736"/>
    <w:rsid w:val="00EF57C5"/>
    <w:rsid w:val="00EF590D"/>
    <w:rsid w:val="00EF5962"/>
    <w:rsid w:val="00EF5A8F"/>
    <w:rsid w:val="00EF5AD3"/>
    <w:rsid w:val="00EF5BA6"/>
    <w:rsid w:val="00EF629E"/>
    <w:rsid w:val="00EF6469"/>
    <w:rsid w:val="00EF64BF"/>
    <w:rsid w:val="00EF64FB"/>
    <w:rsid w:val="00EF66B8"/>
    <w:rsid w:val="00EF67D6"/>
    <w:rsid w:val="00EF6822"/>
    <w:rsid w:val="00EF6E50"/>
    <w:rsid w:val="00EF6FBD"/>
    <w:rsid w:val="00EF7551"/>
    <w:rsid w:val="00EF7721"/>
    <w:rsid w:val="00EF7873"/>
    <w:rsid w:val="00EF7C02"/>
    <w:rsid w:val="00F0016F"/>
    <w:rsid w:val="00F001E2"/>
    <w:rsid w:val="00F00C6E"/>
    <w:rsid w:val="00F00CC8"/>
    <w:rsid w:val="00F0142B"/>
    <w:rsid w:val="00F0150F"/>
    <w:rsid w:val="00F0161E"/>
    <w:rsid w:val="00F01735"/>
    <w:rsid w:val="00F017B9"/>
    <w:rsid w:val="00F01BFF"/>
    <w:rsid w:val="00F01E92"/>
    <w:rsid w:val="00F0216A"/>
    <w:rsid w:val="00F022E9"/>
    <w:rsid w:val="00F027BB"/>
    <w:rsid w:val="00F028E8"/>
    <w:rsid w:val="00F02939"/>
    <w:rsid w:val="00F02A59"/>
    <w:rsid w:val="00F02B1B"/>
    <w:rsid w:val="00F02F97"/>
    <w:rsid w:val="00F036A4"/>
    <w:rsid w:val="00F036BF"/>
    <w:rsid w:val="00F03C81"/>
    <w:rsid w:val="00F03D02"/>
    <w:rsid w:val="00F03F23"/>
    <w:rsid w:val="00F03FA3"/>
    <w:rsid w:val="00F04256"/>
    <w:rsid w:val="00F04366"/>
    <w:rsid w:val="00F04685"/>
    <w:rsid w:val="00F0475C"/>
    <w:rsid w:val="00F04784"/>
    <w:rsid w:val="00F04822"/>
    <w:rsid w:val="00F048B7"/>
    <w:rsid w:val="00F04AFD"/>
    <w:rsid w:val="00F04C21"/>
    <w:rsid w:val="00F04D68"/>
    <w:rsid w:val="00F0528F"/>
    <w:rsid w:val="00F05731"/>
    <w:rsid w:val="00F05810"/>
    <w:rsid w:val="00F05931"/>
    <w:rsid w:val="00F059DD"/>
    <w:rsid w:val="00F05B93"/>
    <w:rsid w:val="00F05D09"/>
    <w:rsid w:val="00F05E7E"/>
    <w:rsid w:val="00F061FE"/>
    <w:rsid w:val="00F06654"/>
    <w:rsid w:val="00F0677F"/>
    <w:rsid w:val="00F0693F"/>
    <w:rsid w:val="00F069A6"/>
    <w:rsid w:val="00F070D8"/>
    <w:rsid w:val="00F074F4"/>
    <w:rsid w:val="00F077B1"/>
    <w:rsid w:val="00F078C9"/>
    <w:rsid w:val="00F07A9B"/>
    <w:rsid w:val="00F07AF1"/>
    <w:rsid w:val="00F07CA0"/>
    <w:rsid w:val="00F07E29"/>
    <w:rsid w:val="00F07FF2"/>
    <w:rsid w:val="00F100D6"/>
    <w:rsid w:val="00F102DB"/>
    <w:rsid w:val="00F10452"/>
    <w:rsid w:val="00F1046C"/>
    <w:rsid w:val="00F10602"/>
    <w:rsid w:val="00F107D6"/>
    <w:rsid w:val="00F10BBE"/>
    <w:rsid w:val="00F10C39"/>
    <w:rsid w:val="00F10CD8"/>
    <w:rsid w:val="00F11C70"/>
    <w:rsid w:val="00F11DCF"/>
    <w:rsid w:val="00F11F64"/>
    <w:rsid w:val="00F1200A"/>
    <w:rsid w:val="00F12774"/>
    <w:rsid w:val="00F12B12"/>
    <w:rsid w:val="00F12D47"/>
    <w:rsid w:val="00F12E90"/>
    <w:rsid w:val="00F12EEF"/>
    <w:rsid w:val="00F13244"/>
    <w:rsid w:val="00F13280"/>
    <w:rsid w:val="00F13407"/>
    <w:rsid w:val="00F134FF"/>
    <w:rsid w:val="00F1360F"/>
    <w:rsid w:val="00F13639"/>
    <w:rsid w:val="00F13A5C"/>
    <w:rsid w:val="00F13BD3"/>
    <w:rsid w:val="00F13DB9"/>
    <w:rsid w:val="00F14659"/>
    <w:rsid w:val="00F14804"/>
    <w:rsid w:val="00F14ED2"/>
    <w:rsid w:val="00F15006"/>
    <w:rsid w:val="00F15476"/>
    <w:rsid w:val="00F159A0"/>
    <w:rsid w:val="00F15A5F"/>
    <w:rsid w:val="00F15AB8"/>
    <w:rsid w:val="00F162EA"/>
    <w:rsid w:val="00F165B2"/>
    <w:rsid w:val="00F16EDB"/>
    <w:rsid w:val="00F17289"/>
    <w:rsid w:val="00F172DC"/>
    <w:rsid w:val="00F177B8"/>
    <w:rsid w:val="00F17A68"/>
    <w:rsid w:val="00F17D0D"/>
    <w:rsid w:val="00F2023B"/>
    <w:rsid w:val="00F204D5"/>
    <w:rsid w:val="00F20782"/>
    <w:rsid w:val="00F207D7"/>
    <w:rsid w:val="00F207FA"/>
    <w:rsid w:val="00F2085A"/>
    <w:rsid w:val="00F20949"/>
    <w:rsid w:val="00F20A78"/>
    <w:rsid w:val="00F20F21"/>
    <w:rsid w:val="00F211BA"/>
    <w:rsid w:val="00F211D8"/>
    <w:rsid w:val="00F21288"/>
    <w:rsid w:val="00F21460"/>
    <w:rsid w:val="00F21A66"/>
    <w:rsid w:val="00F21AF1"/>
    <w:rsid w:val="00F21C82"/>
    <w:rsid w:val="00F21CB4"/>
    <w:rsid w:val="00F21E75"/>
    <w:rsid w:val="00F22047"/>
    <w:rsid w:val="00F22060"/>
    <w:rsid w:val="00F22F99"/>
    <w:rsid w:val="00F23150"/>
    <w:rsid w:val="00F237B2"/>
    <w:rsid w:val="00F23811"/>
    <w:rsid w:val="00F2388E"/>
    <w:rsid w:val="00F238EC"/>
    <w:rsid w:val="00F23D4D"/>
    <w:rsid w:val="00F2431C"/>
    <w:rsid w:val="00F24565"/>
    <w:rsid w:val="00F248E2"/>
    <w:rsid w:val="00F24CB3"/>
    <w:rsid w:val="00F2500C"/>
    <w:rsid w:val="00F253B9"/>
    <w:rsid w:val="00F25B0F"/>
    <w:rsid w:val="00F26324"/>
    <w:rsid w:val="00F2636E"/>
    <w:rsid w:val="00F263E5"/>
    <w:rsid w:val="00F26CB9"/>
    <w:rsid w:val="00F27274"/>
    <w:rsid w:val="00F2742C"/>
    <w:rsid w:val="00F276D6"/>
    <w:rsid w:val="00F27B8C"/>
    <w:rsid w:val="00F27E0F"/>
    <w:rsid w:val="00F27F41"/>
    <w:rsid w:val="00F27FB5"/>
    <w:rsid w:val="00F3003A"/>
    <w:rsid w:val="00F300CB"/>
    <w:rsid w:val="00F30C0C"/>
    <w:rsid w:val="00F312B6"/>
    <w:rsid w:val="00F317AA"/>
    <w:rsid w:val="00F31836"/>
    <w:rsid w:val="00F31D1A"/>
    <w:rsid w:val="00F32314"/>
    <w:rsid w:val="00F3274A"/>
    <w:rsid w:val="00F3288D"/>
    <w:rsid w:val="00F329C9"/>
    <w:rsid w:val="00F32AFC"/>
    <w:rsid w:val="00F32D09"/>
    <w:rsid w:val="00F330A8"/>
    <w:rsid w:val="00F331C7"/>
    <w:rsid w:val="00F33352"/>
    <w:rsid w:val="00F3347A"/>
    <w:rsid w:val="00F33707"/>
    <w:rsid w:val="00F3378A"/>
    <w:rsid w:val="00F338B2"/>
    <w:rsid w:val="00F339E7"/>
    <w:rsid w:val="00F33A91"/>
    <w:rsid w:val="00F33B6B"/>
    <w:rsid w:val="00F33C55"/>
    <w:rsid w:val="00F33CB0"/>
    <w:rsid w:val="00F33E51"/>
    <w:rsid w:val="00F346F9"/>
    <w:rsid w:val="00F34869"/>
    <w:rsid w:val="00F34D69"/>
    <w:rsid w:val="00F35222"/>
    <w:rsid w:val="00F357D0"/>
    <w:rsid w:val="00F35884"/>
    <w:rsid w:val="00F35AD3"/>
    <w:rsid w:val="00F35BFB"/>
    <w:rsid w:val="00F35CE7"/>
    <w:rsid w:val="00F361FD"/>
    <w:rsid w:val="00F36440"/>
    <w:rsid w:val="00F36F1A"/>
    <w:rsid w:val="00F36F4B"/>
    <w:rsid w:val="00F3706C"/>
    <w:rsid w:val="00F373EB"/>
    <w:rsid w:val="00F3743D"/>
    <w:rsid w:val="00F3761A"/>
    <w:rsid w:val="00F37AF4"/>
    <w:rsid w:val="00F37BDD"/>
    <w:rsid w:val="00F40766"/>
    <w:rsid w:val="00F40B31"/>
    <w:rsid w:val="00F40C7A"/>
    <w:rsid w:val="00F40D56"/>
    <w:rsid w:val="00F40EF4"/>
    <w:rsid w:val="00F4150F"/>
    <w:rsid w:val="00F41572"/>
    <w:rsid w:val="00F41836"/>
    <w:rsid w:val="00F41B8A"/>
    <w:rsid w:val="00F41DD0"/>
    <w:rsid w:val="00F41E23"/>
    <w:rsid w:val="00F42992"/>
    <w:rsid w:val="00F42CB4"/>
    <w:rsid w:val="00F42CBE"/>
    <w:rsid w:val="00F43029"/>
    <w:rsid w:val="00F432CC"/>
    <w:rsid w:val="00F432E0"/>
    <w:rsid w:val="00F43AE6"/>
    <w:rsid w:val="00F440CB"/>
    <w:rsid w:val="00F44356"/>
    <w:rsid w:val="00F44401"/>
    <w:rsid w:val="00F4457A"/>
    <w:rsid w:val="00F448D8"/>
    <w:rsid w:val="00F44B6E"/>
    <w:rsid w:val="00F44F2C"/>
    <w:rsid w:val="00F454E1"/>
    <w:rsid w:val="00F455E2"/>
    <w:rsid w:val="00F45BFB"/>
    <w:rsid w:val="00F45CFD"/>
    <w:rsid w:val="00F46022"/>
    <w:rsid w:val="00F462BD"/>
    <w:rsid w:val="00F4666D"/>
    <w:rsid w:val="00F46C8B"/>
    <w:rsid w:val="00F46F48"/>
    <w:rsid w:val="00F47740"/>
    <w:rsid w:val="00F47878"/>
    <w:rsid w:val="00F47B22"/>
    <w:rsid w:val="00F47CD2"/>
    <w:rsid w:val="00F47D1C"/>
    <w:rsid w:val="00F47F49"/>
    <w:rsid w:val="00F50032"/>
    <w:rsid w:val="00F50410"/>
    <w:rsid w:val="00F50432"/>
    <w:rsid w:val="00F50630"/>
    <w:rsid w:val="00F509C7"/>
    <w:rsid w:val="00F509ED"/>
    <w:rsid w:val="00F513CB"/>
    <w:rsid w:val="00F517CD"/>
    <w:rsid w:val="00F51B50"/>
    <w:rsid w:val="00F51CC8"/>
    <w:rsid w:val="00F51DE4"/>
    <w:rsid w:val="00F52424"/>
    <w:rsid w:val="00F52482"/>
    <w:rsid w:val="00F52509"/>
    <w:rsid w:val="00F527AF"/>
    <w:rsid w:val="00F52942"/>
    <w:rsid w:val="00F52B7E"/>
    <w:rsid w:val="00F52D27"/>
    <w:rsid w:val="00F52E01"/>
    <w:rsid w:val="00F530D5"/>
    <w:rsid w:val="00F53440"/>
    <w:rsid w:val="00F53488"/>
    <w:rsid w:val="00F534EE"/>
    <w:rsid w:val="00F537AF"/>
    <w:rsid w:val="00F53B3B"/>
    <w:rsid w:val="00F53BF9"/>
    <w:rsid w:val="00F53C01"/>
    <w:rsid w:val="00F53C5A"/>
    <w:rsid w:val="00F53CD5"/>
    <w:rsid w:val="00F53D0F"/>
    <w:rsid w:val="00F53F13"/>
    <w:rsid w:val="00F53F7D"/>
    <w:rsid w:val="00F543ED"/>
    <w:rsid w:val="00F54436"/>
    <w:rsid w:val="00F54477"/>
    <w:rsid w:val="00F54520"/>
    <w:rsid w:val="00F54AAE"/>
    <w:rsid w:val="00F551AE"/>
    <w:rsid w:val="00F55270"/>
    <w:rsid w:val="00F5542F"/>
    <w:rsid w:val="00F554D8"/>
    <w:rsid w:val="00F55741"/>
    <w:rsid w:val="00F55DF1"/>
    <w:rsid w:val="00F55E09"/>
    <w:rsid w:val="00F56156"/>
    <w:rsid w:val="00F565E5"/>
    <w:rsid w:val="00F56834"/>
    <w:rsid w:val="00F569DB"/>
    <w:rsid w:val="00F574DE"/>
    <w:rsid w:val="00F578EA"/>
    <w:rsid w:val="00F6022F"/>
    <w:rsid w:val="00F607F4"/>
    <w:rsid w:val="00F60972"/>
    <w:rsid w:val="00F60F9F"/>
    <w:rsid w:val="00F6134F"/>
    <w:rsid w:val="00F6138E"/>
    <w:rsid w:val="00F614CE"/>
    <w:rsid w:val="00F616F6"/>
    <w:rsid w:val="00F61739"/>
    <w:rsid w:val="00F61822"/>
    <w:rsid w:val="00F619A9"/>
    <w:rsid w:val="00F61ADA"/>
    <w:rsid w:val="00F61CDC"/>
    <w:rsid w:val="00F61D17"/>
    <w:rsid w:val="00F61FE4"/>
    <w:rsid w:val="00F61FFE"/>
    <w:rsid w:val="00F627CC"/>
    <w:rsid w:val="00F62B15"/>
    <w:rsid w:val="00F62F85"/>
    <w:rsid w:val="00F63015"/>
    <w:rsid w:val="00F6307D"/>
    <w:rsid w:val="00F63A53"/>
    <w:rsid w:val="00F63E4B"/>
    <w:rsid w:val="00F63FFE"/>
    <w:rsid w:val="00F6414C"/>
    <w:rsid w:val="00F64553"/>
    <w:rsid w:val="00F64582"/>
    <w:rsid w:val="00F64767"/>
    <w:rsid w:val="00F64814"/>
    <w:rsid w:val="00F648D3"/>
    <w:rsid w:val="00F64B0A"/>
    <w:rsid w:val="00F64B92"/>
    <w:rsid w:val="00F64CD0"/>
    <w:rsid w:val="00F65906"/>
    <w:rsid w:val="00F65C3C"/>
    <w:rsid w:val="00F65EEA"/>
    <w:rsid w:val="00F66319"/>
    <w:rsid w:val="00F6668C"/>
    <w:rsid w:val="00F66994"/>
    <w:rsid w:val="00F670E7"/>
    <w:rsid w:val="00F671BE"/>
    <w:rsid w:val="00F6762D"/>
    <w:rsid w:val="00F7017A"/>
    <w:rsid w:val="00F70354"/>
    <w:rsid w:val="00F70654"/>
    <w:rsid w:val="00F70B56"/>
    <w:rsid w:val="00F70D86"/>
    <w:rsid w:val="00F70E48"/>
    <w:rsid w:val="00F713D3"/>
    <w:rsid w:val="00F71731"/>
    <w:rsid w:val="00F71841"/>
    <w:rsid w:val="00F718ED"/>
    <w:rsid w:val="00F71BB6"/>
    <w:rsid w:val="00F71CED"/>
    <w:rsid w:val="00F71E18"/>
    <w:rsid w:val="00F7212C"/>
    <w:rsid w:val="00F72176"/>
    <w:rsid w:val="00F7234E"/>
    <w:rsid w:val="00F726ED"/>
    <w:rsid w:val="00F727CB"/>
    <w:rsid w:val="00F72CE1"/>
    <w:rsid w:val="00F730EC"/>
    <w:rsid w:val="00F731CD"/>
    <w:rsid w:val="00F73335"/>
    <w:rsid w:val="00F7362A"/>
    <w:rsid w:val="00F7365E"/>
    <w:rsid w:val="00F7367E"/>
    <w:rsid w:val="00F73ABD"/>
    <w:rsid w:val="00F740B8"/>
    <w:rsid w:val="00F7462B"/>
    <w:rsid w:val="00F74707"/>
    <w:rsid w:val="00F74890"/>
    <w:rsid w:val="00F74A2B"/>
    <w:rsid w:val="00F757B8"/>
    <w:rsid w:val="00F75854"/>
    <w:rsid w:val="00F75C38"/>
    <w:rsid w:val="00F75E96"/>
    <w:rsid w:val="00F75EA1"/>
    <w:rsid w:val="00F762E7"/>
    <w:rsid w:val="00F7648E"/>
    <w:rsid w:val="00F765E8"/>
    <w:rsid w:val="00F76725"/>
    <w:rsid w:val="00F7685E"/>
    <w:rsid w:val="00F768B7"/>
    <w:rsid w:val="00F768F0"/>
    <w:rsid w:val="00F76CF1"/>
    <w:rsid w:val="00F7713D"/>
    <w:rsid w:val="00F771A4"/>
    <w:rsid w:val="00F776BC"/>
    <w:rsid w:val="00F776E7"/>
    <w:rsid w:val="00F778A4"/>
    <w:rsid w:val="00F77CAE"/>
    <w:rsid w:val="00F77EA1"/>
    <w:rsid w:val="00F7E4E9"/>
    <w:rsid w:val="00F800AD"/>
    <w:rsid w:val="00F8077F"/>
    <w:rsid w:val="00F80AD2"/>
    <w:rsid w:val="00F80BC7"/>
    <w:rsid w:val="00F80D3A"/>
    <w:rsid w:val="00F8118C"/>
    <w:rsid w:val="00F81654"/>
    <w:rsid w:val="00F8191D"/>
    <w:rsid w:val="00F81E04"/>
    <w:rsid w:val="00F81F20"/>
    <w:rsid w:val="00F82D70"/>
    <w:rsid w:val="00F83122"/>
    <w:rsid w:val="00F833FD"/>
    <w:rsid w:val="00F83409"/>
    <w:rsid w:val="00F83411"/>
    <w:rsid w:val="00F83527"/>
    <w:rsid w:val="00F83574"/>
    <w:rsid w:val="00F838EF"/>
    <w:rsid w:val="00F83EE2"/>
    <w:rsid w:val="00F84120"/>
    <w:rsid w:val="00F841E4"/>
    <w:rsid w:val="00F8477C"/>
    <w:rsid w:val="00F84797"/>
    <w:rsid w:val="00F8507A"/>
    <w:rsid w:val="00F8511E"/>
    <w:rsid w:val="00F8533A"/>
    <w:rsid w:val="00F85371"/>
    <w:rsid w:val="00F853B9"/>
    <w:rsid w:val="00F853C3"/>
    <w:rsid w:val="00F85453"/>
    <w:rsid w:val="00F85577"/>
    <w:rsid w:val="00F86262"/>
    <w:rsid w:val="00F8658A"/>
    <w:rsid w:val="00F8660E"/>
    <w:rsid w:val="00F86A8F"/>
    <w:rsid w:val="00F86C9A"/>
    <w:rsid w:val="00F86CC4"/>
    <w:rsid w:val="00F86F6D"/>
    <w:rsid w:val="00F873B4"/>
    <w:rsid w:val="00F8742E"/>
    <w:rsid w:val="00F87653"/>
    <w:rsid w:val="00F877E8"/>
    <w:rsid w:val="00F877F8"/>
    <w:rsid w:val="00F87F57"/>
    <w:rsid w:val="00F90575"/>
    <w:rsid w:val="00F90685"/>
    <w:rsid w:val="00F90F42"/>
    <w:rsid w:val="00F91454"/>
    <w:rsid w:val="00F91B11"/>
    <w:rsid w:val="00F91B5F"/>
    <w:rsid w:val="00F92199"/>
    <w:rsid w:val="00F924DC"/>
    <w:rsid w:val="00F928E2"/>
    <w:rsid w:val="00F929FB"/>
    <w:rsid w:val="00F9388D"/>
    <w:rsid w:val="00F939EF"/>
    <w:rsid w:val="00F93A2F"/>
    <w:rsid w:val="00F93DD0"/>
    <w:rsid w:val="00F94022"/>
    <w:rsid w:val="00F94471"/>
    <w:rsid w:val="00F947BA"/>
    <w:rsid w:val="00F94C57"/>
    <w:rsid w:val="00F94E22"/>
    <w:rsid w:val="00F94E5D"/>
    <w:rsid w:val="00F950D4"/>
    <w:rsid w:val="00F950D9"/>
    <w:rsid w:val="00F95193"/>
    <w:rsid w:val="00F952B1"/>
    <w:rsid w:val="00F953F9"/>
    <w:rsid w:val="00F9546E"/>
    <w:rsid w:val="00F95AF6"/>
    <w:rsid w:val="00F95BBB"/>
    <w:rsid w:val="00F96365"/>
    <w:rsid w:val="00F963BB"/>
    <w:rsid w:val="00F9669B"/>
    <w:rsid w:val="00F967AF"/>
    <w:rsid w:val="00F96813"/>
    <w:rsid w:val="00F96A5A"/>
    <w:rsid w:val="00F96F0B"/>
    <w:rsid w:val="00F9722F"/>
    <w:rsid w:val="00F9726C"/>
    <w:rsid w:val="00F97482"/>
    <w:rsid w:val="00F9767D"/>
    <w:rsid w:val="00F97A1A"/>
    <w:rsid w:val="00F97F47"/>
    <w:rsid w:val="00F97FB2"/>
    <w:rsid w:val="00FA03B5"/>
    <w:rsid w:val="00FA042C"/>
    <w:rsid w:val="00FA08A3"/>
    <w:rsid w:val="00FA123D"/>
    <w:rsid w:val="00FA17B9"/>
    <w:rsid w:val="00FA1926"/>
    <w:rsid w:val="00FA1A57"/>
    <w:rsid w:val="00FA1A79"/>
    <w:rsid w:val="00FA1D90"/>
    <w:rsid w:val="00FA1F88"/>
    <w:rsid w:val="00FA2000"/>
    <w:rsid w:val="00FA20C2"/>
    <w:rsid w:val="00FA2115"/>
    <w:rsid w:val="00FA222F"/>
    <w:rsid w:val="00FA24C0"/>
    <w:rsid w:val="00FA2632"/>
    <w:rsid w:val="00FA2636"/>
    <w:rsid w:val="00FA2657"/>
    <w:rsid w:val="00FA29AF"/>
    <w:rsid w:val="00FA2F12"/>
    <w:rsid w:val="00FA2F71"/>
    <w:rsid w:val="00FA2FDB"/>
    <w:rsid w:val="00FA3214"/>
    <w:rsid w:val="00FA36BF"/>
    <w:rsid w:val="00FA3931"/>
    <w:rsid w:val="00FA42FA"/>
    <w:rsid w:val="00FA4331"/>
    <w:rsid w:val="00FA46C6"/>
    <w:rsid w:val="00FA4AB3"/>
    <w:rsid w:val="00FA4CDB"/>
    <w:rsid w:val="00FA4CDF"/>
    <w:rsid w:val="00FA52C1"/>
    <w:rsid w:val="00FA5584"/>
    <w:rsid w:val="00FA5CCA"/>
    <w:rsid w:val="00FA5DF8"/>
    <w:rsid w:val="00FA5E02"/>
    <w:rsid w:val="00FA60C3"/>
    <w:rsid w:val="00FA6103"/>
    <w:rsid w:val="00FA67CC"/>
    <w:rsid w:val="00FA7087"/>
    <w:rsid w:val="00FA70B1"/>
    <w:rsid w:val="00FA721A"/>
    <w:rsid w:val="00FA72B7"/>
    <w:rsid w:val="00FA7582"/>
    <w:rsid w:val="00FA75CF"/>
    <w:rsid w:val="00FA7787"/>
    <w:rsid w:val="00FA7957"/>
    <w:rsid w:val="00FA7ACE"/>
    <w:rsid w:val="00FA7CEA"/>
    <w:rsid w:val="00FA7F05"/>
    <w:rsid w:val="00FB001E"/>
    <w:rsid w:val="00FB0047"/>
    <w:rsid w:val="00FB02A0"/>
    <w:rsid w:val="00FB072D"/>
    <w:rsid w:val="00FB0798"/>
    <w:rsid w:val="00FB087C"/>
    <w:rsid w:val="00FB0D8B"/>
    <w:rsid w:val="00FB0E3C"/>
    <w:rsid w:val="00FB1027"/>
    <w:rsid w:val="00FB15A8"/>
    <w:rsid w:val="00FB161F"/>
    <w:rsid w:val="00FB1684"/>
    <w:rsid w:val="00FB1815"/>
    <w:rsid w:val="00FB188D"/>
    <w:rsid w:val="00FB18AB"/>
    <w:rsid w:val="00FB1CD2"/>
    <w:rsid w:val="00FB1FD5"/>
    <w:rsid w:val="00FB1FFC"/>
    <w:rsid w:val="00FB202B"/>
    <w:rsid w:val="00FB2187"/>
    <w:rsid w:val="00FB21BC"/>
    <w:rsid w:val="00FB24D1"/>
    <w:rsid w:val="00FB2AFD"/>
    <w:rsid w:val="00FB2BEE"/>
    <w:rsid w:val="00FB3013"/>
    <w:rsid w:val="00FB3386"/>
    <w:rsid w:val="00FB3593"/>
    <w:rsid w:val="00FB394E"/>
    <w:rsid w:val="00FB3D18"/>
    <w:rsid w:val="00FB3F40"/>
    <w:rsid w:val="00FB3F5C"/>
    <w:rsid w:val="00FB43C6"/>
    <w:rsid w:val="00FB465D"/>
    <w:rsid w:val="00FB4B0C"/>
    <w:rsid w:val="00FB516B"/>
    <w:rsid w:val="00FB52C1"/>
    <w:rsid w:val="00FB57CE"/>
    <w:rsid w:val="00FB5E68"/>
    <w:rsid w:val="00FB66E7"/>
    <w:rsid w:val="00FB6B38"/>
    <w:rsid w:val="00FB6EDD"/>
    <w:rsid w:val="00FB73F7"/>
    <w:rsid w:val="00FB7804"/>
    <w:rsid w:val="00FB7B56"/>
    <w:rsid w:val="00FC0201"/>
    <w:rsid w:val="00FC05C4"/>
    <w:rsid w:val="00FC07C5"/>
    <w:rsid w:val="00FC0A28"/>
    <w:rsid w:val="00FC0A88"/>
    <w:rsid w:val="00FC0AB7"/>
    <w:rsid w:val="00FC0E1D"/>
    <w:rsid w:val="00FC0E47"/>
    <w:rsid w:val="00FC0F5A"/>
    <w:rsid w:val="00FC0FA1"/>
    <w:rsid w:val="00FC1246"/>
    <w:rsid w:val="00FC1368"/>
    <w:rsid w:val="00FC1499"/>
    <w:rsid w:val="00FC1B21"/>
    <w:rsid w:val="00FC1CEB"/>
    <w:rsid w:val="00FC1E2E"/>
    <w:rsid w:val="00FC23D3"/>
    <w:rsid w:val="00FC243A"/>
    <w:rsid w:val="00FC2803"/>
    <w:rsid w:val="00FC2BB2"/>
    <w:rsid w:val="00FC2CBE"/>
    <w:rsid w:val="00FC2ED9"/>
    <w:rsid w:val="00FC2F2E"/>
    <w:rsid w:val="00FC2F63"/>
    <w:rsid w:val="00FC2F65"/>
    <w:rsid w:val="00FC32AE"/>
    <w:rsid w:val="00FC34D6"/>
    <w:rsid w:val="00FC35FF"/>
    <w:rsid w:val="00FC3B07"/>
    <w:rsid w:val="00FC3CAA"/>
    <w:rsid w:val="00FC3DD3"/>
    <w:rsid w:val="00FC3F40"/>
    <w:rsid w:val="00FC3F78"/>
    <w:rsid w:val="00FC42D5"/>
    <w:rsid w:val="00FC43A0"/>
    <w:rsid w:val="00FC464A"/>
    <w:rsid w:val="00FC466F"/>
    <w:rsid w:val="00FC4791"/>
    <w:rsid w:val="00FC480C"/>
    <w:rsid w:val="00FC4BF5"/>
    <w:rsid w:val="00FC550E"/>
    <w:rsid w:val="00FC568A"/>
    <w:rsid w:val="00FC5693"/>
    <w:rsid w:val="00FC5780"/>
    <w:rsid w:val="00FC57A7"/>
    <w:rsid w:val="00FC5C04"/>
    <w:rsid w:val="00FC5D9D"/>
    <w:rsid w:val="00FC5F70"/>
    <w:rsid w:val="00FC65BC"/>
    <w:rsid w:val="00FC6623"/>
    <w:rsid w:val="00FC6955"/>
    <w:rsid w:val="00FC6A5C"/>
    <w:rsid w:val="00FC6D10"/>
    <w:rsid w:val="00FC6E03"/>
    <w:rsid w:val="00FC6FB8"/>
    <w:rsid w:val="00FC7017"/>
    <w:rsid w:val="00FC79D7"/>
    <w:rsid w:val="00FC7A98"/>
    <w:rsid w:val="00FC7B05"/>
    <w:rsid w:val="00FC7BE0"/>
    <w:rsid w:val="00FC7C50"/>
    <w:rsid w:val="00FD08FB"/>
    <w:rsid w:val="00FD0F33"/>
    <w:rsid w:val="00FD12A1"/>
    <w:rsid w:val="00FD12EF"/>
    <w:rsid w:val="00FD1486"/>
    <w:rsid w:val="00FD1534"/>
    <w:rsid w:val="00FD181D"/>
    <w:rsid w:val="00FD1A3E"/>
    <w:rsid w:val="00FD1A89"/>
    <w:rsid w:val="00FD1CA1"/>
    <w:rsid w:val="00FD1D98"/>
    <w:rsid w:val="00FD1E38"/>
    <w:rsid w:val="00FD2230"/>
    <w:rsid w:val="00FD2913"/>
    <w:rsid w:val="00FD29C2"/>
    <w:rsid w:val="00FD2B38"/>
    <w:rsid w:val="00FD2E5C"/>
    <w:rsid w:val="00FD321F"/>
    <w:rsid w:val="00FD3429"/>
    <w:rsid w:val="00FD3796"/>
    <w:rsid w:val="00FD3959"/>
    <w:rsid w:val="00FD3975"/>
    <w:rsid w:val="00FD3A2F"/>
    <w:rsid w:val="00FD3AF7"/>
    <w:rsid w:val="00FD3BFB"/>
    <w:rsid w:val="00FD3F1C"/>
    <w:rsid w:val="00FD4182"/>
    <w:rsid w:val="00FD442A"/>
    <w:rsid w:val="00FD4808"/>
    <w:rsid w:val="00FD4AA5"/>
    <w:rsid w:val="00FD4B24"/>
    <w:rsid w:val="00FD5192"/>
    <w:rsid w:val="00FD577A"/>
    <w:rsid w:val="00FD57D3"/>
    <w:rsid w:val="00FD583F"/>
    <w:rsid w:val="00FD5945"/>
    <w:rsid w:val="00FD61D8"/>
    <w:rsid w:val="00FD6301"/>
    <w:rsid w:val="00FD6547"/>
    <w:rsid w:val="00FD6684"/>
    <w:rsid w:val="00FD6687"/>
    <w:rsid w:val="00FD6E22"/>
    <w:rsid w:val="00FD70D2"/>
    <w:rsid w:val="00FD7488"/>
    <w:rsid w:val="00FD7495"/>
    <w:rsid w:val="00FD7F7D"/>
    <w:rsid w:val="00FE0248"/>
    <w:rsid w:val="00FE044C"/>
    <w:rsid w:val="00FE04C5"/>
    <w:rsid w:val="00FE052D"/>
    <w:rsid w:val="00FE05C8"/>
    <w:rsid w:val="00FE060B"/>
    <w:rsid w:val="00FE0701"/>
    <w:rsid w:val="00FE07F6"/>
    <w:rsid w:val="00FE0920"/>
    <w:rsid w:val="00FE0B7A"/>
    <w:rsid w:val="00FE0E7C"/>
    <w:rsid w:val="00FE0F43"/>
    <w:rsid w:val="00FE10DA"/>
    <w:rsid w:val="00FE118F"/>
    <w:rsid w:val="00FE153D"/>
    <w:rsid w:val="00FE1731"/>
    <w:rsid w:val="00FE18F9"/>
    <w:rsid w:val="00FE19E5"/>
    <w:rsid w:val="00FE1AD3"/>
    <w:rsid w:val="00FE1CD4"/>
    <w:rsid w:val="00FE2409"/>
    <w:rsid w:val="00FE2505"/>
    <w:rsid w:val="00FE263C"/>
    <w:rsid w:val="00FE2AA7"/>
    <w:rsid w:val="00FE2C35"/>
    <w:rsid w:val="00FE2FC6"/>
    <w:rsid w:val="00FE31D9"/>
    <w:rsid w:val="00FE337D"/>
    <w:rsid w:val="00FE35AF"/>
    <w:rsid w:val="00FE38CA"/>
    <w:rsid w:val="00FE3B3C"/>
    <w:rsid w:val="00FE3BE6"/>
    <w:rsid w:val="00FE3C3C"/>
    <w:rsid w:val="00FE3DBB"/>
    <w:rsid w:val="00FE40D2"/>
    <w:rsid w:val="00FE455C"/>
    <w:rsid w:val="00FE484E"/>
    <w:rsid w:val="00FE486A"/>
    <w:rsid w:val="00FE48C1"/>
    <w:rsid w:val="00FE54BD"/>
    <w:rsid w:val="00FE55B0"/>
    <w:rsid w:val="00FE56F2"/>
    <w:rsid w:val="00FE588E"/>
    <w:rsid w:val="00FE5D7C"/>
    <w:rsid w:val="00FE614E"/>
    <w:rsid w:val="00FE61A5"/>
    <w:rsid w:val="00FE61AC"/>
    <w:rsid w:val="00FE6501"/>
    <w:rsid w:val="00FE6579"/>
    <w:rsid w:val="00FE68FF"/>
    <w:rsid w:val="00FE6C1D"/>
    <w:rsid w:val="00FE6CCE"/>
    <w:rsid w:val="00FE6D02"/>
    <w:rsid w:val="00FE6E18"/>
    <w:rsid w:val="00FE6E55"/>
    <w:rsid w:val="00FE6F32"/>
    <w:rsid w:val="00FE6FD7"/>
    <w:rsid w:val="00FE74F6"/>
    <w:rsid w:val="00FE760A"/>
    <w:rsid w:val="00FE7644"/>
    <w:rsid w:val="00FE7837"/>
    <w:rsid w:val="00FE7EE4"/>
    <w:rsid w:val="00FF034C"/>
    <w:rsid w:val="00FF0430"/>
    <w:rsid w:val="00FF07A0"/>
    <w:rsid w:val="00FF088D"/>
    <w:rsid w:val="00FF0986"/>
    <w:rsid w:val="00FF0AB4"/>
    <w:rsid w:val="00FF0EB1"/>
    <w:rsid w:val="00FF12C7"/>
    <w:rsid w:val="00FF13A3"/>
    <w:rsid w:val="00FF151F"/>
    <w:rsid w:val="00FF153E"/>
    <w:rsid w:val="00FF153F"/>
    <w:rsid w:val="00FF155F"/>
    <w:rsid w:val="00FF16B4"/>
    <w:rsid w:val="00FF19BC"/>
    <w:rsid w:val="00FF21C9"/>
    <w:rsid w:val="00FF23A9"/>
    <w:rsid w:val="00FF24BD"/>
    <w:rsid w:val="00FF2FBA"/>
    <w:rsid w:val="00FF34C7"/>
    <w:rsid w:val="00FF3A68"/>
    <w:rsid w:val="00FF3AD6"/>
    <w:rsid w:val="00FF3CBD"/>
    <w:rsid w:val="00FF4207"/>
    <w:rsid w:val="00FF4435"/>
    <w:rsid w:val="00FF44D3"/>
    <w:rsid w:val="00FF4632"/>
    <w:rsid w:val="00FF4A9B"/>
    <w:rsid w:val="00FF4E49"/>
    <w:rsid w:val="00FF5618"/>
    <w:rsid w:val="00FF58DB"/>
    <w:rsid w:val="00FF5B56"/>
    <w:rsid w:val="00FF5E02"/>
    <w:rsid w:val="00FF5E76"/>
    <w:rsid w:val="00FF5F39"/>
    <w:rsid w:val="00FF67AF"/>
    <w:rsid w:val="00FF6863"/>
    <w:rsid w:val="00FF69EF"/>
    <w:rsid w:val="00FF6F29"/>
    <w:rsid w:val="00FF705C"/>
    <w:rsid w:val="00FF708F"/>
    <w:rsid w:val="00FF755A"/>
    <w:rsid w:val="00FF75FC"/>
    <w:rsid w:val="01007D5D"/>
    <w:rsid w:val="0109BCA5"/>
    <w:rsid w:val="010AA00D"/>
    <w:rsid w:val="01256D24"/>
    <w:rsid w:val="01655CD6"/>
    <w:rsid w:val="0165607D"/>
    <w:rsid w:val="0182A16E"/>
    <w:rsid w:val="0186E137"/>
    <w:rsid w:val="019CCCEB"/>
    <w:rsid w:val="01A74E1A"/>
    <w:rsid w:val="01BCD8EB"/>
    <w:rsid w:val="01DCAD74"/>
    <w:rsid w:val="01DE6095"/>
    <w:rsid w:val="01E22513"/>
    <w:rsid w:val="01F4E201"/>
    <w:rsid w:val="021B0944"/>
    <w:rsid w:val="025E93DA"/>
    <w:rsid w:val="027E0366"/>
    <w:rsid w:val="02BFC422"/>
    <w:rsid w:val="02C556F4"/>
    <w:rsid w:val="02D6E727"/>
    <w:rsid w:val="02E13E0E"/>
    <w:rsid w:val="03007580"/>
    <w:rsid w:val="030FD369"/>
    <w:rsid w:val="0351CCAA"/>
    <w:rsid w:val="0356488D"/>
    <w:rsid w:val="0364089B"/>
    <w:rsid w:val="0376F466"/>
    <w:rsid w:val="037E9C13"/>
    <w:rsid w:val="03833AE7"/>
    <w:rsid w:val="03AF50ED"/>
    <w:rsid w:val="03C08BEB"/>
    <w:rsid w:val="03C49FCB"/>
    <w:rsid w:val="03CFF258"/>
    <w:rsid w:val="03D21863"/>
    <w:rsid w:val="041FA918"/>
    <w:rsid w:val="042809B9"/>
    <w:rsid w:val="043853C2"/>
    <w:rsid w:val="0458F6D2"/>
    <w:rsid w:val="048E412F"/>
    <w:rsid w:val="0491771A"/>
    <w:rsid w:val="049BA3F5"/>
    <w:rsid w:val="04AE728C"/>
    <w:rsid w:val="04AFB23B"/>
    <w:rsid w:val="04B9106F"/>
    <w:rsid w:val="04C324FB"/>
    <w:rsid w:val="04CC355B"/>
    <w:rsid w:val="04CD950C"/>
    <w:rsid w:val="04D06744"/>
    <w:rsid w:val="04D3C955"/>
    <w:rsid w:val="04F49696"/>
    <w:rsid w:val="05038230"/>
    <w:rsid w:val="053DC77D"/>
    <w:rsid w:val="055476E2"/>
    <w:rsid w:val="058BB0D4"/>
    <w:rsid w:val="059608BB"/>
    <w:rsid w:val="0599B87D"/>
    <w:rsid w:val="05AFC0B6"/>
    <w:rsid w:val="05F620FE"/>
    <w:rsid w:val="0613DF80"/>
    <w:rsid w:val="062B9BB2"/>
    <w:rsid w:val="0639E171"/>
    <w:rsid w:val="064A2FCD"/>
    <w:rsid w:val="06522BE1"/>
    <w:rsid w:val="0655899D"/>
    <w:rsid w:val="065987BA"/>
    <w:rsid w:val="065D8257"/>
    <w:rsid w:val="0677F67B"/>
    <w:rsid w:val="067F030A"/>
    <w:rsid w:val="06B2BE14"/>
    <w:rsid w:val="06B64DC2"/>
    <w:rsid w:val="06C4A8CE"/>
    <w:rsid w:val="06CC83C2"/>
    <w:rsid w:val="06EBBA17"/>
    <w:rsid w:val="06F2E3C8"/>
    <w:rsid w:val="06FD60C9"/>
    <w:rsid w:val="0700273A"/>
    <w:rsid w:val="0715A37F"/>
    <w:rsid w:val="0718038D"/>
    <w:rsid w:val="0718E96F"/>
    <w:rsid w:val="07298B92"/>
    <w:rsid w:val="072BB95E"/>
    <w:rsid w:val="0732451D"/>
    <w:rsid w:val="07356E06"/>
    <w:rsid w:val="073F5EF5"/>
    <w:rsid w:val="0787AA8D"/>
    <w:rsid w:val="079F4D8E"/>
    <w:rsid w:val="07B1E460"/>
    <w:rsid w:val="07E40B68"/>
    <w:rsid w:val="08078450"/>
    <w:rsid w:val="0807C91B"/>
    <w:rsid w:val="0839BB75"/>
    <w:rsid w:val="08470191"/>
    <w:rsid w:val="0854EEA9"/>
    <w:rsid w:val="088214F0"/>
    <w:rsid w:val="088818B3"/>
    <w:rsid w:val="08A2F8D2"/>
    <w:rsid w:val="08A99A21"/>
    <w:rsid w:val="08C55BF3"/>
    <w:rsid w:val="08CDE20E"/>
    <w:rsid w:val="08D1593F"/>
    <w:rsid w:val="08E7E815"/>
    <w:rsid w:val="090F7573"/>
    <w:rsid w:val="0932C039"/>
    <w:rsid w:val="095855E2"/>
    <w:rsid w:val="0962EBA7"/>
    <w:rsid w:val="098F4841"/>
    <w:rsid w:val="09A84F37"/>
    <w:rsid w:val="09AFAA4D"/>
    <w:rsid w:val="09CF292C"/>
    <w:rsid w:val="09DB6171"/>
    <w:rsid w:val="0A6E1BC6"/>
    <w:rsid w:val="0A896CA5"/>
    <w:rsid w:val="0A9253D0"/>
    <w:rsid w:val="0A92B3FD"/>
    <w:rsid w:val="0A9A7798"/>
    <w:rsid w:val="0AA16A72"/>
    <w:rsid w:val="0AD52F77"/>
    <w:rsid w:val="0AE0AAC2"/>
    <w:rsid w:val="0B0B048B"/>
    <w:rsid w:val="0B29D66D"/>
    <w:rsid w:val="0B6A8690"/>
    <w:rsid w:val="0B9724D8"/>
    <w:rsid w:val="0BAE8E83"/>
    <w:rsid w:val="0BB65ECF"/>
    <w:rsid w:val="0C029C12"/>
    <w:rsid w:val="0C16BBFA"/>
    <w:rsid w:val="0C531EA4"/>
    <w:rsid w:val="0C57395B"/>
    <w:rsid w:val="0C5F935B"/>
    <w:rsid w:val="0C662FBA"/>
    <w:rsid w:val="0C6FEBF4"/>
    <w:rsid w:val="0CADA631"/>
    <w:rsid w:val="0CAF5C58"/>
    <w:rsid w:val="0CBB749B"/>
    <w:rsid w:val="0CD097B8"/>
    <w:rsid w:val="0CD15309"/>
    <w:rsid w:val="0CE0974A"/>
    <w:rsid w:val="0CFFB991"/>
    <w:rsid w:val="0D068DB5"/>
    <w:rsid w:val="0D284FDF"/>
    <w:rsid w:val="0D551FCD"/>
    <w:rsid w:val="0D99B6A3"/>
    <w:rsid w:val="0DA04F43"/>
    <w:rsid w:val="0DA62252"/>
    <w:rsid w:val="0E0CEEB2"/>
    <w:rsid w:val="0E182559"/>
    <w:rsid w:val="0E1CD1FC"/>
    <w:rsid w:val="0E202FB4"/>
    <w:rsid w:val="0E2428A6"/>
    <w:rsid w:val="0E324415"/>
    <w:rsid w:val="0E9503A1"/>
    <w:rsid w:val="0EA37434"/>
    <w:rsid w:val="0EAE71CC"/>
    <w:rsid w:val="0EC47024"/>
    <w:rsid w:val="0EC99921"/>
    <w:rsid w:val="0ED74B31"/>
    <w:rsid w:val="0EDAF215"/>
    <w:rsid w:val="0EDE8440"/>
    <w:rsid w:val="0F02615A"/>
    <w:rsid w:val="0F0D642E"/>
    <w:rsid w:val="0F1F46A5"/>
    <w:rsid w:val="0F288C27"/>
    <w:rsid w:val="0F28BC82"/>
    <w:rsid w:val="0F310DBB"/>
    <w:rsid w:val="0F32C953"/>
    <w:rsid w:val="0F55857A"/>
    <w:rsid w:val="0F603061"/>
    <w:rsid w:val="0F698029"/>
    <w:rsid w:val="0F73EA0E"/>
    <w:rsid w:val="0F86E542"/>
    <w:rsid w:val="0FBC3EE6"/>
    <w:rsid w:val="0FBED1DD"/>
    <w:rsid w:val="0FBED39F"/>
    <w:rsid w:val="0FC2CFF4"/>
    <w:rsid w:val="0FCCDCB0"/>
    <w:rsid w:val="0FD675AE"/>
    <w:rsid w:val="0FDDA7FB"/>
    <w:rsid w:val="0FEE536E"/>
    <w:rsid w:val="0FF15F05"/>
    <w:rsid w:val="10221CEF"/>
    <w:rsid w:val="1032EB8E"/>
    <w:rsid w:val="10366306"/>
    <w:rsid w:val="104A1EEF"/>
    <w:rsid w:val="106EB72F"/>
    <w:rsid w:val="10863837"/>
    <w:rsid w:val="10B73044"/>
    <w:rsid w:val="10F779CA"/>
    <w:rsid w:val="110C97A1"/>
    <w:rsid w:val="11231D83"/>
    <w:rsid w:val="1157E327"/>
    <w:rsid w:val="117607CA"/>
    <w:rsid w:val="1179B355"/>
    <w:rsid w:val="11820656"/>
    <w:rsid w:val="1192B1D6"/>
    <w:rsid w:val="119D48F0"/>
    <w:rsid w:val="11CD9680"/>
    <w:rsid w:val="11D6A03F"/>
    <w:rsid w:val="11DF53D4"/>
    <w:rsid w:val="11E5EBCF"/>
    <w:rsid w:val="11EA917B"/>
    <w:rsid w:val="120A9D32"/>
    <w:rsid w:val="123BF955"/>
    <w:rsid w:val="1246EFBD"/>
    <w:rsid w:val="12542C18"/>
    <w:rsid w:val="128FD300"/>
    <w:rsid w:val="12A43412"/>
    <w:rsid w:val="12B03C1A"/>
    <w:rsid w:val="12BC73C1"/>
    <w:rsid w:val="12F31836"/>
    <w:rsid w:val="12FB0E4B"/>
    <w:rsid w:val="1302F68E"/>
    <w:rsid w:val="1304F1C1"/>
    <w:rsid w:val="130F3103"/>
    <w:rsid w:val="1331C187"/>
    <w:rsid w:val="13426F56"/>
    <w:rsid w:val="1353D486"/>
    <w:rsid w:val="1373A63D"/>
    <w:rsid w:val="1378BC60"/>
    <w:rsid w:val="137E6AB1"/>
    <w:rsid w:val="139E22A0"/>
    <w:rsid w:val="13B7F233"/>
    <w:rsid w:val="13C15E6D"/>
    <w:rsid w:val="13D6B373"/>
    <w:rsid w:val="13EFDBD0"/>
    <w:rsid w:val="140BA0A9"/>
    <w:rsid w:val="145BFFDC"/>
    <w:rsid w:val="145E6723"/>
    <w:rsid w:val="1462FC49"/>
    <w:rsid w:val="1465565B"/>
    <w:rsid w:val="14697713"/>
    <w:rsid w:val="146B4064"/>
    <w:rsid w:val="14719FA5"/>
    <w:rsid w:val="14806C3E"/>
    <w:rsid w:val="148AB267"/>
    <w:rsid w:val="149AABC5"/>
    <w:rsid w:val="14D46CD0"/>
    <w:rsid w:val="150B3656"/>
    <w:rsid w:val="152C9C4D"/>
    <w:rsid w:val="154C6E07"/>
    <w:rsid w:val="1550CFC5"/>
    <w:rsid w:val="157537FB"/>
    <w:rsid w:val="15863B36"/>
    <w:rsid w:val="159E767E"/>
    <w:rsid w:val="15A0E377"/>
    <w:rsid w:val="15A95785"/>
    <w:rsid w:val="15B62805"/>
    <w:rsid w:val="15E3ABF4"/>
    <w:rsid w:val="15E3D475"/>
    <w:rsid w:val="15EE6A04"/>
    <w:rsid w:val="15FC1D15"/>
    <w:rsid w:val="1603502D"/>
    <w:rsid w:val="160A5898"/>
    <w:rsid w:val="160E3E80"/>
    <w:rsid w:val="160E40F0"/>
    <w:rsid w:val="161E642E"/>
    <w:rsid w:val="1623A740"/>
    <w:rsid w:val="1629D01D"/>
    <w:rsid w:val="164D3A9F"/>
    <w:rsid w:val="16587DDC"/>
    <w:rsid w:val="165F0CF2"/>
    <w:rsid w:val="16622D9A"/>
    <w:rsid w:val="166B314C"/>
    <w:rsid w:val="168267A1"/>
    <w:rsid w:val="16943483"/>
    <w:rsid w:val="169773DE"/>
    <w:rsid w:val="16ED78FC"/>
    <w:rsid w:val="1738F267"/>
    <w:rsid w:val="1751F866"/>
    <w:rsid w:val="17521DE5"/>
    <w:rsid w:val="17681191"/>
    <w:rsid w:val="17734CBD"/>
    <w:rsid w:val="17794F1B"/>
    <w:rsid w:val="178D9301"/>
    <w:rsid w:val="17A40D2C"/>
    <w:rsid w:val="17BF77A1"/>
    <w:rsid w:val="17BF9960"/>
    <w:rsid w:val="17C9E8D6"/>
    <w:rsid w:val="17E6BE3B"/>
    <w:rsid w:val="1867465A"/>
    <w:rsid w:val="1889943E"/>
    <w:rsid w:val="18A159A4"/>
    <w:rsid w:val="18A5C38F"/>
    <w:rsid w:val="18D4A06A"/>
    <w:rsid w:val="18F8D8BC"/>
    <w:rsid w:val="1901B8CE"/>
    <w:rsid w:val="1902AC19"/>
    <w:rsid w:val="190A48AC"/>
    <w:rsid w:val="190B1E2E"/>
    <w:rsid w:val="190EE5E4"/>
    <w:rsid w:val="1920A12D"/>
    <w:rsid w:val="193CAD58"/>
    <w:rsid w:val="193D034F"/>
    <w:rsid w:val="1945E1B2"/>
    <w:rsid w:val="19978361"/>
    <w:rsid w:val="199DC3BB"/>
    <w:rsid w:val="19BD1208"/>
    <w:rsid w:val="19C8481A"/>
    <w:rsid w:val="19E1D4E2"/>
    <w:rsid w:val="19FC0AFD"/>
    <w:rsid w:val="1A17D616"/>
    <w:rsid w:val="1A5C1A7C"/>
    <w:rsid w:val="1A7E85AE"/>
    <w:rsid w:val="1AB97CCE"/>
    <w:rsid w:val="1AC5964A"/>
    <w:rsid w:val="1AD08434"/>
    <w:rsid w:val="1AE4F5DC"/>
    <w:rsid w:val="1B28140F"/>
    <w:rsid w:val="1B5A0831"/>
    <w:rsid w:val="1BC79644"/>
    <w:rsid w:val="1BE121F3"/>
    <w:rsid w:val="1C0C412C"/>
    <w:rsid w:val="1C3A7005"/>
    <w:rsid w:val="1C74A411"/>
    <w:rsid w:val="1CBD04DB"/>
    <w:rsid w:val="1CE5101D"/>
    <w:rsid w:val="1CE5A795"/>
    <w:rsid w:val="1CF40705"/>
    <w:rsid w:val="1CF779C7"/>
    <w:rsid w:val="1D1A6A2B"/>
    <w:rsid w:val="1D311465"/>
    <w:rsid w:val="1D341587"/>
    <w:rsid w:val="1D540AEC"/>
    <w:rsid w:val="1D5945EF"/>
    <w:rsid w:val="1D72706B"/>
    <w:rsid w:val="1D9271C4"/>
    <w:rsid w:val="1DBBD75C"/>
    <w:rsid w:val="1DDAB8FD"/>
    <w:rsid w:val="1DE16C7D"/>
    <w:rsid w:val="1DF96583"/>
    <w:rsid w:val="1E048CE6"/>
    <w:rsid w:val="1E49684E"/>
    <w:rsid w:val="1E580C81"/>
    <w:rsid w:val="1E5D3A1E"/>
    <w:rsid w:val="1E637577"/>
    <w:rsid w:val="1E72FD67"/>
    <w:rsid w:val="1E7AF0AA"/>
    <w:rsid w:val="1E8DE7E8"/>
    <w:rsid w:val="1EA6D0AB"/>
    <w:rsid w:val="1ECBA5EA"/>
    <w:rsid w:val="1ECE4908"/>
    <w:rsid w:val="1EEAF87D"/>
    <w:rsid w:val="1EECD1D4"/>
    <w:rsid w:val="1EEFA147"/>
    <w:rsid w:val="1EFBBD10"/>
    <w:rsid w:val="1F0D1C7E"/>
    <w:rsid w:val="1F1F8CE4"/>
    <w:rsid w:val="1F226893"/>
    <w:rsid w:val="1F341C72"/>
    <w:rsid w:val="1F391EFA"/>
    <w:rsid w:val="1F62B016"/>
    <w:rsid w:val="1F8B3356"/>
    <w:rsid w:val="1F8EE4D8"/>
    <w:rsid w:val="1FA3E80E"/>
    <w:rsid w:val="1FAB1247"/>
    <w:rsid w:val="1FAD06EB"/>
    <w:rsid w:val="1FB3E417"/>
    <w:rsid w:val="1FC45821"/>
    <w:rsid w:val="1FCEC7A1"/>
    <w:rsid w:val="1FFDB9B1"/>
    <w:rsid w:val="1FFE6A05"/>
    <w:rsid w:val="200A5CE6"/>
    <w:rsid w:val="20528611"/>
    <w:rsid w:val="2052D662"/>
    <w:rsid w:val="2067CBEF"/>
    <w:rsid w:val="20710325"/>
    <w:rsid w:val="20722CD8"/>
    <w:rsid w:val="207621F4"/>
    <w:rsid w:val="2076429F"/>
    <w:rsid w:val="2077A3A2"/>
    <w:rsid w:val="20C9190A"/>
    <w:rsid w:val="20D067BF"/>
    <w:rsid w:val="20D0CEE1"/>
    <w:rsid w:val="20D4A901"/>
    <w:rsid w:val="20D7AB8E"/>
    <w:rsid w:val="20F164D1"/>
    <w:rsid w:val="210D8C63"/>
    <w:rsid w:val="21383E85"/>
    <w:rsid w:val="214708FE"/>
    <w:rsid w:val="214C3994"/>
    <w:rsid w:val="2153EFBD"/>
    <w:rsid w:val="21877FDF"/>
    <w:rsid w:val="218FAD43"/>
    <w:rsid w:val="2193AE66"/>
    <w:rsid w:val="21B367B5"/>
    <w:rsid w:val="21B8DCC8"/>
    <w:rsid w:val="21C16398"/>
    <w:rsid w:val="21D7E8B6"/>
    <w:rsid w:val="21E24B91"/>
    <w:rsid w:val="21E90CE6"/>
    <w:rsid w:val="2243C40A"/>
    <w:rsid w:val="2251FAAB"/>
    <w:rsid w:val="22573C02"/>
    <w:rsid w:val="225BD754"/>
    <w:rsid w:val="227B88BB"/>
    <w:rsid w:val="2290B421"/>
    <w:rsid w:val="2296D0ED"/>
    <w:rsid w:val="22C443D8"/>
    <w:rsid w:val="22D6CE5C"/>
    <w:rsid w:val="22F4349A"/>
    <w:rsid w:val="23015CF1"/>
    <w:rsid w:val="2309D7E1"/>
    <w:rsid w:val="2317B671"/>
    <w:rsid w:val="232B07E4"/>
    <w:rsid w:val="232D86C8"/>
    <w:rsid w:val="23308BF7"/>
    <w:rsid w:val="2351F4F3"/>
    <w:rsid w:val="23584BEE"/>
    <w:rsid w:val="237AAA7E"/>
    <w:rsid w:val="239B51AF"/>
    <w:rsid w:val="23E6C678"/>
    <w:rsid w:val="23F30C63"/>
    <w:rsid w:val="2407B7A7"/>
    <w:rsid w:val="242BD994"/>
    <w:rsid w:val="24315237"/>
    <w:rsid w:val="243BCB37"/>
    <w:rsid w:val="243DCAFF"/>
    <w:rsid w:val="2442BC51"/>
    <w:rsid w:val="24435983"/>
    <w:rsid w:val="24466BEE"/>
    <w:rsid w:val="244DE69D"/>
    <w:rsid w:val="24667094"/>
    <w:rsid w:val="246FF714"/>
    <w:rsid w:val="247AB5C3"/>
    <w:rsid w:val="24F4711E"/>
    <w:rsid w:val="24F48290"/>
    <w:rsid w:val="25050EF6"/>
    <w:rsid w:val="25137827"/>
    <w:rsid w:val="25167ADF"/>
    <w:rsid w:val="252518B3"/>
    <w:rsid w:val="2542E0E9"/>
    <w:rsid w:val="254E6956"/>
    <w:rsid w:val="25519C38"/>
    <w:rsid w:val="258125C8"/>
    <w:rsid w:val="2594A7C9"/>
    <w:rsid w:val="25A80521"/>
    <w:rsid w:val="25B8BBCB"/>
    <w:rsid w:val="25C36097"/>
    <w:rsid w:val="25EE1D0F"/>
    <w:rsid w:val="25EE9EEF"/>
    <w:rsid w:val="25F75FED"/>
    <w:rsid w:val="26741F77"/>
    <w:rsid w:val="26795B75"/>
    <w:rsid w:val="26844FD3"/>
    <w:rsid w:val="2692B0D5"/>
    <w:rsid w:val="269592EE"/>
    <w:rsid w:val="26A8FC6E"/>
    <w:rsid w:val="26AED965"/>
    <w:rsid w:val="26BE9465"/>
    <w:rsid w:val="26C1CE65"/>
    <w:rsid w:val="26DA02EE"/>
    <w:rsid w:val="26E2606A"/>
    <w:rsid w:val="27033DC2"/>
    <w:rsid w:val="271606DC"/>
    <w:rsid w:val="271BE9F0"/>
    <w:rsid w:val="2731E0F9"/>
    <w:rsid w:val="273DB724"/>
    <w:rsid w:val="276A8915"/>
    <w:rsid w:val="277D99A0"/>
    <w:rsid w:val="277EF3E3"/>
    <w:rsid w:val="279C2EDB"/>
    <w:rsid w:val="27D92568"/>
    <w:rsid w:val="27DA1E80"/>
    <w:rsid w:val="27DE823D"/>
    <w:rsid w:val="27EE8F1F"/>
    <w:rsid w:val="27FC985D"/>
    <w:rsid w:val="28014F1D"/>
    <w:rsid w:val="281079C5"/>
    <w:rsid w:val="283F9085"/>
    <w:rsid w:val="2867CDA4"/>
    <w:rsid w:val="28921002"/>
    <w:rsid w:val="289C760C"/>
    <w:rsid w:val="28A3F6BF"/>
    <w:rsid w:val="28AAA65B"/>
    <w:rsid w:val="28AAEB18"/>
    <w:rsid w:val="28AD051E"/>
    <w:rsid w:val="28F44481"/>
    <w:rsid w:val="2918CFE3"/>
    <w:rsid w:val="291CA144"/>
    <w:rsid w:val="29370C91"/>
    <w:rsid w:val="293FD9BB"/>
    <w:rsid w:val="294C0E9E"/>
    <w:rsid w:val="295C97E2"/>
    <w:rsid w:val="2984E64F"/>
    <w:rsid w:val="29BC1D11"/>
    <w:rsid w:val="29C2B312"/>
    <w:rsid w:val="29DF2A29"/>
    <w:rsid w:val="29E0F21D"/>
    <w:rsid w:val="29E371E7"/>
    <w:rsid w:val="29F3AEF9"/>
    <w:rsid w:val="2A1CA85D"/>
    <w:rsid w:val="2A230B31"/>
    <w:rsid w:val="2A25CB0A"/>
    <w:rsid w:val="2A26BF8C"/>
    <w:rsid w:val="2A26E01C"/>
    <w:rsid w:val="2A8361F5"/>
    <w:rsid w:val="2A88FFAB"/>
    <w:rsid w:val="2AB3AD4C"/>
    <w:rsid w:val="2AB69445"/>
    <w:rsid w:val="2AF6DC39"/>
    <w:rsid w:val="2B0AB931"/>
    <w:rsid w:val="2B3B1763"/>
    <w:rsid w:val="2B41AAD7"/>
    <w:rsid w:val="2B48CA98"/>
    <w:rsid w:val="2B904ECF"/>
    <w:rsid w:val="2BB367E6"/>
    <w:rsid w:val="2BC26078"/>
    <w:rsid w:val="2BD46061"/>
    <w:rsid w:val="2BEB6910"/>
    <w:rsid w:val="2BEC75D5"/>
    <w:rsid w:val="2C1E51EA"/>
    <w:rsid w:val="2C45375C"/>
    <w:rsid w:val="2C45F24B"/>
    <w:rsid w:val="2C54B753"/>
    <w:rsid w:val="2C5D67C5"/>
    <w:rsid w:val="2C67D873"/>
    <w:rsid w:val="2C715774"/>
    <w:rsid w:val="2CAD4821"/>
    <w:rsid w:val="2CAD5151"/>
    <w:rsid w:val="2CAE113F"/>
    <w:rsid w:val="2CBEFBEA"/>
    <w:rsid w:val="2CCE91ED"/>
    <w:rsid w:val="2CD19EB2"/>
    <w:rsid w:val="2CDB6636"/>
    <w:rsid w:val="2D290648"/>
    <w:rsid w:val="2D344C8B"/>
    <w:rsid w:val="2D3E4D4D"/>
    <w:rsid w:val="2D48D57D"/>
    <w:rsid w:val="2D5C917F"/>
    <w:rsid w:val="2D68887D"/>
    <w:rsid w:val="2D781BBE"/>
    <w:rsid w:val="2D986B10"/>
    <w:rsid w:val="2D9BA709"/>
    <w:rsid w:val="2DA3B9B3"/>
    <w:rsid w:val="2DB57528"/>
    <w:rsid w:val="2DCC9507"/>
    <w:rsid w:val="2DD1DCB5"/>
    <w:rsid w:val="2DD6B869"/>
    <w:rsid w:val="2DF10E86"/>
    <w:rsid w:val="2E016EF9"/>
    <w:rsid w:val="2E1843B5"/>
    <w:rsid w:val="2E3345D2"/>
    <w:rsid w:val="2E425F9B"/>
    <w:rsid w:val="2E49BFDA"/>
    <w:rsid w:val="2E89B93D"/>
    <w:rsid w:val="2E9118D1"/>
    <w:rsid w:val="2E933793"/>
    <w:rsid w:val="2E9B7184"/>
    <w:rsid w:val="2E9C3BFA"/>
    <w:rsid w:val="2ECBA026"/>
    <w:rsid w:val="2EEBDC66"/>
    <w:rsid w:val="2F0A307F"/>
    <w:rsid w:val="2F29DC7B"/>
    <w:rsid w:val="2F588636"/>
    <w:rsid w:val="2F5A5D69"/>
    <w:rsid w:val="2F708DC4"/>
    <w:rsid w:val="2F863B6F"/>
    <w:rsid w:val="2FA9630B"/>
    <w:rsid w:val="2FC9EC4D"/>
    <w:rsid w:val="2FE19415"/>
    <w:rsid w:val="2FEE81E5"/>
    <w:rsid w:val="2FF2BA72"/>
    <w:rsid w:val="30177DB6"/>
    <w:rsid w:val="30855721"/>
    <w:rsid w:val="3087C731"/>
    <w:rsid w:val="308B0D4E"/>
    <w:rsid w:val="309682A0"/>
    <w:rsid w:val="3096CDCA"/>
    <w:rsid w:val="30B0B07B"/>
    <w:rsid w:val="30B5592E"/>
    <w:rsid w:val="30B640C6"/>
    <w:rsid w:val="30C5F293"/>
    <w:rsid w:val="30C8A953"/>
    <w:rsid w:val="30E6FF2D"/>
    <w:rsid w:val="30E85E48"/>
    <w:rsid w:val="310B49CF"/>
    <w:rsid w:val="31119B3C"/>
    <w:rsid w:val="312155A4"/>
    <w:rsid w:val="31300B35"/>
    <w:rsid w:val="3131CB30"/>
    <w:rsid w:val="313F3209"/>
    <w:rsid w:val="314ECA46"/>
    <w:rsid w:val="315FC6F4"/>
    <w:rsid w:val="3163EA59"/>
    <w:rsid w:val="3180FF9A"/>
    <w:rsid w:val="31818A5F"/>
    <w:rsid w:val="31A4D5DF"/>
    <w:rsid w:val="31A7775F"/>
    <w:rsid w:val="31AC013D"/>
    <w:rsid w:val="31BAAABA"/>
    <w:rsid w:val="31CBA708"/>
    <w:rsid w:val="31DC8F04"/>
    <w:rsid w:val="31E50221"/>
    <w:rsid w:val="31EB3AD4"/>
    <w:rsid w:val="31FDA70D"/>
    <w:rsid w:val="320607E5"/>
    <w:rsid w:val="32083B94"/>
    <w:rsid w:val="322A4337"/>
    <w:rsid w:val="3235786D"/>
    <w:rsid w:val="325D12EC"/>
    <w:rsid w:val="32ADFB0F"/>
    <w:rsid w:val="32B2E02B"/>
    <w:rsid w:val="32B65486"/>
    <w:rsid w:val="32C72350"/>
    <w:rsid w:val="32ED371A"/>
    <w:rsid w:val="32EF8504"/>
    <w:rsid w:val="3302253F"/>
    <w:rsid w:val="33044409"/>
    <w:rsid w:val="33048295"/>
    <w:rsid w:val="3306D15D"/>
    <w:rsid w:val="33094A9C"/>
    <w:rsid w:val="330D2A2C"/>
    <w:rsid w:val="332B16F8"/>
    <w:rsid w:val="332F73DE"/>
    <w:rsid w:val="333F7632"/>
    <w:rsid w:val="33548B8C"/>
    <w:rsid w:val="336B9AB6"/>
    <w:rsid w:val="336BCD50"/>
    <w:rsid w:val="336C86C8"/>
    <w:rsid w:val="336FF262"/>
    <w:rsid w:val="33B33530"/>
    <w:rsid w:val="33B5697D"/>
    <w:rsid w:val="33C24A57"/>
    <w:rsid w:val="33CD5E68"/>
    <w:rsid w:val="33E28E3D"/>
    <w:rsid w:val="341C3C04"/>
    <w:rsid w:val="341FB636"/>
    <w:rsid w:val="34387319"/>
    <w:rsid w:val="3446F49A"/>
    <w:rsid w:val="34680795"/>
    <w:rsid w:val="34B6D79B"/>
    <w:rsid w:val="34BA7E5B"/>
    <w:rsid w:val="34C4231A"/>
    <w:rsid w:val="34DA34E5"/>
    <w:rsid w:val="34DA8C27"/>
    <w:rsid w:val="34DFE597"/>
    <w:rsid w:val="34EE9BC3"/>
    <w:rsid w:val="34F8A1BE"/>
    <w:rsid w:val="35235E65"/>
    <w:rsid w:val="3550DF31"/>
    <w:rsid w:val="356049A6"/>
    <w:rsid w:val="356E9784"/>
    <w:rsid w:val="357956DC"/>
    <w:rsid w:val="35ACC3EE"/>
    <w:rsid w:val="35C55396"/>
    <w:rsid w:val="35C5D5AF"/>
    <w:rsid w:val="36440ACA"/>
    <w:rsid w:val="368337F1"/>
    <w:rsid w:val="3699B43B"/>
    <w:rsid w:val="369C974B"/>
    <w:rsid w:val="36C261A3"/>
    <w:rsid w:val="37037810"/>
    <w:rsid w:val="37151200"/>
    <w:rsid w:val="3729DA38"/>
    <w:rsid w:val="3737B1A9"/>
    <w:rsid w:val="376D1E59"/>
    <w:rsid w:val="376D5132"/>
    <w:rsid w:val="377C576F"/>
    <w:rsid w:val="379CB96C"/>
    <w:rsid w:val="37B06FE9"/>
    <w:rsid w:val="37BDC800"/>
    <w:rsid w:val="37BEF346"/>
    <w:rsid w:val="37CF0723"/>
    <w:rsid w:val="37E9F07A"/>
    <w:rsid w:val="37EFD419"/>
    <w:rsid w:val="380ADDFE"/>
    <w:rsid w:val="380F0E3F"/>
    <w:rsid w:val="38132B98"/>
    <w:rsid w:val="3834B095"/>
    <w:rsid w:val="385A284A"/>
    <w:rsid w:val="387EEE6B"/>
    <w:rsid w:val="3886E63F"/>
    <w:rsid w:val="388E119F"/>
    <w:rsid w:val="38CACB93"/>
    <w:rsid w:val="38E574BA"/>
    <w:rsid w:val="38F0650B"/>
    <w:rsid w:val="39078139"/>
    <w:rsid w:val="3912EFBC"/>
    <w:rsid w:val="39272326"/>
    <w:rsid w:val="392C30F9"/>
    <w:rsid w:val="395E06E7"/>
    <w:rsid w:val="3977115E"/>
    <w:rsid w:val="397EE519"/>
    <w:rsid w:val="399CA4E4"/>
    <w:rsid w:val="39C67BFD"/>
    <w:rsid w:val="39DF7047"/>
    <w:rsid w:val="39FAC058"/>
    <w:rsid w:val="3A05A5EA"/>
    <w:rsid w:val="3A0809EE"/>
    <w:rsid w:val="3A098E43"/>
    <w:rsid w:val="3A0E43B3"/>
    <w:rsid w:val="3A0EA070"/>
    <w:rsid w:val="3A25254B"/>
    <w:rsid w:val="3A2E1449"/>
    <w:rsid w:val="3A4775AB"/>
    <w:rsid w:val="3A5AFC99"/>
    <w:rsid w:val="3A684437"/>
    <w:rsid w:val="3A7706E0"/>
    <w:rsid w:val="3A7A2A11"/>
    <w:rsid w:val="3A9B8ECA"/>
    <w:rsid w:val="3A9E0A3F"/>
    <w:rsid w:val="3AB359DF"/>
    <w:rsid w:val="3ABD4A6B"/>
    <w:rsid w:val="3AF68FA8"/>
    <w:rsid w:val="3B0332F6"/>
    <w:rsid w:val="3B2FF98D"/>
    <w:rsid w:val="3B34344F"/>
    <w:rsid w:val="3B8EE7DA"/>
    <w:rsid w:val="3B97EFE8"/>
    <w:rsid w:val="3B989950"/>
    <w:rsid w:val="3B99556C"/>
    <w:rsid w:val="3BB5BA82"/>
    <w:rsid w:val="3BC70853"/>
    <w:rsid w:val="3BD40373"/>
    <w:rsid w:val="3C4ABA9D"/>
    <w:rsid w:val="3C548447"/>
    <w:rsid w:val="3C84BC1D"/>
    <w:rsid w:val="3CB6B49E"/>
    <w:rsid w:val="3CC83B30"/>
    <w:rsid w:val="3CD7D59D"/>
    <w:rsid w:val="3CE466F6"/>
    <w:rsid w:val="3D2E6242"/>
    <w:rsid w:val="3D376011"/>
    <w:rsid w:val="3D578059"/>
    <w:rsid w:val="3DB2BEA2"/>
    <w:rsid w:val="3DBCDA4C"/>
    <w:rsid w:val="3DEE6C30"/>
    <w:rsid w:val="3DF592D2"/>
    <w:rsid w:val="3E46E50A"/>
    <w:rsid w:val="3E509D58"/>
    <w:rsid w:val="3E5AA176"/>
    <w:rsid w:val="3E669F53"/>
    <w:rsid w:val="3E8EA923"/>
    <w:rsid w:val="3EA01CCB"/>
    <w:rsid w:val="3EA93960"/>
    <w:rsid w:val="3EAA8B66"/>
    <w:rsid w:val="3EB1EA32"/>
    <w:rsid w:val="3EDB293C"/>
    <w:rsid w:val="3EDC73DC"/>
    <w:rsid w:val="3EDCFF66"/>
    <w:rsid w:val="3F0619C2"/>
    <w:rsid w:val="3F1102DE"/>
    <w:rsid w:val="3F2B7759"/>
    <w:rsid w:val="3F2FBDBF"/>
    <w:rsid w:val="3F362437"/>
    <w:rsid w:val="3F42464D"/>
    <w:rsid w:val="3F4AD54E"/>
    <w:rsid w:val="3F4E8F03"/>
    <w:rsid w:val="3F7F133F"/>
    <w:rsid w:val="3F891E77"/>
    <w:rsid w:val="3F9CF474"/>
    <w:rsid w:val="3FD6876A"/>
    <w:rsid w:val="4019B767"/>
    <w:rsid w:val="4024169D"/>
    <w:rsid w:val="403BED2C"/>
    <w:rsid w:val="40432DD8"/>
    <w:rsid w:val="404ACA23"/>
    <w:rsid w:val="40788A1B"/>
    <w:rsid w:val="40B19EC8"/>
    <w:rsid w:val="40C23664"/>
    <w:rsid w:val="40CB1619"/>
    <w:rsid w:val="40F3B848"/>
    <w:rsid w:val="4101A8D0"/>
    <w:rsid w:val="41053828"/>
    <w:rsid w:val="4121414A"/>
    <w:rsid w:val="412E2763"/>
    <w:rsid w:val="413B17C8"/>
    <w:rsid w:val="413E8F05"/>
    <w:rsid w:val="41405FA4"/>
    <w:rsid w:val="414074C8"/>
    <w:rsid w:val="41641B13"/>
    <w:rsid w:val="418EA8A1"/>
    <w:rsid w:val="41958004"/>
    <w:rsid w:val="41992B8E"/>
    <w:rsid w:val="41A55AB1"/>
    <w:rsid w:val="41AC51F7"/>
    <w:rsid w:val="41B29269"/>
    <w:rsid w:val="41B508CB"/>
    <w:rsid w:val="41C824F6"/>
    <w:rsid w:val="4207AA5C"/>
    <w:rsid w:val="42211992"/>
    <w:rsid w:val="4223245A"/>
    <w:rsid w:val="424DCB7C"/>
    <w:rsid w:val="4261D6EE"/>
    <w:rsid w:val="426FF348"/>
    <w:rsid w:val="42793F36"/>
    <w:rsid w:val="4281D911"/>
    <w:rsid w:val="42994D35"/>
    <w:rsid w:val="42BC8C9B"/>
    <w:rsid w:val="42BE9F1C"/>
    <w:rsid w:val="42D438B7"/>
    <w:rsid w:val="42E360A4"/>
    <w:rsid w:val="42E81489"/>
    <w:rsid w:val="434111A0"/>
    <w:rsid w:val="4357D61E"/>
    <w:rsid w:val="435B4E98"/>
    <w:rsid w:val="437A9E6A"/>
    <w:rsid w:val="439E85F8"/>
    <w:rsid w:val="43AD94F5"/>
    <w:rsid w:val="43CD144B"/>
    <w:rsid w:val="43D75E2C"/>
    <w:rsid w:val="4408499C"/>
    <w:rsid w:val="440A101B"/>
    <w:rsid w:val="440AEE29"/>
    <w:rsid w:val="4426212C"/>
    <w:rsid w:val="4441F5A4"/>
    <w:rsid w:val="448B0CCA"/>
    <w:rsid w:val="4496EDF5"/>
    <w:rsid w:val="44AA2A84"/>
    <w:rsid w:val="44BC9163"/>
    <w:rsid w:val="44D7819C"/>
    <w:rsid w:val="44DE5514"/>
    <w:rsid w:val="44E3C84B"/>
    <w:rsid w:val="44E4A605"/>
    <w:rsid w:val="44E85108"/>
    <w:rsid w:val="4515E24A"/>
    <w:rsid w:val="45188879"/>
    <w:rsid w:val="45926811"/>
    <w:rsid w:val="459EE123"/>
    <w:rsid w:val="45A7537A"/>
    <w:rsid w:val="45A995ED"/>
    <w:rsid w:val="45C0E210"/>
    <w:rsid w:val="45CD4D46"/>
    <w:rsid w:val="45CE44EF"/>
    <w:rsid w:val="45D670B7"/>
    <w:rsid w:val="45E9AEEC"/>
    <w:rsid w:val="45FA0D2B"/>
    <w:rsid w:val="460D205D"/>
    <w:rsid w:val="4619E3B2"/>
    <w:rsid w:val="46507340"/>
    <w:rsid w:val="465902D8"/>
    <w:rsid w:val="466A3063"/>
    <w:rsid w:val="4673B085"/>
    <w:rsid w:val="467C9E89"/>
    <w:rsid w:val="46AA588A"/>
    <w:rsid w:val="46B59EFA"/>
    <w:rsid w:val="46BBB99C"/>
    <w:rsid w:val="46E3D1DC"/>
    <w:rsid w:val="46EBBA11"/>
    <w:rsid w:val="470CD056"/>
    <w:rsid w:val="4720F1CF"/>
    <w:rsid w:val="4727E96B"/>
    <w:rsid w:val="47398620"/>
    <w:rsid w:val="473A5268"/>
    <w:rsid w:val="4747CA74"/>
    <w:rsid w:val="4759CFF3"/>
    <w:rsid w:val="475A4B6E"/>
    <w:rsid w:val="476594B6"/>
    <w:rsid w:val="47A682BB"/>
    <w:rsid w:val="47ABB869"/>
    <w:rsid w:val="47BC242D"/>
    <w:rsid w:val="47D2B174"/>
    <w:rsid w:val="480ABEF6"/>
    <w:rsid w:val="485642D2"/>
    <w:rsid w:val="485F3AB8"/>
    <w:rsid w:val="486B56CB"/>
    <w:rsid w:val="48779B37"/>
    <w:rsid w:val="487BB3DB"/>
    <w:rsid w:val="489E7DDF"/>
    <w:rsid w:val="48E56467"/>
    <w:rsid w:val="48EB4294"/>
    <w:rsid w:val="48EF6D79"/>
    <w:rsid w:val="4905E0A6"/>
    <w:rsid w:val="49157D8C"/>
    <w:rsid w:val="491B2208"/>
    <w:rsid w:val="491FDD6E"/>
    <w:rsid w:val="4924FEAE"/>
    <w:rsid w:val="495C8B4B"/>
    <w:rsid w:val="496118FE"/>
    <w:rsid w:val="4962111A"/>
    <w:rsid w:val="49795888"/>
    <w:rsid w:val="49932DD1"/>
    <w:rsid w:val="49B5FD48"/>
    <w:rsid w:val="49BEEFC9"/>
    <w:rsid w:val="49CF1B4E"/>
    <w:rsid w:val="49E1D735"/>
    <w:rsid w:val="49F6BC57"/>
    <w:rsid w:val="4A081590"/>
    <w:rsid w:val="4A2C086C"/>
    <w:rsid w:val="4A3A3184"/>
    <w:rsid w:val="4A5DA12C"/>
    <w:rsid w:val="4A83D9BB"/>
    <w:rsid w:val="4A972540"/>
    <w:rsid w:val="4AC5CE81"/>
    <w:rsid w:val="4B0EFD71"/>
    <w:rsid w:val="4B0F5D41"/>
    <w:rsid w:val="4B2D25C4"/>
    <w:rsid w:val="4B5C2E5B"/>
    <w:rsid w:val="4B5D69E9"/>
    <w:rsid w:val="4B76318C"/>
    <w:rsid w:val="4BB2BF40"/>
    <w:rsid w:val="4BBD53D0"/>
    <w:rsid w:val="4BCF04CD"/>
    <w:rsid w:val="4BDA6BB0"/>
    <w:rsid w:val="4BE0DBDD"/>
    <w:rsid w:val="4BEC555A"/>
    <w:rsid w:val="4BED9C7A"/>
    <w:rsid w:val="4C009F7B"/>
    <w:rsid w:val="4C08FE3F"/>
    <w:rsid w:val="4C1AF36F"/>
    <w:rsid w:val="4C37392B"/>
    <w:rsid w:val="4C4C3D40"/>
    <w:rsid w:val="4C76C0D3"/>
    <w:rsid w:val="4CB2502D"/>
    <w:rsid w:val="4CBAF169"/>
    <w:rsid w:val="4CD04477"/>
    <w:rsid w:val="4CD4046C"/>
    <w:rsid w:val="4CDA6811"/>
    <w:rsid w:val="4CDC7DD7"/>
    <w:rsid w:val="4CE347D8"/>
    <w:rsid w:val="4CF4E8CB"/>
    <w:rsid w:val="4CFFB1C5"/>
    <w:rsid w:val="4D548B53"/>
    <w:rsid w:val="4D6AEB1A"/>
    <w:rsid w:val="4D799CA3"/>
    <w:rsid w:val="4D7E9D70"/>
    <w:rsid w:val="4D87DF2B"/>
    <w:rsid w:val="4D8E1C0D"/>
    <w:rsid w:val="4D8E3E38"/>
    <w:rsid w:val="4DA6349C"/>
    <w:rsid w:val="4DB44C1F"/>
    <w:rsid w:val="4DDBCA6E"/>
    <w:rsid w:val="4DE1C253"/>
    <w:rsid w:val="4DF2E41B"/>
    <w:rsid w:val="4DFB91FD"/>
    <w:rsid w:val="4E33ABCD"/>
    <w:rsid w:val="4E504064"/>
    <w:rsid w:val="4E5131FA"/>
    <w:rsid w:val="4E5A4EB6"/>
    <w:rsid w:val="4E68E974"/>
    <w:rsid w:val="4E6FA202"/>
    <w:rsid w:val="4EA41D24"/>
    <w:rsid w:val="4ED16198"/>
    <w:rsid w:val="4EDD1756"/>
    <w:rsid w:val="4EF2327A"/>
    <w:rsid w:val="4F0F2EB6"/>
    <w:rsid w:val="4F3F2354"/>
    <w:rsid w:val="4F5C6EFA"/>
    <w:rsid w:val="4F63141E"/>
    <w:rsid w:val="4F725EA2"/>
    <w:rsid w:val="4F7E2917"/>
    <w:rsid w:val="4F9493C6"/>
    <w:rsid w:val="4FA76503"/>
    <w:rsid w:val="4FB025A8"/>
    <w:rsid w:val="4FBB8117"/>
    <w:rsid w:val="4FD19775"/>
    <w:rsid w:val="4FF312AC"/>
    <w:rsid w:val="50077CFE"/>
    <w:rsid w:val="5011A981"/>
    <w:rsid w:val="50231112"/>
    <w:rsid w:val="5029F351"/>
    <w:rsid w:val="502C58C9"/>
    <w:rsid w:val="502DAD6D"/>
    <w:rsid w:val="503617EB"/>
    <w:rsid w:val="5038E899"/>
    <w:rsid w:val="5050CFF8"/>
    <w:rsid w:val="5072EFA0"/>
    <w:rsid w:val="507A6173"/>
    <w:rsid w:val="507DB8BA"/>
    <w:rsid w:val="50818403"/>
    <w:rsid w:val="5082776F"/>
    <w:rsid w:val="508CE4CF"/>
    <w:rsid w:val="50B49BD3"/>
    <w:rsid w:val="50E925C9"/>
    <w:rsid w:val="514CD039"/>
    <w:rsid w:val="517106CC"/>
    <w:rsid w:val="518B080F"/>
    <w:rsid w:val="51963586"/>
    <w:rsid w:val="51A921A2"/>
    <w:rsid w:val="51D073A0"/>
    <w:rsid w:val="51E6879C"/>
    <w:rsid w:val="51F61F88"/>
    <w:rsid w:val="51FE9DEE"/>
    <w:rsid w:val="51FF6EF8"/>
    <w:rsid w:val="520D9AFD"/>
    <w:rsid w:val="52257360"/>
    <w:rsid w:val="5225DDEF"/>
    <w:rsid w:val="52587A72"/>
    <w:rsid w:val="528EED9E"/>
    <w:rsid w:val="529CC8DE"/>
    <w:rsid w:val="52C8B999"/>
    <w:rsid w:val="52E05CD9"/>
    <w:rsid w:val="52ECBFCC"/>
    <w:rsid w:val="52F0C27B"/>
    <w:rsid w:val="52F7F411"/>
    <w:rsid w:val="52FF2A5E"/>
    <w:rsid w:val="53001705"/>
    <w:rsid w:val="530391CB"/>
    <w:rsid w:val="53050615"/>
    <w:rsid w:val="53126F6A"/>
    <w:rsid w:val="53134206"/>
    <w:rsid w:val="53531BA4"/>
    <w:rsid w:val="5355EE85"/>
    <w:rsid w:val="53577527"/>
    <w:rsid w:val="5360B0C9"/>
    <w:rsid w:val="5370895B"/>
    <w:rsid w:val="53A4CB47"/>
    <w:rsid w:val="53FE1A6D"/>
    <w:rsid w:val="541A142F"/>
    <w:rsid w:val="5421448D"/>
    <w:rsid w:val="542BD6DC"/>
    <w:rsid w:val="542F6578"/>
    <w:rsid w:val="5454A5BC"/>
    <w:rsid w:val="54555F64"/>
    <w:rsid w:val="5461DA07"/>
    <w:rsid w:val="54712FC7"/>
    <w:rsid w:val="5491843A"/>
    <w:rsid w:val="54AF2A77"/>
    <w:rsid w:val="54B88E28"/>
    <w:rsid w:val="54C9EC73"/>
    <w:rsid w:val="54F96D09"/>
    <w:rsid w:val="55041CEB"/>
    <w:rsid w:val="551B551D"/>
    <w:rsid w:val="5535C894"/>
    <w:rsid w:val="5543C067"/>
    <w:rsid w:val="554660C3"/>
    <w:rsid w:val="5568F4C0"/>
    <w:rsid w:val="557B69D3"/>
    <w:rsid w:val="55842D21"/>
    <w:rsid w:val="5595919E"/>
    <w:rsid w:val="55E799E4"/>
    <w:rsid w:val="55F00BDC"/>
    <w:rsid w:val="560124D1"/>
    <w:rsid w:val="5611F35B"/>
    <w:rsid w:val="565A7D98"/>
    <w:rsid w:val="566CEF63"/>
    <w:rsid w:val="5699DC86"/>
    <w:rsid w:val="56A77210"/>
    <w:rsid w:val="56B659A6"/>
    <w:rsid w:val="56BDD8BF"/>
    <w:rsid w:val="56D1DE64"/>
    <w:rsid w:val="56D3473B"/>
    <w:rsid w:val="56D4ED7E"/>
    <w:rsid w:val="5704ED3E"/>
    <w:rsid w:val="571E1AEC"/>
    <w:rsid w:val="57AA40DD"/>
    <w:rsid w:val="57B0771C"/>
    <w:rsid w:val="57BBFB0F"/>
    <w:rsid w:val="57EF7EE9"/>
    <w:rsid w:val="57F8771A"/>
    <w:rsid w:val="5805B7FB"/>
    <w:rsid w:val="585247CB"/>
    <w:rsid w:val="5887C27D"/>
    <w:rsid w:val="589FC487"/>
    <w:rsid w:val="58BDAD2F"/>
    <w:rsid w:val="58CC094A"/>
    <w:rsid w:val="58D86428"/>
    <w:rsid w:val="58E2BB30"/>
    <w:rsid w:val="5902EE8A"/>
    <w:rsid w:val="590EE60F"/>
    <w:rsid w:val="5918D398"/>
    <w:rsid w:val="591E22D1"/>
    <w:rsid w:val="59430FFE"/>
    <w:rsid w:val="594F75D7"/>
    <w:rsid w:val="59504B72"/>
    <w:rsid w:val="597C6B3F"/>
    <w:rsid w:val="5982A540"/>
    <w:rsid w:val="5986A4FF"/>
    <w:rsid w:val="59878544"/>
    <w:rsid w:val="599D23DF"/>
    <w:rsid w:val="59B4691A"/>
    <w:rsid w:val="5A3D9986"/>
    <w:rsid w:val="5A6862FF"/>
    <w:rsid w:val="5A736669"/>
    <w:rsid w:val="5AA3A8A6"/>
    <w:rsid w:val="5AAC0BE3"/>
    <w:rsid w:val="5B0AD77E"/>
    <w:rsid w:val="5B0D0DC4"/>
    <w:rsid w:val="5B1C8BF4"/>
    <w:rsid w:val="5B3B40E1"/>
    <w:rsid w:val="5B46CDC4"/>
    <w:rsid w:val="5B578B4A"/>
    <w:rsid w:val="5B57AB34"/>
    <w:rsid w:val="5B5A3D5E"/>
    <w:rsid w:val="5B670430"/>
    <w:rsid w:val="5B763ABE"/>
    <w:rsid w:val="5B784B79"/>
    <w:rsid w:val="5B7CEB61"/>
    <w:rsid w:val="5B8649A2"/>
    <w:rsid w:val="5BB37150"/>
    <w:rsid w:val="5BC1767D"/>
    <w:rsid w:val="5BE19A3A"/>
    <w:rsid w:val="5BE1E4C4"/>
    <w:rsid w:val="5BE63E46"/>
    <w:rsid w:val="5BF97FED"/>
    <w:rsid w:val="5C24871D"/>
    <w:rsid w:val="5C6A72A6"/>
    <w:rsid w:val="5C6BB6C7"/>
    <w:rsid w:val="5C7016B1"/>
    <w:rsid w:val="5C7FD6E7"/>
    <w:rsid w:val="5CB2B198"/>
    <w:rsid w:val="5CC01899"/>
    <w:rsid w:val="5CD58999"/>
    <w:rsid w:val="5D40CF3D"/>
    <w:rsid w:val="5D5C3BC2"/>
    <w:rsid w:val="5D7FB52F"/>
    <w:rsid w:val="5D86ED33"/>
    <w:rsid w:val="5DAF3F67"/>
    <w:rsid w:val="5DCA6318"/>
    <w:rsid w:val="5DDDEB29"/>
    <w:rsid w:val="5DF56BCD"/>
    <w:rsid w:val="5E099E1E"/>
    <w:rsid w:val="5E162D53"/>
    <w:rsid w:val="5E363C02"/>
    <w:rsid w:val="5E62F9EA"/>
    <w:rsid w:val="5E7787A7"/>
    <w:rsid w:val="5E98F4A0"/>
    <w:rsid w:val="5EA68EA7"/>
    <w:rsid w:val="5EAB8808"/>
    <w:rsid w:val="5EB50050"/>
    <w:rsid w:val="5ECD1689"/>
    <w:rsid w:val="5ED6B082"/>
    <w:rsid w:val="5EEA7755"/>
    <w:rsid w:val="5F170875"/>
    <w:rsid w:val="5F22FA1C"/>
    <w:rsid w:val="5F25BFDF"/>
    <w:rsid w:val="5F49D956"/>
    <w:rsid w:val="5F4E492D"/>
    <w:rsid w:val="5F5483B9"/>
    <w:rsid w:val="5F70BF02"/>
    <w:rsid w:val="5F77A4FE"/>
    <w:rsid w:val="5F9FCAE8"/>
    <w:rsid w:val="5FA90DCE"/>
    <w:rsid w:val="5FC0AC03"/>
    <w:rsid w:val="5FE16E53"/>
    <w:rsid w:val="5FF32F3F"/>
    <w:rsid w:val="5FFF061B"/>
    <w:rsid w:val="60034D00"/>
    <w:rsid w:val="601024C1"/>
    <w:rsid w:val="601A568A"/>
    <w:rsid w:val="601A7C24"/>
    <w:rsid w:val="60263E9D"/>
    <w:rsid w:val="607566AB"/>
    <w:rsid w:val="607F6037"/>
    <w:rsid w:val="60CED2B4"/>
    <w:rsid w:val="60CEF512"/>
    <w:rsid w:val="60DB174B"/>
    <w:rsid w:val="60E89E29"/>
    <w:rsid w:val="60EA2B49"/>
    <w:rsid w:val="60EECF08"/>
    <w:rsid w:val="611918D2"/>
    <w:rsid w:val="61228E5C"/>
    <w:rsid w:val="613EFB48"/>
    <w:rsid w:val="61429A13"/>
    <w:rsid w:val="616AC93A"/>
    <w:rsid w:val="619B95E6"/>
    <w:rsid w:val="619E6268"/>
    <w:rsid w:val="61A4B136"/>
    <w:rsid w:val="61D8D144"/>
    <w:rsid w:val="61EFA77C"/>
    <w:rsid w:val="62013686"/>
    <w:rsid w:val="62146F8B"/>
    <w:rsid w:val="6216365A"/>
    <w:rsid w:val="622D6DFF"/>
    <w:rsid w:val="6241490F"/>
    <w:rsid w:val="625E51B4"/>
    <w:rsid w:val="6287AF0E"/>
    <w:rsid w:val="629BDFDA"/>
    <w:rsid w:val="62A90318"/>
    <w:rsid w:val="62B2FB8E"/>
    <w:rsid w:val="62F0ACF4"/>
    <w:rsid w:val="63236FD8"/>
    <w:rsid w:val="632CAEC6"/>
    <w:rsid w:val="635279F6"/>
    <w:rsid w:val="63779D5D"/>
    <w:rsid w:val="6397390F"/>
    <w:rsid w:val="63A7EA14"/>
    <w:rsid w:val="63DAC726"/>
    <w:rsid w:val="63E03295"/>
    <w:rsid w:val="63E791C6"/>
    <w:rsid w:val="63EDDD74"/>
    <w:rsid w:val="642D8B54"/>
    <w:rsid w:val="6459C423"/>
    <w:rsid w:val="64611278"/>
    <w:rsid w:val="646BCA28"/>
    <w:rsid w:val="647785D6"/>
    <w:rsid w:val="647AA48B"/>
    <w:rsid w:val="64890726"/>
    <w:rsid w:val="648F159E"/>
    <w:rsid w:val="64AA62F2"/>
    <w:rsid w:val="64AC8D06"/>
    <w:rsid w:val="64BF4039"/>
    <w:rsid w:val="64CB6D7B"/>
    <w:rsid w:val="64CD7CF1"/>
    <w:rsid w:val="64CE26A7"/>
    <w:rsid w:val="64D0BB1A"/>
    <w:rsid w:val="64DDD4F0"/>
    <w:rsid w:val="6506D4F6"/>
    <w:rsid w:val="650B21B9"/>
    <w:rsid w:val="65197B08"/>
    <w:rsid w:val="651D7C6F"/>
    <w:rsid w:val="65296DC3"/>
    <w:rsid w:val="65353C76"/>
    <w:rsid w:val="6548982E"/>
    <w:rsid w:val="6552853D"/>
    <w:rsid w:val="655BC9CF"/>
    <w:rsid w:val="6573A406"/>
    <w:rsid w:val="658E866F"/>
    <w:rsid w:val="65EE7256"/>
    <w:rsid w:val="65F2B4C3"/>
    <w:rsid w:val="6605FB89"/>
    <w:rsid w:val="6639A877"/>
    <w:rsid w:val="66562C39"/>
    <w:rsid w:val="668AACA9"/>
    <w:rsid w:val="669C8CD9"/>
    <w:rsid w:val="66C8E90C"/>
    <w:rsid w:val="66E5D409"/>
    <w:rsid w:val="66F65FE0"/>
    <w:rsid w:val="66FDA218"/>
    <w:rsid w:val="67000280"/>
    <w:rsid w:val="67036AF4"/>
    <w:rsid w:val="6741328D"/>
    <w:rsid w:val="67758AD6"/>
    <w:rsid w:val="678CFAD3"/>
    <w:rsid w:val="679BA892"/>
    <w:rsid w:val="67C07821"/>
    <w:rsid w:val="67C8CBAB"/>
    <w:rsid w:val="67CE1309"/>
    <w:rsid w:val="67FB4EA6"/>
    <w:rsid w:val="682BBD1C"/>
    <w:rsid w:val="6842F419"/>
    <w:rsid w:val="6860CF98"/>
    <w:rsid w:val="6870C6FC"/>
    <w:rsid w:val="6875AE9E"/>
    <w:rsid w:val="6879F193"/>
    <w:rsid w:val="689C12D5"/>
    <w:rsid w:val="68B7CDE6"/>
    <w:rsid w:val="68DA426B"/>
    <w:rsid w:val="690312CB"/>
    <w:rsid w:val="691EDF30"/>
    <w:rsid w:val="6927E305"/>
    <w:rsid w:val="69318ED4"/>
    <w:rsid w:val="69534E03"/>
    <w:rsid w:val="697511F1"/>
    <w:rsid w:val="697AE7BE"/>
    <w:rsid w:val="697F42BC"/>
    <w:rsid w:val="69C32E00"/>
    <w:rsid w:val="69CC3795"/>
    <w:rsid w:val="6A21F5BD"/>
    <w:rsid w:val="6A33A09F"/>
    <w:rsid w:val="6A41A182"/>
    <w:rsid w:val="6A4D3E30"/>
    <w:rsid w:val="6A570492"/>
    <w:rsid w:val="6A6593F4"/>
    <w:rsid w:val="6A727116"/>
    <w:rsid w:val="6A7AA96F"/>
    <w:rsid w:val="6A8150FD"/>
    <w:rsid w:val="6A93BA9E"/>
    <w:rsid w:val="6A9789D9"/>
    <w:rsid w:val="6AFD97A4"/>
    <w:rsid w:val="6B19C239"/>
    <w:rsid w:val="6B1A1AFD"/>
    <w:rsid w:val="6B37517E"/>
    <w:rsid w:val="6B46C131"/>
    <w:rsid w:val="6B590244"/>
    <w:rsid w:val="6B69F77B"/>
    <w:rsid w:val="6B7C9B5A"/>
    <w:rsid w:val="6BBA8B3A"/>
    <w:rsid w:val="6BC41EDF"/>
    <w:rsid w:val="6BD41657"/>
    <w:rsid w:val="6C17B029"/>
    <w:rsid w:val="6C20CE9D"/>
    <w:rsid w:val="6C359B57"/>
    <w:rsid w:val="6C3D4FF9"/>
    <w:rsid w:val="6C5411AA"/>
    <w:rsid w:val="6C64E4CA"/>
    <w:rsid w:val="6C681446"/>
    <w:rsid w:val="6C6F19B5"/>
    <w:rsid w:val="6C78E34D"/>
    <w:rsid w:val="6C96A003"/>
    <w:rsid w:val="6CB78C69"/>
    <w:rsid w:val="6CC4D533"/>
    <w:rsid w:val="6CD1136E"/>
    <w:rsid w:val="6CE5D383"/>
    <w:rsid w:val="6CF44205"/>
    <w:rsid w:val="6CF568CE"/>
    <w:rsid w:val="6CFD0E24"/>
    <w:rsid w:val="6D27FAB5"/>
    <w:rsid w:val="6D3D09AF"/>
    <w:rsid w:val="6D3F87BC"/>
    <w:rsid w:val="6D5D8D20"/>
    <w:rsid w:val="6DA27F79"/>
    <w:rsid w:val="6DD00823"/>
    <w:rsid w:val="6DD3E247"/>
    <w:rsid w:val="6DF18A00"/>
    <w:rsid w:val="6E0B1607"/>
    <w:rsid w:val="6E0E23A9"/>
    <w:rsid w:val="6E17AA46"/>
    <w:rsid w:val="6E1D2F69"/>
    <w:rsid w:val="6E2A9DEC"/>
    <w:rsid w:val="6E2BE99F"/>
    <w:rsid w:val="6E2E0F2B"/>
    <w:rsid w:val="6E53094B"/>
    <w:rsid w:val="6E5BA516"/>
    <w:rsid w:val="6E5CE4C0"/>
    <w:rsid w:val="6E742A7D"/>
    <w:rsid w:val="6E74D2FA"/>
    <w:rsid w:val="6E96335E"/>
    <w:rsid w:val="6EB3075B"/>
    <w:rsid w:val="6EE1DDB7"/>
    <w:rsid w:val="6EE2013C"/>
    <w:rsid w:val="6EF5E9F0"/>
    <w:rsid w:val="6EFCD5FB"/>
    <w:rsid w:val="6F2DE40F"/>
    <w:rsid w:val="6F3C442D"/>
    <w:rsid w:val="6F4040B4"/>
    <w:rsid w:val="6F415527"/>
    <w:rsid w:val="6F4D6870"/>
    <w:rsid w:val="6F5876FE"/>
    <w:rsid w:val="6F5DD6EB"/>
    <w:rsid w:val="6F60C668"/>
    <w:rsid w:val="6F76B6F7"/>
    <w:rsid w:val="6F941B26"/>
    <w:rsid w:val="6FB197F7"/>
    <w:rsid w:val="6FC47AB4"/>
    <w:rsid w:val="7009FBB6"/>
    <w:rsid w:val="7012F360"/>
    <w:rsid w:val="702BE252"/>
    <w:rsid w:val="704C7E1C"/>
    <w:rsid w:val="70547559"/>
    <w:rsid w:val="7061E78E"/>
    <w:rsid w:val="709BD6F6"/>
    <w:rsid w:val="70DBB577"/>
    <w:rsid w:val="70DD4422"/>
    <w:rsid w:val="70E14284"/>
    <w:rsid w:val="711E666C"/>
    <w:rsid w:val="712D578E"/>
    <w:rsid w:val="712F4926"/>
    <w:rsid w:val="71655C0E"/>
    <w:rsid w:val="716CED69"/>
    <w:rsid w:val="717974E7"/>
    <w:rsid w:val="71A5FB66"/>
    <w:rsid w:val="71A7917F"/>
    <w:rsid w:val="71B4E2FA"/>
    <w:rsid w:val="71C06C13"/>
    <w:rsid w:val="71EC55B5"/>
    <w:rsid w:val="71F6F8E7"/>
    <w:rsid w:val="71FF45FC"/>
    <w:rsid w:val="721537E8"/>
    <w:rsid w:val="721B4E60"/>
    <w:rsid w:val="7229938B"/>
    <w:rsid w:val="72359D21"/>
    <w:rsid w:val="7244AF06"/>
    <w:rsid w:val="727BFA02"/>
    <w:rsid w:val="72A07DA9"/>
    <w:rsid w:val="72B377B0"/>
    <w:rsid w:val="72C94CB9"/>
    <w:rsid w:val="72E6C44D"/>
    <w:rsid w:val="72FE9E7B"/>
    <w:rsid w:val="736122B3"/>
    <w:rsid w:val="7369C4CB"/>
    <w:rsid w:val="73848701"/>
    <w:rsid w:val="738C07F9"/>
    <w:rsid w:val="73AA40C6"/>
    <w:rsid w:val="73C39CEB"/>
    <w:rsid w:val="73E3B7A6"/>
    <w:rsid w:val="743D8391"/>
    <w:rsid w:val="74783B71"/>
    <w:rsid w:val="74A7C379"/>
    <w:rsid w:val="74AAD262"/>
    <w:rsid w:val="74C1984E"/>
    <w:rsid w:val="74C44FF5"/>
    <w:rsid w:val="74E50104"/>
    <w:rsid w:val="75074104"/>
    <w:rsid w:val="750C1186"/>
    <w:rsid w:val="75545C32"/>
    <w:rsid w:val="7576975A"/>
    <w:rsid w:val="7577235A"/>
    <w:rsid w:val="7596A6FE"/>
    <w:rsid w:val="7597A15C"/>
    <w:rsid w:val="75BDBE9B"/>
    <w:rsid w:val="75F802AE"/>
    <w:rsid w:val="76024BA0"/>
    <w:rsid w:val="7633A63E"/>
    <w:rsid w:val="76390313"/>
    <w:rsid w:val="7651F442"/>
    <w:rsid w:val="765A32F9"/>
    <w:rsid w:val="767A89C1"/>
    <w:rsid w:val="7684E2BA"/>
    <w:rsid w:val="768EB546"/>
    <w:rsid w:val="76AFDA99"/>
    <w:rsid w:val="76BF3C2C"/>
    <w:rsid w:val="76D1D303"/>
    <w:rsid w:val="76E5C2DC"/>
    <w:rsid w:val="77177494"/>
    <w:rsid w:val="7754F115"/>
    <w:rsid w:val="7757B93F"/>
    <w:rsid w:val="776F6F1D"/>
    <w:rsid w:val="7770312E"/>
    <w:rsid w:val="7775066D"/>
    <w:rsid w:val="77C89F2B"/>
    <w:rsid w:val="77E3A2ED"/>
    <w:rsid w:val="77F74F30"/>
    <w:rsid w:val="780090A5"/>
    <w:rsid w:val="780DAEF8"/>
    <w:rsid w:val="78228137"/>
    <w:rsid w:val="782A4B2E"/>
    <w:rsid w:val="782CE2FF"/>
    <w:rsid w:val="782D40EF"/>
    <w:rsid w:val="78D2BC09"/>
    <w:rsid w:val="78DA7AC1"/>
    <w:rsid w:val="78F77886"/>
    <w:rsid w:val="79024D6B"/>
    <w:rsid w:val="79230FC9"/>
    <w:rsid w:val="7929A716"/>
    <w:rsid w:val="7943EEAE"/>
    <w:rsid w:val="798574C5"/>
    <w:rsid w:val="799B1F82"/>
    <w:rsid w:val="79AC31C7"/>
    <w:rsid w:val="79AE71D7"/>
    <w:rsid w:val="79B27460"/>
    <w:rsid w:val="79B6983E"/>
    <w:rsid w:val="79C29F53"/>
    <w:rsid w:val="79EF389D"/>
    <w:rsid w:val="79F28B6E"/>
    <w:rsid w:val="79F6AFD7"/>
    <w:rsid w:val="7A22DA9F"/>
    <w:rsid w:val="7A23FCD7"/>
    <w:rsid w:val="7A277D30"/>
    <w:rsid w:val="7A343472"/>
    <w:rsid w:val="7A3C715C"/>
    <w:rsid w:val="7A3F9E18"/>
    <w:rsid w:val="7A4A40FD"/>
    <w:rsid w:val="7A930C59"/>
    <w:rsid w:val="7AAD9C42"/>
    <w:rsid w:val="7ABA52D5"/>
    <w:rsid w:val="7AC4E042"/>
    <w:rsid w:val="7ACACD63"/>
    <w:rsid w:val="7ACB543D"/>
    <w:rsid w:val="7ACCA86D"/>
    <w:rsid w:val="7AD6E9AB"/>
    <w:rsid w:val="7AD96E1B"/>
    <w:rsid w:val="7AFA37F2"/>
    <w:rsid w:val="7B1A7840"/>
    <w:rsid w:val="7B4C1BFB"/>
    <w:rsid w:val="7B5C5A38"/>
    <w:rsid w:val="7B7550F1"/>
    <w:rsid w:val="7B7B9B88"/>
    <w:rsid w:val="7B876D74"/>
    <w:rsid w:val="7B877DBE"/>
    <w:rsid w:val="7BC05C44"/>
    <w:rsid w:val="7BC7CC3F"/>
    <w:rsid w:val="7BF647DF"/>
    <w:rsid w:val="7C0EE586"/>
    <w:rsid w:val="7C1ABA39"/>
    <w:rsid w:val="7C29DE1C"/>
    <w:rsid w:val="7C339795"/>
    <w:rsid w:val="7C393A9C"/>
    <w:rsid w:val="7C3FB0B7"/>
    <w:rsid w:val="7C404CB5"/>
    <w:rsid w:val="7CA7466D"/>
    <w:rsid w:val="7CE339B1"/>
    <w:rsid w:val="7CF5438C"/>
    <w:rsid w:val="7CFD16D7"/>
    <w:rsid w:val="7D00D84C"/>
    <w:rsid w:val="7D04D8DF"/>
    <w:rsid w:val="7D145A67"/>
    <w:rsid w:val="7D24A28E"/>
    <w:rsid w:val="7D38DD28"/>
    <w:rsid w:val="7D5AA730"/>
    <w:rsid w:val="7D96C453"/>
    <w:rsid w:val="7DA561D7"/>
    <w:rsid w:val="7DADA708"/>
    <w:rsid w:val="7DC021E5"/>
    <w:rsid w:val="7E1355A0"/>
    <w:rsid w:val="7E185953"/>
    <w:rsid w:val="7E22D9E6"/>
    <w:rsid w:val="7E27986A"/>
    <w:rsid w:val="7E4417B9"/>
    <w:rsid w:val="7E4BE826"/>
    <w:rsid w:val="7EAE410B"/>
    <w:rsid w:val="7EB55DBC"/>
    <w:rsid w:val="7EC0C683"/>
    <w:rsid w:val="7ECC9DB3"/>
    <w:rsid w:val="7EEB1BAF"/>
    <w:rsid w:val="7EF89A11"/>
    <w:rsid w:val="7F103D4C"/>
    <w:rsid w:val="7F29976D"/>
    <w:rsid w:val="7F6253BF"/>
    <w:rsid w:val="7F8C25F6"/>
    <w:rsid w:val="7F9B0739"/>
    <w:rsid w:val="7FC8707C"/>
    <w:rsid w:val="7FCC4975"/>
    <w:rsid w:val="7FED47FD"/>
    <w:rsid w:val="7FF498EC"/>
  </w:rsids>
  <m:mathPr>
    <m:mathFont m:val="Cambria Math"/>
    <m:brkBin m:val="before"/>
    <m:brkBinSub m:val="--"/>
    <m:smallFrac m:val="0"/>
    <m:dispDef/>
    <m:lMargin m:val="1440"/>
    <m:rMargin m:val="144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781405"/>
  <w15:docId w15:val="{B9EAFE18-D0F3-4312-B693-0241812D4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sq-A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073F"/>
    <w:pPr>
      <w:spacing w:before="100" w:after="100"/>
      <w:jc w:val="both"/>
    </w:pPr>
    <w:rPr>
      <w:rFonts w:ascii="Arial" w:eastAsiaTheme="minorEastAsia" w:hAnsi="Arial"/>
      <w:color w:val="0F0D29" w:themeColor="text1"/>
      <w:sz w:val="20"/>
      <w:szCs w:val="22"/>
    </w:rPr>
  </w:style>
  <w:style w:type="paragraph" w:styleId="Heading1">
    <w:name w:val="heading 1"/>
    <w:basedOn w:val="Normal"/>
    <w:link w:val="Heading1Char"/>
    <w:uiPriority w:val="4"/>
    <w:qFormat/>
    <w:rsid w:val="00341597"/>
    <w:pPr>
      <w:keepNext/>
      <w:numPr>
        <w:numId w:val="1"/>
      </w:numPr>
      <w:spacing w:after="60" w:line="252" w:lineRule="auto"/>
      <w:ind w:left="432"/>
      <w:jc w:val="left"/>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301FAB"/>
    <w:pPr>
      <w:keepNext/>
      <w:numPr>
        <w:ilvl w:val="1"/>
        <w:numId w:val="1"/>
      </w:numPr>
      <w:spacing w:after="240" w:line="240" w:lineRule="auto"/>
      <w:jc w:val="left"/>
      <w:outlineLvl w:val="1"/>
    </w:pPr>
    <w:rPr>
      <w:rFonts w:eastAsiaTheme="majorEastAsia" w:cstheme="majorBidi"/>
      <w:b/>
      <w:sz w:val="32"/>
      <w:szCs w:val="26"/>
    </w:rPr>
  </w:style>
  <w:style w:type="paragraph" w:styleId="Heading3">
    <w:name w:val="heading 3"/>
    <w:basedOn w:val="Normal"/>
    <w:next w:val="Normal"/>
    <w:link w:val="Heading3Char"/>
    <w:uiPriority w:val="5"/>
    <w:unhideWhenUsed/>
    <w:qFormat/>
    <w:rsid w:val="00301FAB"/>
    <w:pPr>
      <w:keepNext/>
      <w:keepLines/>
      <w:numPr>
        <w:numId w:val="55"/>
      </w:numPr>
      <w:spacing w:before="200" w:after="200" w:line="240" w:lineRule="auto"/>
      <w:outlineLvl w:val="2"/>
    </w:pPr>
    <w:rPr>
      <w:rFonts w:asciiTheme="majorHAnsi" w:eastAsiaTheme="majorEastAsia" w:hAnsiTheme="majorHAnsi" w:cstheme="majorBidi"/>
      <w:color w:val="012639" w:themeColor="accent1" w:themeShade="7F"/>
      <w:sz w:val="22"/>
      <w:szCs w:val="24"/>
    </w:rPr>
  </w:style>
  <w:style w:type="paragraph" w:styleId="Heading4">
    <w:name w:val="heading 4"/>
    <w:basedOn w:val="Normal"/>
    <w:next w:val="Normal"/>
    <w:link w:val="Heading4Char"/>
    <w:uiPriority w:val="9"/>
    <w:unhideWhenUsed/>
    <w:qFormat/>
    <w:rsid w:val="00BD4E9E"/>
    <w:pPr>
      <w:keepNext/>
      <w:keepLines/>
      <w:numPr>
        <w:numId w:val="12"/>
      </w:numPr>
      <w:spacing w:before="40" w:after="200"/>
      <w:outlineLvl w:val="3"/>
    </w:pPr>
    <w:rPr>
      <w:rFonts w:asciiTheme="majorHAnsi" w:eastAsiaTheme="majorEastAsia" w:hAnsiTheme="majorHAnsi" w:cstheme="majorBidi"/>
      <w:i/>
      <w:iCs/>
      <w:color w:val="013A57" w:themeColor="accent1" w:themeShade="BF"/>
    </w:rPr>
  </w:style>
  <w:style w:type="paragraph" w:styleId="Heading5">
    <w:name w:val="heading 5"/>
    <w:basedOn w:val="Normal"/>
    <w:next w:val="Normal"/>
    <w:link w:val="Heading5Char"/>
    <w:uiPriority w:val="1"/>
    <w:unhideWhenUsed/>
    <w:qFormat/>
    <w:rsid w:val="00BD4E9E"/>
    <w:pPr>
      <w:keepNext/>
      <w:keepLines/>
      <w:numPr>
        <w:ilvl w:val="4"/>
        <w:numId w:val="1"/>
      </w:numPr>
      <w:spacing w:before="40"/>
      <w:outlineLvl w:val="4"/>
    </w:pPr>
    <w:rPr>
      <w:rFonts w:asciiTheme="majorHAnsi" w:eastAsiaTheme="majorEastAsia" w:hAnsiTheme="majorHAnsi" w:cstheme="majorBidi"/>
      <w:color w:val="013A57" w:themeColor="accent1" w:themeShade="BF"/>
    </w:rPr>
  </w:style>
  <w:style w:type="paragraph" w:styleId="Heading6">
    <w:name w:val="heading 6"/>
    <w:basedOn w:val="Normal"/>
    <w:next w:val="Normal"/>
    <w:link w:val="Heading6Char"/>
    <w:uiPriority w:val="1"/>
    <w:unhideWhenUsed/>
    <w:qFormat/>
    <w:rsid w:val="00BD4E9E"/>
    <w:pPr>
      <w:keepNext/>
      <w:keepLines/>
      <w:numPr>
        <w:ilvl w:val="5"/>
        <w:numId w:val="1"/>
      </w:numPr>
      <w:spacing w:before="40"/>
      <w:outlineLvl w:val="5"/>
    </w:pPr>
    <w:rPr>
      <w:rFonts w:asciiTheme="majorHAnsi" w:eastAsiaTheme="majorEastAsia" w:hAnsiTheme="majorHAnsi" w:cstheme="majorBidi"/>
      <w:color w:val="012639" w:themeColor="accent1" w:themeShade="7F"/>
    </w:rPr>
  </w:style>
  <w:style w:type="paragraph" w:styleId="Heading7">
    <w:name w:val="heading 7"/>
    <w:basedOn w:val="Normal"/>
    <w:next w:val="Normal"/>
    <w:link w:val="Heading7Char"/>
    <w:uiPriority w:val="1"/>
    <w:unhideWhenUsed/>
    <w:qFormat/>
    <w:rsid w:val="00BD4E9E"/>
    <w:pPr>
      <w:keepNext/>
      <w:keepLines/>
      <w:numPr>
        <w:ilvl w:val="6"/>
        <w:numId w:val="1"/>
      </w:numPr>
      <w:spacing w:before="40"/>
      <w:outlineLvl w:val="6"/>
    </w:pPr>
    <w:rPr>
      <w:rFonts w:asciiTheme="majorHAnsi" w:eastAsiaTheme="majorEastAsia" w:hAnsiTheme="majorHAnsi" w:cstheme="majorBidi"/>
      <w:i/>
      <w:iCs/>
      <w:color w:val="012639" w:themeColor="accent1" w:themeShade="7F"/>
    </w:rPr>
  </w:style>
  <w:style w:type="paragraph" w:styleId="Heading8">
    <w:name w:val="heading 8"/>
    <w:basedOn w:val="Normal"/>
    <w:next w:val="Normal"/>
    <w:link w:val="Heading8Char"/>
    <w:uiPriority w:val="1"/>
    <w:unhideWhenUsed/>
    <w:qFormat/>
    <w:rsid w:val="00BD4E9E"/>
    <w:pPr>
      <w:keepNext/>
      <w:keepLines/>
      <w:numPr>
        <w:ilvl w:val="7"/>
        <w:numId w:val="1"/>
      </w:numPr>
      <w:spacing w:before="40"/>
      <w:outlineLvl w:val="7"/>
    </w:pPr>
    <w:rPr>
      <w:rFonts w:asciiTheme="majorHAnsi" w:eastAsiaTheme="majorEastAsia" w:hAnsiTheme="majorHAnsi" w:cstheme="majorBidi"/>
      <w:color w:val="221D5D" w:themeColor="text1" w:themeTint="D8"/>
      <w:sz w:val="21"/>
      <w:szCs w:val="21"/>
    </w:rPr>
  </w:style>
  <w:style w:type="paragraph" w:styleId="Heading9">
    <w:name w:val="heading 9"/>
    <w:basedOn w:val="Normal"/>
    <w:next w:val="Normal"/>
    <w:link w:val="Heading9Char"/>
    <w:uiPriority w:val="1"/>
    <w:unhideWhenUsed/>
    <w:qFormat/>
    <w:rsid w:val="00BD4E9E"/>
    <w:pPr>
      <w:keepNext/>
      <w:keepLines/>
      <w:numPr>
        <w:ilvl w:val="8"/>
        <w:numId w:val="1"/>
      </w:numPr>
      <w:spacing w:before="40"/>
      <w:outlineLvl w:val="8"/>
    </w:pPr>
    <w:rPr>
      <w:rFonts w:asciiTheme="majorHAnsi" w:eastAsiaTheme="majorEastAsia" w:hAnsiTheme="majorHAnsi" w:cstheme="majorBidi"/>
      <w:i/>
      <w:iCs/>
      <w:color w:val="221D5D"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0"/>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0"/>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11"/>
    <w:qFormat/>
    <w:rsid w:val="00D86945"/>
    <w:pPr>
      <w:framePr w:hSpace="180" w:wrap="around" w:vAnchor="text" w:hAnchor="margin" w:y="1167"/>
    </w:pPr>
    <w:rPr>
      <w:b/>
      <w:caps/>
      <w:spacing w:val="20"/>
      <w:sz w:val="32"/>
    </w:rPr>
  </w:style>
  <w:style w:type="character" w:customStyle="1" w:styleId="SubtitleChar">
    <w:name w:val="Subtitle Char"/>
    <w:basedOn w:val="DefaultParagraphFont"/>
    <w:link w:val="Subtitle"/>
    <w:uiPriority w:val="11"/>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341597"/>
    <w:rPr>
      <w:rFonts w:asciiTheme="majorHAnsi" w:eastAsiaTheme="majorEastAsia" w:hAnsiTheme="majorHAnsi" w:cstheme="majorBidi"/>
      <w:color w:val="061F57" w:themeColor="text2" w:themeShade="BF"/>
      <w:kern w:val="28"/>
      <w:sz w:val="52"/>
      <w:szCs w:val="32"/>
    </w:rPr>
  </w:style>
  <w:style w:type="paragraph" w:styleId="Header">
    <w:name w:val="header"/>
    <w:basedOn w:val="Normal"/>
    <w:link w:val="HeaderChar"/>
    <w:unhideWhenUsed/>
    <w:rsid w:val="005037F0"/>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301FAB"/>
    <w:rPr>
      <w:rFonts w:ascii="Arial" w:eastAsiaTheme="majorEastAsia" w:hAnsi="Arial" w:cstheme="majorBidi"/>
      <w:b/>
      <w:color w:val="0F0D29" w:themeColor="text1"/>
      <w:sz w:val="32"/>
      <w:szCs w:val="26"/>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aliases w:val="Numbered Para 1,Dot pt,No Spacing1,List Paragraph Char Char Char,Indicator Text,List Paragraph1,Bullet Points,MAIN CONTENT,List Paragraph12,F5 List Paragraph,List Paragraph11,OBC Bullet,Colorful List - Accent 11,Normal numbered,L,lp1,FM"/>
    <w:basedOn w:val="Normal"/>
    <w:link w:val="ListParagraphChar"/>
    <w:uiPriority w:val="34"/>
    <w:qFormat/>
    <w:rsid w:val="002D28D5"/>
    <w:pPr>
      <w:numPr>
        <w:numId w:val="22"/>
      </w:numPr>
      <w:spacing w:after="60"/>
      <w:contextualSpacing/>
    </w:pPr>
    <w:rPr>
      <w:rFonts w:eastAsia="Calibri" w:cs="Calibri"/>
    </w:rPr>
  </w:style>
  <w:style w:type="character" w:styleId="CommentReference">
    <w:name w:val="annotation reference"/>
    <w:basedOn w:val="DefaultParagraphFont"/>
    <w:uiPriority w:val="99"/>
    <w:unhideWhenUsed/>
    <w:rsid w:val="0088143A"/>
    <w:rPr>
      <w:sz w:val="16"/>
      <w:szCs w:val="16"/>
    </w:rPr>
  </w:style>
  <w:style w:type="paragraph" w:styleId="CommentText">
    <w:name w:val="annotation text"/>
    <w:basedOn w:val="Normal"/>
    <w:link w:val="CommentTextChar"/>
    <w:uiPriority w:val="99"/>
    <w:unhideWhenUsed/>
    <w:rsid w:val="0088143A"/>
    <w:pPr>
      <w:spacing w:after="153" w:line="240" w:lineRule="auto"/>
      <w:ind w:left="10" w:hanging="10"/>
    </w:pPr>
    <w:rPr>
      <w:rFonts w:ascii="Calibri" w:eastAsia="Calibri" w:hAnsi="Calibri" w:cs="Calibri"/>
      <w:b/>
      <w:color w:val="050004"/>
      <w:szCs w:val="20"/>
    </w:rPr>
  </w:style>
  <w:style w:type="character" w:customStyle="1" w:styleId="CommentTextChar">
    <w:name w:val="Comment Text Char"/>
    <w:basedOn w:val="DefaultParagraphFont"/>
    <w:link w:val="CommentText"/>
    <w:uiPriority w:val="99"/>
    <w:rsid w:val="0088143A"/>
    <w:rPr>
      <w:rFonts w:ascii="Calibri" w:eastAsia="Calibri" w:hAnsi="Calibri" w:cs="Calibri"/>
      <w:color w:val="050004"/>
      <w:sz w:val="20"/>
      <w:szCs w:val="20"/>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F5 List Paragraph Char,List Paragraph11 Char"/>
    <w:link w:val="ListParagraph"/>
    <w:uiPriority w:val="34"/>
    <w:qFormat/>
    <w:locked/>
    <w:rsid w:val="002D28D5"/>
    <w:rPr>
      <w:rFonts w:ascii="Arial" w:eastAsia="Calibri" w:hAnsi="Arial" w:cs="Calibri"/>
      <w:color w:val="0F0D29" w:themeColor="text1"/>
      <w:sz w:val="20"/>
      <w:szCs w:val="22"/>
    </w:rPr>
  </w:style>
  <w:style w:type="character" w:customStyle="1" w:styleId="Heading3Char">
    <w:name w:val="Heading 3 Char"/>
    <w:basedOn w:val="DefaultParagraphFont"/>
    <w:link w:val="Heading3"/>
    <w:uiPriority w:val="5"/>
    <w:rsid w:val="00301FAB"/>
    <w:rPr>
      <w:rFonts w:asciiTheme="majorHAnsi" w:eastAsiaTheme="majorEastAsia" w:hAnsiTheme="majorHAnsi" w:cstheme="majorBidi"/>
      <w:color w:val="012639" w:themeColor="accent1" w:themeShade="7F"/>
      <w:sz w:val="22"/>
    </w:rPr>
  </w:style>
  <w:style w:type="character" w:customStyle="1" w:styleId="Heading4Char">
    <w:name w:val="Heading 4 Char"/>
    <w:basedOn w:val="DefaultParagraphFont"/>
    <w:link w:val="Heading4"/>
    <w:uiPriority w:val="9"/>
    <w:rsid w:val="00BD4E9E"/>
    <w:rPr>
      <w:rFonts w:asciiTheme="majorHAnsi" w:eastAsiaTheme="majorEastAsia" w:hAnsiTheme="majorHAnsi" w:cstheme="majorBidi"/>
      <w:i/>
      <w:iCs/>
      <w:color w:val="013A57" w:themeColor="accent1" w:themeShade="BF"/>
      <w:sz w:val="20"/>
      <w:szCs w:val="22"/>
    </w:rPr>
  </w:style>
  <w:style w:type="character" w:customStyle="1" w:styleId="Heading5Char">
    <w:name w:val="Heading 5 Char"/>
    <w:basedOn w:val="DefaultParagraphFont"/>
    <w:link w:val="Heading5"/>
    <w:uiPriority w:val="1"/>
    <w:rsid w:val="00BD4E9E"/>
    <w:rPr>
      <w:rFonts w:asciiTheme="majorHAnsi" w:eastAsiaTheme="majorEastAsia" w:hAnsiTheme="majorHAnsi" w:cstheme="majorBidi"/>
      <w:color w:val="013A57" w:themeColor="accent1" w:themeShade="BF"/>
      <w:sz w:val="20"/>
      <w:szCs w:val="22"/>
    </w:rPr>
  </w:style>
  <w:style w:type="character" w:customStyle="1" w:styleId="Heading6Char">
    <w:name w:val="Heading 6 Char"/>
    <w:basedOn w:val="DefaultParagraphFont"/>
    <w:link w:val="Heading6"/>
    <w:uiPriority w:val="1"/>
    <w:rsid w:val="00BD4E9E"/>
    <w:rPr>
      <w:rFonts w:asciiTheme="majorHAnsi" w:eastAsiaTheme="majorEastAsia" w:hAnsiTheme="majorHAnsi" w:cstheme="majorBidi"/>
      <w:color w:val="012639" w:themeColor="accent1" w:themeShade="7F"/>
      <w:sz w:val="20"/>
      <w:szCs w:val="22"/>
    </w:rPr>
  </w:style>
  <w:style w:type="character" w:customStyle="1" w:styleId="Heading7Char">
    <w:name w:val="Heading 7 Char"/>
    <w:basedOn w:val="DefaultParagraphFont"/>
    <w:link w:val="Heading7"/>
    <w:uiPriority w:val="1"/>
    <w:rsid w:val="00BD4E9E"/>
    <w:rPr>
      <w:rFonts w:asciiTheme="majorHAnsi" w:eastAsiaTheme="majorEastAsia" w:hAnsiTheme="majorHAnsi" w:cstheme="majorBidi"/>
      <w:i/>
      <w:iCs/>
      <w:color w:val="012639" w:themeColor="accent1" w:themeShade="7F"/>
      <w:sz w:val="20"/>
      <w:szCs w:val="22"/>
    </w:rPr>
  </w:style>
  <w:style w:type="character" w:customStyle="1" w:styleId="Heading8Char">
    <w:name w:val="Heading 8 Char"/>
    <w:basedOn w:val="DefaultParagraphFont"/>
    <w:link w:val="Heading8"/>
    <w:uiPriority w:val="1"/>
    <w:rsid w:val="00BD4E9E"/>
    <w:rPr>
      <w:rFonts w:asciiTheme="majorHAnsi" w:eastAsiaTheme="majorEastAsia" w:hAnsiTheme="majorHAnsi" w:cstheme="majorBidi"/>
      <w:color w:val="221D5D" w:themeColor="text1" w:themeTint="D8"/>
      <w:sz w:val="21"/>
      <w:szCs w:val="21"/>
    </w:rPr>
  </w:style>
  <w:style w:type="character" w:customStyle="1" w:styleId="Heading9Char">
    <w:name w:val="Heading 9 Char"/>
    <w:basedOn w:val="DefaultParagraphFont"/>
    <w:link w:val="Heading9"/>
    <w:uiPriority w:val="1"/>
    <w:rsid w:val="00BD4E9E"/>
    <w:rPr>
      <w:rFonts w:asciiTheme="majorHAnsi" w:eastAsiaTheme="majorEastAsia" w:hAnsiTheme="majorHAnsi" w:cstheme="majorBidi"/>
      <w:i/>
      <w:iCs/>
      <w:color w:val="221D5D" w:themeColor="text1" w:themeTint="D8"/>
      <w:sz w:val="21"/>
      <w:szCs w:val="21"/>
    </w:rPr>
  </w:style>
  <w:style w:type="character" w:styleId="Hyperlink">
    <w:name w:val="Hyperlink"/>
    <w:basedOn w:val="DefaultParagraphFont"/>
    <w:uiPriority w:val="99"/>
    <w:unhideWhenUsed/>
    <w:rsid w:val="0027589E"/>
    <w:rPr>
      <w:color w:val="3592CF" w:themeColor="hyperlink"/>
      <w:u w:val="single"/>
    </w:rPr>
  </w:style>
  <w:style w:type="paragraph" w:styleId="Caption">
    <w:name w:val="caption"/>
    <w:aliases w:val="Figures,Map,Map Char Char Char,Map Char Char,Tabellen"/>
    <w:basedOn w:val="Normal"/>
    <w:next w:val="Normal"/>
    <w:link w:val="CaptionChar"/>
    <w:uiPriority w:val="35"/>
    <w:qFormat/>
    <w:rsid w:val="0027589E"/>
    <w:pPr>
      <w:spacing w:after="40" w:line="240" w:lineRule="auto"/>
    </w:pPr>
    <w:rPr>
      <w:rFonts w:eastAsiaTheme="minorHAnsi"/>
      <w:b/>
      <w:i/>
      <w:iCs/>
      <w:color w:val="082A75" w:themeColor="text2"/>
      <w:sz w:val="18"/>
    </w:rPr>
  </w:style>
  <w:style w:type="paragraph" w:customStyle="1" w:styleId="BodyText">
    <w:name w:val="BodyText"/>
    <w:basedOn w:val="Normal"/>
    <w:qFormat/>
    <w:rsid w:val="001541CD"/>
    <w:pPr>
      <w:spacing w:line="240" w:lineRule="auto"/>
    </w:pPr>
    <w:rPr>
      <w:rFonts w:eastAsiaTheme="minorHAnsi"/>
      <w:i/>
      <w:color w:val="auto"/>
      <w:sz w:val="16"/>
    </w:rPr>
  </w:style>
  <w:style w:type="character" w:customStyle="1" w:styleId="fontstyle01">
    <w:name w:val="fontstyle01"/>
    <w:basedOn w:val="DefaultParagraphFont"/>
    <w:rsid w:val="00FE04C5"/>
    <w:rPr>
      <w:rFonts w:ascii="TimesNewRomanPSMT" w:hAnsi="TimesNewRomanPSMT" w:hint="default"/>
      <w:b w:val="0"/>
      <w:bCs w:val="0"/>
      <w:i w:val="0"/>
      <w:iCs w:val="0"/>
      <w:color w:val="000000"/>
      <w:sz w:val="24"/>
      <w:szCs w:val="24"/>
    </w:rPr>
  </w:style>
  <w:style w:type="paragraph" w:customStyle="1" w:styleId="Default">
    <w:name w:val="Default"/>
    <w:rsid w:val="00FE04C5"/>
    <w:pPr>
      <w:autoSpaceDE w:val="0"/>
      <w:autoSpaceDN w:val="0"/>
      <w:adjustRightInd w:val="0"/>
      <w:spacing w:after="0" w:line="240" w:lineRule="auto"/>
    </w:pPr>
    <w:rPr>
      <w:rFonts w:ascii="Corbel" w:hAnsi="Corbel" w:cs="Corbel"/>
      <w:color w:val="000000"/>
    </w:rPr>
  </w:style>
  <w:style w:type="paragraph" w:styleId="FootnoteText">
    <w:name w:val="footnote text"/>
    <w:aliases w:val="Footnote,Fußnotentextf,Geneva 9,Font: Geneva 9,Boston 10,f,FOOTNOTES,fn,single space,footnote text"/>
    <w:basedOn w:val="Normal"/>
    <w:link w:val="FootnoteTextChar"/>
    <w:uiPriority w:val="99"/>
    <w:unhideWhenUsed/>
    <w:rsid w:val="00C55684"/>
    <w:pPr>
      <w:spacing w:line="240" w:lineRule="auto"/>
    </w:pPr>
    <w:rPr>
      <w:rFonts w:asciiTheme="minorHAnsi" w:eastAsiaTheme="minorHAnsi" w:hAnsiTheme="minorHAnsi"/>
      <w:color w:val="auto"/>
      <w:szCs w:val="20"/>
    </w:rPr>
  </w:style>
  <w:style w:type="character" w:customStyle="1" w:styleId="FootnoteTextChar">
    <w:name w:val="Footnote Text Char"/>
    <w:aliases w:val="Footnote Char,Fußnotentextf Char,Geneva 9 Char,Font: Geneva 9 Char,Boston 10 Char,f Char,FOOTNOTES Char,fn Char,single space Char,footnote text Char"/>
    <w:basedOn w:val="DefaultParagraphFont"/>
    <w:link w:val="FootnoteText"/>
    <w:uiPriority w:val="99"/>
    <w:rsid w:val="00C55684"/>
    <w:rPr>
      <w:sz w:val="20"/>
      <w:szCs w:val="20"/>
      <w:lang w:val="sq-AL"/>
    </w:rPr>
  </w:style>
  <w:style w:type="character" w:styleId="FootnoteReference">
    <w:name w:val="footnote reference"/>
    <w:aliases w:val="Footnote symbol,Footnote anchor,Times 10 Point,Exposant 3 Point,Footnote reference number,Voetnootverwijzing,Footnote number,fr,Footnotemark,FR,Footnotemark1,Footnotemark2,FR1,Footnotemark3,FR2,Footnotemark4,FR3,Ref,F"/>
    <w:basedOn w:val="DefaultParagraphFont"/>
    <w:uiPriority w:val="99"/>
    <w:unhideWhenUsed/>
    <w:qFormat/>
    <w:rsid w:val="00765833"/>
    <w:rPr>
      <w:rFonts w:ascii="Arial" w:hAnsi="Arial"/>
      <w:vertAlign w:val="superscript"/>
    </w:rPr>
  </w:style>
  <w:style w:type="paragraph" w:styleId="NormalWeb">
    <w:name w:val="Normal (Web)"/>
    <w:basedOn w:val="Normal"/>
    <w:uiPriority w:val="99"/>
    <w:unhideWhenUsed/>
    <w:rsid w:val="00AC526F"/>
    <w:pPr>
      <w:spacing w:beforeAutospacing="1" w:afterAutospacing="1" w:line="240" w:lineRule="auto"/>
    </w:pPr>
    <w:rPr>
      <w:rFonts w:ascii="Times New Roman" w:eastAsia="Times New Roman" w:hAnsi="Times New Roman" w:cs="Times New Roman"/>
      <w:color w:val="auto"/>
      <w:sz w:val="24"/>
      <w:szCs w:val="24"/>
    </w:rPr>
  </w:style>
  <w:style w:type="paragraph" w:customStyle="1" w:styleId="footnotedescription">
    <w:name w:val="footnote description"/>
    <w:next w:val="Normal"/>
    <w:link w:val="footnotedescriptionChar"/>
    <w:hidden/>
    <w:rsid w:val="00426C10"/>
    <w:pPr>
      <w:spacing w:after="0" w:line="261" w:lineRule="auto"/>
    </w:pPr>
    <w:rPr>
      <w:rFonts w:ascii="Calibri" w:eastAsia="Calibri" w:hAnsi="Calibri" w:cs="Calibri"/>
      <w:color w:val="0563C1"/>
      <w:sz w:val="20"/>
      <w:szCs w:val="22"/>
      <w:u w:val="single" w:color="0563C1"/>
    </w:rPr>
  </w:style>
  <w:style w:type="character" w:customStyle="1" w:styleId="footnotedescriptionChar">
    <w:name w:val="footnote description Char"/>
    <w:link w:val="footnotedescription"/>
    <w:rsid w:val="00426C10"/>
    <w:rPr>
      <w:rFonts w:ascii="Calibri" w:eastAsia="Calibri" w:hAnsi="Calibri" w:cs="Calibri"/>
      <w:color w:val="0563C1"/>
      <w:sz w:val="20"/>
      <w:szCs w:val="22"/>
      <w:u w:val="single" w:color="0563C1"/>
    </w:rPr>
  </w:style>
  <w:style w:type="character" w:customStyle="1" w:styleId="footnotemark">
    <w:name w:val="footnote mark"/>
    <w:hidden/>
    <w:rsid w:val="00426C10"/>
    <w:rPr>
      <w:rFonts w:ascii="Calibri" w:eastAsia="Calibri" w:hAnsi="Calibri" w:cs="Calibri"/>
      <w:color w:val="000000"/>
      <w:sz w:val="20"/>
      <w:vertAlign w:val="superscript"/>
    </w:rPr>
  </w:style>
  <w:style w:type="paragraph" w:styleId="EndnoteText">
    <w:name w:val="endnote text"/>
    <w:basedOn w:val="Normal"/>
    <w:link w:val="EndnoteTextChar"/>
    <w:uiPriority w:val="99"/>
    <w:semiHidden/>
    <w:unhideWhenUsed/>
    <w:rsid w:val="00D323AD"/>
    <w:pPr>
      <w:spacing w:after="0" w:line="240" w:lineRule="auto"/>
    </w:pPr>
    <w:rPr>
      <w:szCs w:val="20"/>
    </w:rPr>
  </w:style>
  <w:style w:type="character" w:customStyle="1" w:styleId="EndnoteTextChar">
    <w:name w:val="Endnote Text Char"/>
    <w:basedOn w:val="DefaultParagraphFont"/>
    <w:link w:val="EndnoteText"/>
    <w:uiPriority w:val="99"/>
    <w:rsid w:val="00D323AD"/>
    <w:rPr>
      <w:rFonts w:ascii="Arial" w:eastAsiaTheme="minorEastAsia" w:hAnsi="Arial"/>
      <w:color w:val="0F0D29" w:themeColor="text1"/>
      <w:sz w:val="20"/>
      <w:szCs w:val="20"/>
    </w:rPr>
  </w:style>
  <w:style w:type="character" w:styleId="EndnoteReference">
    <w:name w:val="endnote reference"/>
    <w:basedOn w:val="DefaultParagraphFont"/>
    <w:uiPriority w:val="99"/>
    <w:semiHidden/>
    <w:unhideWhenUsed/>
    <w:rsid w:val="00D323AD"/>
    <w:rPr>
      <w:vertAlign w:val="superscript"/>
    </w:rPr>
  </w:style>
  <w:style w:type="table" w:styleId="GridTable3-Accent1">
    <w:name w:val="Grid Table 3 Accent 1"/>
    <w:basedOn w:val="TableNormal"/>
    <w:uiPriority w:val="48"/>
    <w:rsid w:val="002F4A3A"/>
    <w:pPr>
      <w:spacing w:after="0" w:line="240" w:lineRule="auto"/>
    </w:p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character" w:customStyle="1" w:styleId="CaptionChar">
    <w:name w:val="Caption Char"/>
    <w:aliases w:val="Figures Char,Map Char,Map Char Char Char Char,Map Char Char Char1,Tabellen Char"/>
    <w:link w:val="Caption"/>
    <w:uiPriority w:val="35"/>
    <w:rsid w:val="00592242"/>
    <w:rPr>
      <w:rFonts w:ascii="Arial" w:hAnsi="Arial"/>
      <w:b/>
      <w:i/>
      <w:iCs/>
      <w:color w:val="082A75" w:themeColor="text2"/>
      <w:sz w:val="18"/>
      <w:szCs w:val="22"/>
    </w:rPr>
  </w:style>
  <w:style w:type="table" w:styleId="GridTable5Dark-Accent1">
    <w:name w:val="Grid Table 5 Dark Accent 1"/>
    <w:basedOn w:val="TableNormal"/>
    <w:uiPriority w:val="50"/>
    <w:rsid w:val="00090C8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paragraph" w:styleId="HTMLPreformatted">
    <w:name w:val="HTML Preformatted"/>
    <w:basedOn w:val="Normal"/>
    <w:link w:val="HTMLPreformattedChar"/>
    <w:unhideWhenUsed/>
    <w:rsid w:val="00154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Cs w:val="20"/>
      <w:lang w:eastAsia="en-CA"/>
    </w:rPr>
  </w:style>
  <w:style w:type="character" w:customStyle="1" w:styleId="HTMLPreformattedChar">
    <w:name w:val="HTML Preformatted Char"/>
    <w:basedOn w:val="DefaultParagraphFont"/>
    <w:link w:val="HTMLPreformatted"/>
    <w:uiPriority w:val="99"/>
    <w:rsid w:val="001541CD"/>
    <w:rPr>
      <w:rFonts w:ascii="Courier New" w:eastAsia="Times New Roman" w:hAnsi="Courier New" w:cs="Courier New"/>
      <w:sz w:val="20"/>
      <w:szCs w:val="20"/>
      <w:lang w:val="sq-AL" w:eastAsia="en-CA"/>
    </w:rPr>
  </w:style>
  <w:style w:type="paragraph" w:styleId="CommentSubject">
    <w:name w:val="annotation subject"/>
    <w:basedOn w:val="CommentText"/>
    <w:next w:val="CommentText"/>
    <w:link w:val="CommentSubjectChar"/>
    <w:uiPriority w:val="99"/>
    <w:semiHidden/>
    <w:unhideWhenUsed/>
    <w:rsid w:val="00083BFD"/>
    <w:pPr>
      <w:spacing w:after="100"/>
      <w:ind w:left="0" w:firstLine="0"/>
    </w:pPr>
    <w:rPr>
      <w:rFonts w:ascii="Arial" w:eastAsiaTheme="minorEastAsia" w:hAnsi="Arial" w:cstheme="minorBidi"/>
      <w:bCs/>
      <w:color w:val="0F0D29" w:themeColor="text1"/>
    </w:rPr>
  </w:style>
  <w:style w:type="character" w:customStyle="1" w:styleId="CommentSubjectChar">
    <w:name w:val="Comment Subject Char"/>
    <w:basedOn w:val="CommentTextChar"/>
    <w:link w:val="CommentSubject"/>
    <w:uiPriority w:val="99"/>
    <w:semiHidden/>
    <w:rsid w:val="00083BFD"/>
    <w:rPr>
      <w:rFonts w:ascii="Arial" w:eastAsiaTheme="minorEastAsia" w:hAnsi="Arial" w:cs="Calibri"/>
      <w:b/>
      <w:bCs/>
      <w:color w:val="0F0D29" w:themeColor="text1"/>
      <w:sz w:val="20"/>
      <w:szCs w:val="20"/>
    </w:rPr>
  </w:style>
  <w:style w:type="paragraph" w:styleId="Revision">
    <w:name w:val="Revision"/>
    <w:hidden/>
    <w:uiPriority w:val="99"/>
    <w:semiHidden/>
    <w:rsid w:val="00083BFD"/>
    <w:pPr>
      <w:spacing w:after="0" w:line="240" w:lineRule="auto"/>
    </w:pPr>
    <w:rPr>
      <w:rFonts w:ascii="Arial" w:eastAsiaTheme="minorEastAsia" w:hAnsi="Arial"/>
      <w:color w:val="0F0D29" w:themeColor="text1"/>
      <w:sz w:val="20"/>
      <w:szCs w:val="22"/>
    </w:rPr>
  </w:style>
  <w:style w:type="character" w:styleId="PageNumber">
    <w:name w:val="page number"/>
    <w:basedOn w:val="DefaultParagraphFont"/>
    <w:uiPriority w:val="99"/>
    <w:semiHidden/>
    <w:unhideWhenUsed/>
    <w:rsid w:val="00EB332B"/>
  </w:style>
  <w:style w:type="paragraph" w:customStyle="1" w:styleId="Imprint">
    <w:name w:val="Imprint"/>
    <w:basedOn w:val="Normal"/>
    <w:uiPriority w:val="99"/>
    <w:rsid w:val="00EB332B"/>
    <w:pPr>
      <w:tabs>
        <w:tab w:val="left" w:pos="1340"/>
      </w:tabs>
      <w:autoSpaceDE w:val="0"/>
      <w:autoSpaceDN w:val="0"/>
      <w:adjustRightInd w:val="0"/>
      <w:spacing w:before="120" w:after="60" w:line="168" w:lineRule="atLeast"/>
      <w:jc w:val="left"/>
      <w:textAlignment w:val="center"/>
    </w:pPr>
    <w:rPr>
      <w:rFonts w:ascii="BundesSerif Office" w:eastAsia="Times New Roman" w:hAnsi="BundesSerif Office" w:cs="BundesSerif Regular"/>
      <w:color w:val="5951C8" w:themeColor="text1" w:themeTint="80"/>
      <w:sz w:val="14"/>
      <w:szCs w:val="14"/>
      <w:lang w:eastAsia="de-DE"/>
    </w:rPr>
  </w:style>
  <w:style w:type="character" w:customStyle="1" w:styleId="BundesSansfrImpressum">
    <w:name w:val="BundesSans für Impressum"/>
    <w:uiPriority w:val="99"/>
    <w:rsid w:val="00EB332B"/>
    <w:rPr>
      <w:rFonts w:ascii="BundesSans Office" w:hAnsi="BundesSans Office" w:cs="BundesSans Regular"/>
      <w:color w:val="000000"/>
    </w:rPr>
  </w:style>
  <w:style w:type="paragraph" w:styleId="TableofFigures">
    <w:name w:val="table of figures"/>
    <w:basedOn w:val="Normal"/>
    <w:next w:val="Normal"/>
    <w:uiPriority w:val="99"/>
    <w:unhideWhenUsed/>
    <w:rsid w:val="007941DE"/>
    <w:pPr>
      <w:spacing w:after="0"/>
    </w:pPr>
  </w:style>
  <w:style w:type="character" w:customStyle="1" w:styleId="UnresolvedMention1">
    <w:name w:val="Unresolved Mention1"/>
    <w:basedOn w:val="DefaultParagraphFont"/>
    <w:uiPriority w:val="99"/>
    <w:semiHidden/>
    <w:unhideWhenUsed/>
    <w:rsid w:val="00D54E70"/>
    <w:rPr>
      <w:color w:val="605E5C"/>
      <w:shd w:val="clear" w:color="auto" w:fill="E1DFDD"/>
    </w:rPr>
  </w:style>
  <w:style w:type="paragraph" w:styleId="TOCHeading">
    <w:name w:val="TOC Heading"/>
    <w:basedOn w:val="Heading1"/>
    <w:next w:val="Normal"/>
    <w:uiPriority w:val="39"/>
    <w:unhideWhenUsed/>
    <w:qFormat/>
    <w:rsid w:val="00130A52"/>
    <w:pPr>
      <w:keepLines/>
      <w:numPr>
        <w:numId w:val="0"/>
      </w:numPr>
      <w:spacing w:before="240" w:after="0" w:line="259" w:lineRule="auto"/>
      <w:outlineLvl w:val="9"/>
    </w:pPr>
    <w:rPr>
      <w:color w:val="013A57" w:themeColor="accent1" w:themeShade="BF"/>
      <w:kern w:val="0"/>
      <w:sz w:val="32"/>
    </w:rPr>
  </w:style>
  <w:style w:type="paragraph" w:styleId="TOC1">
    <w:name w:val="toc 1"/>
    <w:basedOn w:val="Normal"/>
    <w:next w:val="Normal"/>
    <w:link w:val="TOC1Char"/>
    <w:autoRedefine/>
    <w:uiPriority w:val="39"/>
    <w:unhideWhenUsed/>
    <w:qFormat/>
    <w:rsid w:val="00BE78EE"/>
    <w:pPr>
      <w:tabs>
        <w:tab w:val="right" w:leader="dot" w:pos="9564"/>
      </w:tabs>
    </w:pPr>
  </w:style>
  <w:style w:type="paragraph" w:styleId="TOC2">
    <w:name w:val="toc 2"/>
    <w:basedOn w:val="Normal"/>
    <w:next w:val="Normal"/>
    <w:autoRedefine/>
    <w:uiPriority w:val="39"/>
    <w:unhideWhenUsed/>
    <w:rsid w:val="00130A52"/>
    <w:pPr>
      <w:ind w:left="200"/>
    </w:pPr>
  </w:style>
  <w:style w:type="paragraph" w:styleId="TOC3">
    <w:name w:val="toc 3"/>
    <w:basedOn w:val="Normal"/>
    <w:next w:val="Normal"/>
    <w:autoRedefine/>
    <w:uiPriority w:val="39"/>
    <w:unhideWhenUsed/>
    <w:rsid w:val="00997AAA"/>
    <w:pPr>
      <w:tabs>
        <w:tab w:val="left" w:pos="880"/>
        <w:tab w:val="right" w:leader="dot" w:pos="9564"/>
      </w:tabs>
      <w:ind w:left="400"/>
    </w:pPr>
  </w:style>
  <w:style w:type="paragraph" w:styleId="TOC4">
    <w:name w:val="toc 4"/>
    <w:basedOn w:val="Normal"/>
    <w:next w:val="Normal"/>
    <w:autoRedefine/>
    <w:uiPriority w:val="39"/>
    <w:unhideWhenUsed/>
    <w:rsid w:val="00130A52"/>
    <w:pPr>
      <w:spacing w:line="259" w:lineRule="auto"/>
      <w:ind w:left="660"/>
      <w:jc w:val="left"/>
    </w:pPr>
    <w:rPr>
      <w:rFonts w:asciiTheme="minorHAnsi" w:hAnsiTheme="minorHAnsi"/>
      <w:color w:val="auto"/>
      <w:sz w:val="22"/>
    </w:rPr>
  </w:style>
  <w:style w:type="paragraph" w:styleId="TOC5">
    <w:name w:val="toc 5"/>
    <w:basedOn w:val="Normal"/>
    <w:next w:val="Normal"/>
    <w:autoRedefine/>
    <w:uiPriority w:val="39"/>
    <w:unhideWhenUsed/>
    <w:rsid w:val="00130A52"/>
    <w:pPr>
      <w:spacing w:line="259" w:lineRule="auto"/>
      <w:ind w:left="880"/>
      <w:jc w:val="left"/>
    </w:pPr>
    <w:rPr>
      <w:rFonts w:asciiTheme="minorHAnsi" w:hAnsiTheme="minorHAnsi"/>
      <w:color w:val="auto"/>
      <w:sz w:val="22"/>
    </w:rPr>
  </w:style>
  <w:style w:type="paragraph" w:styleId="TOC6">
    <w:name w:val="toc 6"/>
    <w:basedOn w:val="Normal"/>
    <w:next w:val="Normal"/>
    <w:autoRedefine/>
    <w:uiPriority w:val="39"/>
    <w:unhideWhenUsed/>
    <w:rsid w:val="00130A52"/>
    <w:pPr>
      <w:spacing w:line="259" w:lineRule="auto"/>
      <w:ind w:left="1100"/>
      <w:jc w:val="left"/>
    </w:pPr>
    <w:rPr>
      <w:rFonts w:asciiTheme="minorHAnsi" w:hAnsiTheme="minorHAnsi"/>
      <w:color w:val="auto"/>
      <w:sz w:val="22"/>
    </w:rPr>
  </w:style>
  <w:style w:type="paragraph" w:styleId="TOC7">
    <w:name w:val="toc 7"/>
    <w:basedOn w:val="Normal"/>
    <w:next w:val="Normal"/>
    <w:autoRedefine/>
    <w:uiPriority w:val="39"/>
    <w:unhideWhenUsed/>
    <w:rsid w:val="00130A52"/>
    <w:pPr>
      <w:spacing w:line="259" w:lineRule="auto"/>
      <w:ind w:left="1320"/>
      <w:jc w:val="left"/>
    </w:pPr>
    <w:rPr>
      <w:rFonts w:asciiTheme="minorHAnsi" w:hAnsiTheme="minorHAnsi"/>
      <w:color w:val="auto"/>
      <w:sz w:val="22"/>
    </w:rPr>
  </w:style>
  <w:style w:type="paragraph" w:styleId="TOC8">
    <w:name w:val="toc 8"/>
    <w:basedOn w:val="Normal"/>
    <w:next w:val="Normal"/>
    <w:autoRedefine/>
    <w:uiPriority w:val="39"/>
    <w:unhideWhenUsed/>
    <w:rsid w:val="00130A52"/>
    <w:pPr>
      <w:spacing w:line="259" w:lineRule="auto"/>
      <w:ind w:left="1540"/>
      <w:jc w:val="left"/>
    </w:pPr>
    <w:rPr>
      <w:rFonts w:asciiTheme="minorHAnsi" w:hAnsiTheme="minorHAnsi"/>
      <w:color w:val="auto"/>
      <w:sz w:val="22"/>
    </w:rPr>
  </w:style>
  <w:style w:type="paragraph" w:styleId="TOC9">
    <w:name w:val="toc 9"/>
    <w:basedOn w:val="Normal"/>
    <w:next w:val="Normal"/>
    <w:autoRedefine/>
    <w:uiPriority w:val="39"/>
    <w:unhideWhenUsed/>
    <w:rsid w:val="00130A52"/>
    <w:pPr>
      <w:spacing w:line="259" w:lineRule="auto"/>
      <w:ind w:left="1760"/>
      <w:jc w:val="left"/>
    </w:pPr>
    <w:rPr>
      <w:rFonts w:asciiTheme="minorHAnsi" w:hAnsiTheme="minorHAnsi"/>
      <w:color w:val="auto"/>
      <w:sz w:val="22"/>
    </w:rPr>
  </w:style>
  <w:style w:type="paragraph" w:styleId="NoSpacing">
    <w:name w:val="No Spacing"/>
    <w:link w:val="NoSpacingChar"/>
    <w:uiPriority w:val="1"/>
    <w:qFormat/>
    <w:rsid w:val="00B10D1B"/>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B10D1B"/>
    <w:rPr>
      <w:rFonts w:eastAsiaTheme="minorEastAsia"/>
      <w:sz w:val="22"/>
      <w:szCs w:val="22"/>
    </w:rPr>
  </w:style>
  <w:style w:type="paragraph" w:customStyle="1" w:styleId="Fliesstext">
    <w:name w:val="_Fliesstext"/>
    <w:basedOn w:val="Normal"/>
    <w:qFormat/>
    <w:rsid w:val="009F4DDD"/>
    <w:pPr>
      <w:spacing w:before="260" w:after="0" w:line="260" w:lineRule="atLeast"/>
      <w:jc w:val="left"/>
    </w:pPr>
    <w:rPr>
      <w:rFonts w:asciiTheme="minorHAnsi" w:eastAsia="MS Mincho" w:hAnsiTheme="minorHAnsi" w:cs="calibri light (Überschriften)"/>
      <w:color w:val="C1D9CB" w:themeColor="accent5"/>
      <w:sz w:val="22"/>
      <w:szCs w:val="20"/>
    </w:rPr>
  </w:style>
  <w:style w:type="paragraph" w:customStyle="1" w:styleId="Aufzhlungen">
    <w:name w:val="_Aufzählungen"/>
    <w:basedOn w:val="Fliesstext"/>
    <w:next w:val="Fliesstext"/>
    <w:qFormat/>
    <w:rsid w:val="009F4DDD"/>
    <w:pPr>
      <w:numPr>
        <w:numId w:val="42"/>
      </w:numPr>
      <w:ind w:left="993" w:hanging="284"/>
      <w:contextualSpacing/>
    </w:pPr>
    <w:rPr>
      <w:lang w:eastAsia="ja-JP"/>
    </w:rPr>
  </w:style>
  <w:style w:type="paragraph" w:customStyle="1" w:styleId="Tabellenberschrift">
    <w:name w:val="_Tabellenüberschrift"/>
    <w:basedOn w:val="Normal"/>
    <w:qFormat/>
    <w:rsid w:val="009F4DDD"/>
    <w:pPr>
      <w:spacing w:after="130" w:line="260" w:lineRule="atLeast"/>
      <w:jc w:val="left"/>
    </w:pPr>
    <w:rPr>
      <w:rFonts w:asciiTheme="minorHAnsi" w:eastAsia="MS Mincho" w:hAnsiTheme="minorHAnsi" w:cs="Calibri"/>
      <w:color w:val="024F75" w:themeColor="accent1"/>
      <w:sz w:val="22"/>
      <w:lang w:eastAsia="ru-RU"/>
    </w:rPr>
  </w:style>
  <w:style w:type="paragraph" w:customStyle="1" w:styleId="Literaturverzeichnis">
    <w:name w:val="_Literaturverzeichnis"/>
    <w:basedOn w:val="Aufzhlungen"/>
    <w:qFormat/>
    <w:rsid w:val="009F4DDD"/>
    <w:pPr>
      <w:numPr>
        <w:numId w:val="0"/>
      </w:numPr>
      <w:ind w:left="284" w:hanging="284"/>
    </w:pPr>
  </w:style>
  <w:style w:type="paragraph" w:styleId="Quote">
    <w:name w:val="Quote"/>
    <w:basedOn w:val="Normal"/>
    <w:next w:val="Normal"/>
    <w:link w:val="QuoteChar"/>
    <w:uiPriority w:val="29"/>
    <w:qFormat/>
    <w:rsid w:val="009F4DDD"/>
    <w:pPr>
      <w:spacing w:before="200" w:after="0" w:line="260" w:lineRule="atLeast"/>
      <w:ind w:left="720" w:right="720"/>
      <w:jc w:val="left"/>
    </w:pPr>
    <w:rPr>
      <w:rFonts w:ascii="Calibri" w:eastAsia="MS Mincho" w:hAnsi="Calibri" w:cs="Times New Roman"/>
      <w:i/>
      <w:color w:val="auto"/>
      <w:sz w:val="22"/>
      <w:szCs w:val="18"/>
    </w:rPr>
  </w:style>
  <w:style w:type="character" w:customStyle="1" w:styleId="QuoteChar">
    <w:name w:val="Quote Char"/>
    <w:basedOn w:val="DefaultParagraphFont"/>
    <w:link w:val="Quote"/>
    <w:uiPriority w:val="29"/>
    <w:rsid w:val="009F4DDD"/>
    <w:rPr>
      <w:rFonts w:ascii="Calibri" w:eastAsia="MS Mincho" w:hAnsi="Calibri" w:cs="Times New Roman"/>
      <w:i/>
      <w:sz w:val="22"/>
      <w:szCs w:val="18"/>
      <w:lang w:val="sq-AL"/>
    </w:rPr>
  </w:style>
  <w:style w:type="paragraph" w:styleId="IntenseQuote">
    <w:name w:val="Intense Quote"/>
    <w:basedOn w:val="Normal"/>
    <w:next w:val="Normal"/>
    <w:link w:val="IntenseQuoteChar"/>
    <w:uiPriority w:val="30"/>
    <w:qFormat/>
    <w:rsid w:val="009F4DDD"/>
    <w:pPr>
      <w:pBdr>
        <w:top w:val="single" w:sz="4" w:space="5" w:color="FFFFFF"/>
        <w:left w:val="single" w:sz="4" w:space="10" w:color="FFFFFF"/>
        <w:bottom w:val="single" w:sz="4" w:space="5" w:color="FFFFFF"/>
        <w:right w:val="single" w:sz="4" w:space="10" w:color="FFFFFF"/>
      </w:pBdr>
      <w:shd w:val="clear" w:color="auto" w:fill="F2F2F2"/>
      <w:spacing w:before="200" w:after="0" w:line="260" w:lineRule="atLeast"/>
      <w:ind w:left="720" w:right="720"/>
      <w:jc w:val="left"/>
    </w:pPr>
    <w:rPr>
      <w:rFonts w:ascii="Calibri" w:eastAsia="MS Mincho" w:hAnsi="Calibri" w:cs="Times New Roman"/>
      <w:i/>
      <w:color w:val="auto"/>
      <w:sz w:val="22"/>
      <w:szCs w:val="18"/>
    </w:rPr>
  </w:style>
  <w:style w:type="character" w:customStyle="1" w:styleId="IntenseQuoteChar">
    <w:name w:val="Intense Quote Char"/>
    <w:basedOn w:val="DefaultParagraphFont"/>
    <w:link w:val="IntenseQuote"/>
    <w:uiPriority w:val="30"/>
    <w:rsid w:val="009F4DDD"/>
    <w:rPr>
      <w:rFonts w:ascii="Calibri" w:eastAsia="MS Mincho" w:hAnsi="Calibri" w:cs="Times New Roman"/>
      <w:i/>
      <w:sz w:val="22"/>
      <w:szCs w:val="18"/>
      <w:shd w:val="clear" w:color="auto" w:fill="F2F2F2"/>
      <w:lang w:val="sq-AL"/>
    </w:rPr>
  </w:style>
  <w:style w:type="paragraph" w:customStyle="1" w:styleId="TableParagraph">
    <w:name w:val="Table Paragraph"/>
    <w:basedOn w:val="Normal"/>
    <w:uiPriority w:val="1"/>
    <w:qFormat/>
    <w:rsid w:val="009F4DDD"/>
    <w:pPr>
      <w:widowControl w:val="0"/>
      <w:autoSpaceDE w:val="0"/>
      <w:autoSpaceDN w:val="0"/>
      <w:spacing w:after="0" w:line="240" w:lineRule="auto"/>
      <w:jc w:val="left"/>
    </w:pPr>
    <w:rPr>
      <w:rFonts w:ascii="Calibri" w:eastAsia="Calibri" w:hAnsi="Calibri" w:cs="Calibri"/>
      <w:color w:val="auto"/>
      <w:sz w:val="22"/>
    </w:rPr>
  </w:style>
  <w:style w:type="table" w:styleId="PlainTable1">
    <w:name w:val="Plain Table 1"/>
    <w:basedOn w:val="TableNormal"/>
    <w:uiPriority w:val="59"/>
    <w:rsid w:val="009F4DDD"/>
    <w:pPr>
      <w:spacing w:before="200" w:after="0" w:line="260" w:lineRule="atLeast"/>
    </w:pPr>
    <w:rPr>
      <w:rFonts w:ascii="Times New Roman" w:eastAsia="MS Mincho" w:hAnsi="Times New Roman" w:cs="Times New Roman"/>
      <w:sz w:val="20"/>
      <w:szCs w:val="20"/>
      <w:lang w:eastAsia="de-DE"/>
    </w:rPr>
    <w:tblPr>
      <w:tblBorders>
        <w:top w:val="single" w:sz="4" w:space="0" w:color="9792DC" w:themeColor="text1" w:themeTint="50"/>
        <w:left w:val="single" w:sz="4" w:space="0" w:color="9792DC" w:themeColor="text1" w:themeTint="50"/>
        <w:bottom w:val="single" w:sz="4" w:space="0" w:color="9792DC" w:themeColor="text1" w:themeTint="50"/>
        <w:right w:val="single" w:sz="4" w:space="0" w:color="9792DC" w:themeColor="text1" w:themeTint="50"/>
        <w:insideH w:val="single" w:sz="4" w:space="0" w:color="9792DC" w:themeColor="text1" w:themeTint="50"/>
        <w:insideV w:val="single" w:sz="4" w:space="0" w:color="9792DC"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EEEDF9" w:themeColor="text1" w:themeTint="0D" w:fill="EEEDF9" w:themeFill="text1" w:themeFillTint="0D"/>
      </w:tcPr>
    </w:tblStylePr>
    <w:tblStylePr w:type="band1Horz">
      <w:tblPr/>
      <w:tcPr>
        <w:shd w:val="clear" w:color="EEEDF9" w:themeColor="text1" w:themeTint="0D" w:fill="EEEDF9" w:themeFill="text1" w:themeFillTint="0D"/>
      </w:tcPr>
    </w:tblStylePr>
  </w:style>
  <w:style w:type="table" w:styleId="PlainTable2">
    <w:name w:val="Plain Table 2"/>
    <w:basedOn w:val="TableNormal"/>
    <w:uiPriority w:val="59"/>
    <w:rsid w:val="009F4DDD"/>
    <w:pPr>
      <w:spacing w:before="200" w:after="0" w:line="260" w:lineRule="atLeast"/>
    </w:pPr>
    <w:rPr>
      <w:rFonts w:ascii="Times New Roman" w:eastAsia="MS Mincho" w:hAnsi="Times New Roman" w:cs="Times New Roman"/>
      <w:sz w:val="20"/>
      <w:szCs w:val="20"/>
      <w:lang w:eastAsia="de-DE"/>
    </w:rPr>
    <w:tblPr>
      <w:tblBorders>
        <w:top w:val="single" w:sz="4" w:space="0" w:color="0F0D29" w:themeColor="text1"/>
        <w:left w:val="none" w:sz="4" w:space="0" w:color="0F0D29" w:themeColor="text1"/>
        <w:bottom w:val="single" w:sz="4" w:space="0" w:color="0F0D29" w:themeColor="text1"/>
        <w:right w:val="none" w:sz="4" w:space="0" w:color="0F0D29" w:themeColor="text1"/>
      </w:tblBorders>
    </w:tblPr>
    <w:tblStylePr w:type="firstRow">
      <w:rPr>
        <w:rFonts w:ascii="Arial" w:hAnsi="Arial"/>
        <w:b/>
        <w:color w:val="404040"/>
        <w:sz w:val="22"/>
      </w:rPr>
      <w:tblPr/>
      <w:tcPr>
        <w:tcBorders>
          <w:top w:val="single" w:sz="4" w:space="0" w:color="0F0D29" w:themeColor="text1"/>
          <w:bottom w:val="single" w:sz="4" w:space="0" w:color="0F0D29"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F0D29" w:themeColor="text1"/>
          <w:right w:val="single" w:sz="4" w:space="0" w:color="0F0D29" w:themeColor="text1"/>
        </w:tcBorders>
      </w:tcPr>
    </w:tblStylePr>
    <w:tblStylePr w:type="band2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tcBorders>
      </w:tcPr>
    </w:tblStylePr>
  </w:style>
  <w:style w:type="table" w:styleId="PlainTable3">
    <w:name w:val="Plain Table 3"/>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EEEDF9" w:themeColor="text1" w:themeTint="0D" w:fill="EEEDF9" w:themeFill="text1" w:themeFillTint="0D"/>
      </w:tcPr>
    </w:tblStylePr>
    <w:tblStylePr w:type="band1Horz">
      <w:rPr>
        <w:rFonts w:ascii="Arial" w:hAnsi="Arial"/>
        <w:color w:val="404040"/>
        <w:sz w:val="22"/>
      </w:rPr>
      <w:tblPr/>
      <w:tcPr>
        <w:shd w:val="clear" w:color="EEEDF9" w:themeColor="text1" w:themeTint="0D" w:fill="EEEDF9" w:themeFill="text1" w:themeFillTint="0D"/>
      </w:tcPr>
    </w:tblStylePr>
  </w:style>
  <w:style w:type="table" w:styleId="PlainTable4">
    <w:name w:val="Plain Table 4"/>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EDF9" w:themeColor="text1" w:themeTint="0D" w:fill="EEEDF9" w:themeFill="text1" w:themeFillTint="0D"/>
      </w:tcPr>
    </w:tblStylePr>
    <w:tblStylePr w:type="band1Horz">
      <w:rPr>
        <w:rFonts w:ascii="Arial" w:hAnsi="Arial"/>
        <w:color w:val="404040"/>
        <w:sz w:val="22"/>
      </w:rPr>
      <w:tblPr/>
      <w:tcPr>
        <w:shd w:val="clear" w:color="EEEDF9" w:themeColor="text1" w:themeTint="0D" w:fill="EEEDF9" w:themeFill="text1" w:themeFillTint="0D"/>
      </w:tcPr>
    </w:tblStylePr>
  </w:style>
  <w:style w:type="table" w:styleId="PlainTable5">
    <w:name w:val="Plain Table 5"/>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EEEDF9" w:themeColor="text1" w:themeTint="0D" w:fill="EEEDF9" w:themeFill="text1" w:themeFillTint="0D"/>
      </w:tcPr>
    </w:tblStylePr>
    <w:tblStylePr w:type="band1Horz">
      <w:rPr>
        <w:rFonts w:ascii="Arial" w:hAnsi="Arial"/>
        <w:color w:val="404040"/>
        <w:sz w:val="22"/>
      </w:rPr>
      <w:tblPr/>
      <w:tcPr>
        <w:shd w:val="clear" w:color="EEEDF9" w:themeColor="text1" w:themeTint="0D" w:fill="EEEDF9" w:themeFill="text1" w:themeFillTint="0D"/>
      </w:tcPr>
    </w:tblStylePr>
  </w:style>
  <w:style w:type="table" w:styleId="GridTable1Light">
    <w:name w:val="Grid Table 1 Light"/>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7973D2" w:themeColor="text1" w:themeTint="67"/>
        <w:left w:val="single" w:sz="4" w:space="0" w:color="7973D2" w:themeColor="text1" w:themeTint="67"/>
        <w:bottom w:val="single" w:sz="4" w:space="0" w:color="7973D2" w:themeColor="text1" w:themeTint="67"/>
        <w:right w:val="single" w:sz="4" w:space="0" w:color="7973D2" w:themeColor="text1" w:themeTint="67"/>
        <w:insideH w:val="single" w:sz="4" w:space="0" w:color="7973D2" w:themeColor="text1" w:themeTint="67"/>
        <w:insideV w:val="single" w:sz="4" w:space="0" w:color="7973D2" w:themeColor="text1" w:themeTint="67"/>
      </w:tblBorders>
    </w:tblPr>
    <w:tblStylePr w:type="firstRow">
      <w:rPr>
        <w:b/>
        <w:color w:val="404040"/>
      </w:rPr>
      <w:tblPr/>
      <w:tcPr>
        <w:tcBorders>
          <w:bottom w:val="single" w:sz="12" w:space="0" w:color="433AB8"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7973D2" w:themeColor="text1" w:themeTint="67"/>
          <w:left w:val="single" w:sz="4" w:space="0" w:color="7973D2" w:themeColor="text1" w:themeTint="67"/>
          <w:bottom w:val="single" w:sz="4" w:space="0" w:color="7973D2" w:themeColor="text1" w:themeTint="67"/>
          <w:right w:val="single" w:sz="4" w:space="0" w:color="7973D2" w:themeColor="text1" w:themeTint="67"/>
        </w:tcBorders>
      </w:tcPr>
    </w:tblStylePr>
  </w:style>
  <w:style w:type="numbering" w:customStyle="1" w:styleId="AktuelleListe11">
    <w:name w:val="Aktuelle Liste11"/>
    <w:uiPriority w:val="99"/>
    <w:rsid w:val="009F4DDD"/>
  </w:style>
  <w:style w:type="paragraph" w:customStyle="1" w:styleId="pf0">
    <w:name w:val="pf0"/>
    <w:basedOn w:val="Normal"/>
    <w:rsid w:val="009F4DDD"/>
    <w:pPr>
      <w:spacing w:beforeAutospacing="1" w:afterAutospacing="1" w:line="240" w:lineRule="auto"/>
      <w:jc w:val="left"/>
    </w:pPr>
    <w:rPr>
      <w:rFonts w:ascii="Times New Roman" w:eastAsia="Times New Roman" w:hAnsi="Times New Roman" w:cs="Times New Roman"/>
      <w:color w:val="auto"/>
      <w:sz w:val="24"/>
      <w:szCs w:val="24"/>
      <w:lang w:eastAsia="de-DE"/>
    </w:rPr>
  </w:style>
  <w:style w:type="character" w:customStyle="1" w:styleId="cf01">
    <w:name w:val="cf01"/>
    <w:basedOn w:val="DefaultParagraphFont"/>
    <w:rsid w:val="009F4DDD"/>
    <w:rPr>
      <w:rFonts w:ascii="Segoe UI" w:hAnsi="Segoe UI" w:cs="Segoe UI" w:hint="default"/>
      <w:sz w:val="18"/>
      <w:szCs w:val="18"/>
    </w:rPr>
  </w:style>
  <w:style w:type="character" w:customStyle="1" w:styleId="cf11">
    <w:name w:val="cf11"/>
    <w:basedOn w:val="DefaultParagraphFont"/>
    <w:rsid w:val="009F4DDD"/>
    <w:rPr>
      <w:rFonts w:ascii="Segoe UI" w:hAnsi="Segoe UI" w:cs="Segoe UI" w:hint="default"/>
      <w:sz w:val="18"/>
      <w:szCs w:val="18"/>
    </w:rPr>
  </w:style>
  <w:style w:type="numbering" w:customStyle="1" w:styleId="AktuelleListe12">
    <w:name w:val="Aktuelle Liste12"/>
    <w:uiPriority w:val="99"/>
    <w:rsid w:val="009F4DDD"/>
  </w:style>
  <w:style w:type="numbering" w:customStyle="1" w:styleId="AktuelleListe13">
    <w:name w:val="Aktuelle Liste13"/>
    <w:uiPriority w:val="99"/>
    <w:rsid w:val="009F4DDD"/>
  </w:style>
  <w:style w:type="table" w:styleId="GridTable2">
    <w:name w:val="Grid Table 2"/>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bottom w:val="single" w:sz="4" w:space="0" w:color="433AB8" w:themeColor="text1" w:themeTint="95"/>
        <w:insideH w:val="single" w:sz="4" w:space="0" w:color="433AB8" w:themeColor="text1" w:themeTint="95"/>
        <w:insideV w:val="single" w:sz="4" w:space="0" w:color="433AB8" w:themeColor="text1" w:themeTint="95"/>
      </w:tblBorders>
    </w:tblPr>
    <w:tblStylePr w:type="firstRow">
      <w:rPr>
        <w:b/>
        <w:color w:val="404040"/>
      </w:rPr>
      <w:tblPr/>
      <w:tcPr>
        <w:tcBorders>
          <w:top w:val="none" w:sz="4" w:space="0" w:color="000000"/>
          <w:left w:val="none" w:sz="4" w:space="0" w:color="000000"/>
          <w:bottom w:val="single" w:sz="12" w:space="0" w:color="433AB8" w:themeColor="text1" w:themeTint="95"/>
          <w:right w:val="none" w:sz="4" w:space="0" w:color="000000"/>
        </w:tcBorders>
        <w:shd w:val="clear" w:color="FFFFFF" w:fill="auto"/>
      </w:tcPr>
    </w:tblStylePr>
    <w:tblStylePr w:type="lastRow">
      <w:rPr>
        <w:b/>
        <w:color w:val="404040"/>
      </w:rPr>
      <w:tblPr/>
      <w:tcPr>
        <w:tcBorders>
          <w:top w:val="single" w:sz="4" w:space="0" w:color="433AB8"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BB8E8" w:themeColor="text1" w:themeTint="34" w:fill="BBB8E8" w:themeFill="text1" w:themeFillTint="34"/>
      </w:tcPr>
    </w:tblStylePr>
    <w:tblStylePr w:type="band1Horz">
      <w:rPr>
        <w:rFonts w:ascii="Arial" w:hAnsi="Arial"/>
        <w:color w:val="404040"/>
        <w:sz w:val="22"/>
      </w:rPr>
      <w:tblPr/>
      <w:tcPr>
        <w:shd w:val="clear" w:color="BBB8E8" w:themeColor="text1" w:themeTint="34" w:fill="BBB8E8" w:themeFill="text1" w:themeFillTint="34"/>
      </w:tcPr>
    </w:tblStylePr>
  </w:style>
  <w:style w:type="table" w:styleId="GridTable3">
    <w:name w:val="Grid Table 3"/>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bottom w:val="single" w:sz="4" w:space="0" w:color="433AB8" w:themeColor="text1" w:themeTint="95"/>
        <w:insideH w:val="single" w:sz="4" w:space="0" w:color="433AB8" w:themeColor="text1" w:themeTint="95"/>
        <w:insideV w:val="single" w:sz="4" w:space="0" w:color="433AB8"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BB8E8" w:themeColor="text1" w:themeTint="34" w:fill="BBB8E8" w:themeFill="text1" w:themeFillTint="34"/>
      </w:tcPr>
    </w:tblStylePr>
    <w:tblStylePr w:type="band1Horz">
      <w:rPr>
        <w:rFonts w:ascii="Arial" w:hAnsi="Arial"/>
        <w:color w:val="404040"/>
        <w:sz w:val="22"/>
      </w:rPr>
      <w:tblPr/>
      <w:tcPr>
        <w:shd w:val="clear" w:color="BBB8E8" w:themeColor="text1" w:themeTint="34" w:fill="BBB8E8" w:themeFill="text1" w:themeFillTint="34"/>
      </w:tcPr>
    </w:tblStylePr>
  </w:style>
  <w:style w:type="table" w:styleId="GridTable4">
    <w:name w:val="Grid Table 4"/>
    <w:basedOn w:val="TableNormal"/>
    <w:uiPriority w:val="5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463CBF" w:themeColor="text1" w:themeTint="90"/>
        <w:left w:val="single" w:sz="4" w:space="0" w:color="463CBF" w:themeColor="text1" w:themeTint="90"/>
        <w:bottom w:val="single" w:sz="4" w:space="0" w:color="463CBF" w:themeColor="text1" w:themeTint="90"/>
        <w:right w:val="single" w:sz="4" w:space="0" w:color="463CBF" w:themeColor="text1" w:themeTint="90"/>
        <w:insideH w:val="single" w:sz="4" w:space="0" w:color="463CBF" w:themeColor="text1" w:themeTint="90"/>
        <w:insideV w:val="single" w:sz="4" w:space="0" w:color="463CBF" w:themeColor="text1" w:themeTint="90"/>
      </w:tblBorders>
    </w:tblPr>
    <w:tblStylePr w:type="firstRow">
      <w:rPr>
        <w:rFonts w:ascii="Arial" w:hAnsi="Arial"/>
        <w:b/>
        <w:color w:val="FFFFFF"/>
        <w:sz w:val="22"/>
      </w:rPr>
      <w:tblPr/>
      <w:tcPr>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0F0D29" w:themeColor="text1" w:fill="0F0D29" w:themeFill="text1"/>
      </w:tcPr>
    </w:tblStylePr>
    <w:tblStylePr w:type="lastRow">
      <w:rPr>
        <w:b/>
        <w:color w:val="404040"/>
      </w:rPr>
      <w:tblPr/>
      <w:tcPr>
        <w:tcBorders>
          <w:top w:val="single" w:sz="4" w:space="0" w:color="0F0D29"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BB8E8" w:themeColor="text1" w:themeTint="34" w:fill="BBB8E8" w:themeFill="text1" w:themeFillTint="34"/>
      </w:tcPr>
    </w:tblStylePr>
    <w:tblStylePr w:type="band1Horz">
      <w:rPr>
        <w:rFonts w:ascii="Arial" w:hAnsi="Arial"/>
        <w:color w:val="404040"/>
        <w:sz w:val="22"/>
      </w:rPr>
      <w:tblPr/>
      <w:tcPr>
        <w:shd w:val="clear" w:color="BBB8E8" w:themeColor="text1" w:themeTint="34" w:fill="BBB8E8" w:themeFill="text1" w:themeFillTint="34"/>
      </w:tcPr>
    </w:tblStylePr>
  </w:style>
  <w:style w:type="table" w:styleId="GridTable5Dark">
    <w:name w:val="Grid Table 5 Dark"/>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CA7E3" w:themeColor="text1" w:themeTint="40" w:fill="ACA7E3" w:themeFill="text1" w:themeFillTint="40"/>
    </w:tblPr>
    <w:tblStylePr w:type="firstRow">
      <w:rPr>
        <w:rFonts w:ascii="Arial" w:hAnsi="Arial"/>
        <w:b/>
        <w:color w:val="FFFFFF"/>
        <w:sz w:val="22"/>
      </w:rPr>
      <w:tblPr/>
      <w:tcPr>
        <w:shd w:val="clear" w:color="0F0D29" w:themeColor="text1" w:fill="0F0D29" w:themeFill="text1"/>
      </w:tcPr>
    </w:tblStylePr>
    <w:tblStylePr w:type="lastRow">
      <w:rPr>
        <w:rFonts w:ascii="Arial" w:hAnsi="Arial"/>
        <w:b/>
        <w:color w:val="FFFFFF"/>
        <w:sz w:val="22"/>
      </w:rPr>
      <w:tblPr/>
      <w:tcPr>
        <w:tcBorders>
          <w:top w:val="single" w:sz="4" w:space="0" w:color="FFFFFF" w:themeColor="light1"/>
        </w:tcBorders>
        <w:shd w:val="clear" w:color="0F0D29" w:themeColor="text1" w:fill="0F0D29" w:themeFill="text1"/>
      </w:tcPr>
    </w:tblStylePr>
    <w:tblStylePr w:type="firstCol">
      <w:rPr>
        <w:rFonts w:ascii="Arial" w:hAnsi="Arial"/>
        <w:b/>
        <w:color w:val="FFFFFF"/>
        <w:sz w:val="22"/>
      </w:rPr>
      <w:tblPr/>
      <w:tcPr>
        <w:shd w:val="clear" w:color="0F0D29" w:themeColor="text1" w:fill="0F0D29" w:themeFill="text1"/>
      </w:tcPr>
    </w:tblStylePr>
    <w:tblStylePr w:type="lastCol">
      <w:rPr>
        <w:rFonts w:ascii="Arial" w:hAnsi="Arial"/>
        <w:b/>
        <w:color w:val="FFFFFF"/>
        <w:sz w:val="22"/>
      </w:rPr>
      <w:tblPr/>
      <w:tcPr>
        <w:shd w:val="clear" w:color="0F0D29" w:themeColor="text1" w:fill="0F0D29" w:themeFill="text1"/>
      </w:tcPr>
    </w:tblStylePr>
    <w:tblStylePr w:type="band1Vert">
      <w:tblPr/>
      <w:tcPr>
        <w:shd w:val="clear" w:color="6760CC" w:themeColor="text1" w:themeTint="75" w:fill="6760CC" w:themeFill="text1" w:themeFillTint="75"/>
      </w:tcPr>
    </w:tblStylePr>
    <w:tblStylePr w:type="band1Horz">
      <w:tblPr/>
      <w:tcPr>
        <w:shd w:val="clear" w:color="6760CC" w:themeColor="text1" w:themeTint="75" w:fill="6760CC" w:themeFill="text1" w:themeFillTint="75"/>
      </w:tcPr>
    </w:tblStylePr>
  </w:style>
  <w:style w:type="table" w:styleId="GridTable6Colorful">
    <w:name w:val="Grid Table 6 Colorful"/>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5951C8" w:themeColor="text1" w:themeTint="80"/>
        <w:left w:val="single" w:sz="4" w:space="0" w:color="5951C8" w:themeColor="text1" w:themeTint="80"/>
        <w:bottom w:val="single" w:sz="4" w:space="0" w:color="5951C8" w:themeColor="text1" w:themeTint="80"/>
        <w:right w:val="single" w:sz="4" w:space="0" w:color="5951C8" w:themeColor="text1" w:themeTint="80"/>
        <w:insideH w:val="single" w:sz="4" w:space="0" w:color="5951C8" w:themeColor="text1" w:themeTint="80"/>
        <w:insideV w:val="single" w:sz="4" w:space="0" w:color="5951C8" w:themeColor="text1" w:themeTint="80"/>
      </w:tblBorders>
    </w:tblPr>
    <w:tblStylePr w:type="firstRow">
      <w:rPr>
        <w:b/>
        <w:color w:val="5951C8" w:themeColor="text1" w:themeTint="80" w:themeShade="95"/>
      </w:rPr>
      <w:tblPr/>
      <w:tcPr>
        <w:tcBorders>
          <w:bottom w:val="single" w:sz="12" w:space="0" w:color="5951C8" w:themeColor="text1" w:themeTint="80"/>
        </w:tcBorders>
      </w:tcPr>
    </w:tblStylePr>
    <w:tblStylePr w:type="lastRow">
      <w:rPr>
        <w:b/>
        <w:color w:val="5951C8" w:themeColor="text1" w:themeTint="80" w:themeShade="95"/>
      </w:rPr>
    </w:tblStylePr>
    <w:tblStylePr w:type="firstCol">
      <w:rPr>
        <w:b/>
        <w:color w:val="5951C8" w:themeColor="text1" w:themeTint="80" w:themeShade="95"/>
      </w:rPr>
    </w:tblStylePr>
    <w:tblStylePr w:type="lastCol">
      <w:rPr>
        <w:b/>
        <w:color w:val="5951C8" w:themeColor="text1" w:themeTint="80" w:themeShade="95"/>
      </w:rPr>
    </w:tblStylePr>
    <w:tblStylePr w:type="band1Vert">
      <w:tblPr/>
      <w:tcPr>
        <w:shd w:val="clear" w:color="BBB8E8" w:themeColor="text1" w:themeTint="34" w:fill="BBB8E8" w:themeFill="text1" w:themeFillTint="34"/>
      </w:tcPr>
    </w:tblStylePr>
    <w:tblStylePr w:type="band1Horz">
      <w:rPr>
        <w:rFonts w:ascii="Arial" w:hAnsi="Arial"/>
        <w:color w:val="5951C8" w:themeColor="text1" w:themeTint="80" w:themeShade="95"/>
        <w:sz w:val="22"/>
      </w:rPr>
      <w:tblPr/>
      <w:tcPr>
        <w:shd w:val="clear" w:color="BBB8E8" w:themeColor="text1" w:themeTint="34" w:fill="BBB8E8" w:themeFill="text1" w:themeFillTint="34"/>
      </w:tcPr>
    </w:tblStylePr>
    <w:tblStylePr w:type="band2Horz">
      <w:rPr>
        <w:rFonts w:ascii="Arial" w:hAnsi="Arial"/>
        <w:color w:val="5951C8" w:themeColor="text1" w:themeTint="80" w:themeShade="95"/>
        <w:sz w:val="22"/>
      </w:rPr>
    </w:tblStylePr>
  </w:style>
  <w:style w:type="table" w:styleId="GridTable7Colorful">
    <w:name w:val="Grid Table 7 Colorful"/>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bottom w:val="single" w:sz="4" w:space="0" w:color="5951C8" w:themeColor="text1" w:themeTint="80"/>
        <w:right w:val="single" w:sz="4" w:space="0" w:color="5951C8" w:themeColor="text1" w:themeTint="80"/>
        <w:insideH w:val="single" w:sz="4" w:space="0" w:color="5951C8" w:themeColor="text1" w:themeTint="80"/>
        <w:insideV w:val="single" w:sz="4" w:space="0" w:color="5951C8" w:themeColor="text1" w:themeTint="80"/>
      </w:tblBorders>
    </w:tblPr>
    <w:tblStylePr w:type="firstRow">
      <w:rPr>
        <w:rFonts w:ascii="Arial" w:hAnsi="Arial"/>
        <w:b/>
        <w:color w:val="5951C8" w:themeColor="text1" w:themeTint="80" w:themeShade="95"/>
        <w:sz w:val="22"/>
      </w:rPr>
      <w:tblPr/>
      <w:tcPr>
        <w:tcBorders>
          <w:top w:val="none" w:sz="0" w:space="0" w:color="auto"/>
          <w:left w:val="none" w:sz="0" w:space="0" w:color="auto"/>
          <w:bottom w:val="single" w:sz="4" w:space="0" w:color="5951C8" w:themeColor="text1" w:themeTint="80"/>
          <w:right w:val="none" w:sz="0" w:space="0" w:color="auto"/>
        </w:tcBorders>
        <w:shd w:val="clear" w:color="FFFFFF" w:themeColor="light1" w:fill="FFFFFF" w:themeFill="light1"/>
      </w:tcPr>
    </w:tblStylePr>
    <w:tblStylePr w:type="lastRow">
      <w:rPr>
        <w:rFonts w:ascii="Arial" w:hAnsi="Arial"/>
        <w:b/>
        <w:color w:val="5951C8" w:themeColor="text1" w:themeTint="80" w:themeShade="95"/>
        <w:sz w:val="22"/>
      </w:rPr>
      <w:tblPr/>
      <w:tcPr>
        <w:tcBorders>
          <w:top w:val="single" w:sz="4" w:space="0" w:color="5951C8"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51C8" w:themeColor="text1" w:themeTint="80" w:themeShade="95"/>
        <w:sz w:val="22"/>
      </w:rPr>
      <w:tblPr/>
      <w:tcPr>
        <w:tcBorders>
          <w:top w:val="none" w:sz="0" w:space="0" w:color="auto"/>
          <w:left w:val="none" w:sz="0" w:space="0" w:color="auto"/>
          <w:bottom w:val="none" w:sz="0" w:space="0" w:color="auto"/>
          <w:right w:val="single" w:sz="4" w:space="0" w:color="5951C8" w:themeColor="text1" w:themeTint="80"/>
        </w:tcBorders>
        <w:shd w:val="clear" w:color="FFFFFF" w:fill="auto"/>
      </w:tcPr>
    </w:tblStylePr>
    <w:tblStylePr w:type="lastCol">
      <w:rPr>
        <w:rFonts w:ascii="Arial" w:hAnsi="Arial"/>
        <w:i/>
        <w:color w:val="5951C8" w:themeColor="text1" w:themeTint="80" w:themeShade="95"/>
        <w:sz w:val="22"/>
      </w:rPr>
      <w:tblPr/>
      <w:tcPr>
        <w:tcBorders>
          <w:top w:val="none" w:sz="0" w:space="0" w:color="auto"/>
          <w:left w:val="single" w:sz="4" w:space="0" w:color="5951C8" w:themeColor="text1" w:themeTint="80"/>
          <w:bottom w:val="none" w:sz="0" w:space="0" w:color="auto"/>
          <w:right w:val="none" w:sz="0" w:space="0" w:color="auto"/>
        </w:tcBorders>
        <w:shd w:val="clear" w:color="FFFFFF" w:fill="auto"/>
      </w:tcPr>
    </w:tblStylePr>
    <w:tblStylePr w:type="band1Vert">
      <w:tblPr/>
      <w:tcPr>
        <w:shd w:val="clear" w:color="EEEDF9" w:themeColor="text1" w:themeTint="0D" w:fill="EEEDF9" w:themeFill="text1" w:themeFillTint="0D"/>
      </w:tcPr>
    </w:tblStylePr>
    <w:tblStylePr w:type="band1Horz">
      <w:rPr>
        <w:rFonts w:ascii="Arial" w:hAnsi="Arial"/>
        <w:color w:val="5951C8" w:themeColor="text1" w:themeTint="80" w:themeShade="95"/>
        <w:sz w:val="22"/>
      </w:rPr>
      <w:tblPr/>
      <w:tcPr>
        <w:shd w:val="clear" w:color="EEEDF9" w:themeColor="text1" w:themeTint="0D" w:fill="EEEDF9" w:themeFill="text1" w:themeFillTint="0D"/>
      </w:tcPr>
    </w:tblStylePr>
    <w:tblStylePr w:type="band2Horz">
      <w:rPr>
        <w:rFonts w:ascii="Arial" w:hAnsi="Arial"/>
        <w:color w:val="5951C8" w:themeColor="text1" w:themeTint="80" w:themeShade="95"/>
        <w:sz w:val="22"/>
      </w:rPr>
    </w:tblStylePr>
  </w:style>
  <w:style w:type="table" w:styleId="ListTable1Light">
    <w:name w:val="List Table 1 Light"/>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Pr>
    <w:tblStylePr w:type="firstRow">
      <w:rPr>
        <w:b/>
        <w:color w:val="404040"/>
      </w:rPr>
      <w:tblPr/>
      <w:tcPr>
        <w:tcBorders>
          <w:top w:val="none" w:sz="4" w:space="0" w:color="000000"/>
          <w:left w:val="none" w:sz="4" w:space="0" w:color="000000"/>
          <w:bottom w:val="single" w:sz="4" w:space="0" w:color="0F0D29" w:themeColor="text1"/>
          <w:right w:val="none" w:sz="4" w:space="0" w:color="000000"/>
        </w:tcBorders>
      </w:tcPr>
    </w:tblStylePr>
    <w:tblStylePr w:type="lastRow">
      <w:rPr>
        <w:b/>
        <w:color w:val="404040"/>
      </w:rPr>
      <w:tblPr/>
      <w:tcPr>
        <w:tcBorders>
          <w:top w:val="single" w:sz="4" w:space="0" w:color="0F0D29"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CA7E3" w:themeColor="text1" w:themeTint="40" w:fill="ACA7E3" w:themeFill="text1" w:themeFillTint="40"/>
      </w:tcPr>
    </w:tblStylePr>
    <w:tblStylePr w:type="band1Horz">
      <w:tblPr/>
      <w:tcPr>
        <w:shd w:val="clear" w:color="ACA7E3" w:themeColor="text1" w:themeTint="40" w:fill="ACA7E3" w:themeFill="text1" w:themeFillTint="40"/>
      </w:tcPr>
    </w:tblStylePr>
  </w:style>
  <w:style w:type="table" w:styleId="ListTable2">
    <w:name w:val="List Table 2"/>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463CBF" w:themeColor="text1" w:themeTint="90"/>
        <w:bottom w:val="single" w:sz="4" w:space="0" w:color="463CBF" w:themeColor="text1" w:themeTint="90"/>
        <w:insideH w:val="single" w:sz="4" w:space="0" w:color="463CBF" w:themeColor="text1" w:themeTint="90"/>
      </w:tblBorders>
    </w:tblPr>
    <w:tblStylePr w:type="firstRow">
      <w:rPr>
        <w:rFonts w:ascii="Arial" w:hAnsi="Arial"/>
        <w:b/>
        <w:color w:val="404040"/>
        <w:sz w:val="22"/>
      </w:rPr>
      <w:tblPr/>
      <w:tcPr>
        <w:tcBorders>
          <w:top w:val="single" w:sz="4" w:space="0" w:color="463CBF" w:themeColor="text1" w:themeTint="90"/>
          <w:left w:val="none" w:sz="4" w:space="0" w:color="000000"/>
          <w:bottom w:val="single" w:sz="4" w:space="0" w:color="463CBF" w:themeColor="text1" w:themeTint="90"/>
          <w:right w:val="none" w:sz="4" w:space="0" w:color="000000"/>
        </w:tcBorders>
      </w:tcPr>
    </w:tblStylePr>
    <w:tblStylePr w:type="lastRow">
      <w:rPr>
        <w:rFonts w:ascii="Arial" w:hAnsi="Arial"/>
        <w:b/>
        <w:color w:val="404040"/>
        <w:sz w:val="22"/>
      </w:rPr>
      <w:tblPr/>
      <w:tcPr>
        <w:tcBorders>
          <w:top w:val="single" w:sz="4" w:space="0" w:color="463CBF" w:themeColor="text1" w:themeTint="90"/>
          <w:left w:val="none" w:sz="4" w:space="0" w:color="000000"/>
          <w:bottom w:val="single" w:sz="4" w:space="0" w:color="463CB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CA7E3" w:themeColor="text1" w:themeTint="40" w:fill="ACA7E3" w:themeFill="text1" w:themeFillTint="40"/>
      </w:tcPr>
    </w:tblStylePr>
    <w:tblStylePr w:type="band1Horz">
      <w:rPr>
        <w:rFonts w:ascii="Arial" w:hAnsi="Arial"/>
        <w:color w:val="404040"/>
        <w:sz w:val="22"/>
      </w:rPr>
      <w:tblPr/>
      <w:tcPr>
        <w:shd w:val="clear" w:color="ACA7E3" w:themeColor="text1" w:themeTint="40" w:fill="ACA7E3" w:themeFill="text1" w:themeFillTint="40"/>
      </w:tcPr>
    </w:tblStylePr>
  </w:style>
  <w:style w:type="table" w:styleId="ListTable3">
    <w:name w:val="List Table 3"/>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0F0D29" w:themeColor="text1"/>
        <w:left w:val="single" w:sz="4" w:space="0" w:color="0F0D29" w:themeColor="text1"/>
        <w:bottom w:val="single" w:sz="4" w:space="0" w:color="0F0D29" w:themeColor="text1"/>
        <w:right w:val="single" w:sz="4" w:space="0" w:color="0F0D29" w:themeColor="text1"/>
      </w:tblBorders>
    </w:tblPr>
    <w:tblStylePr w:type="firstRow">
      <w:rPr>
        <w:rFonts w:ascii="Arial" w:hAnsi="Arial"/>
        <w:b/>
        <w:color w:val="FFFFFF"/>
        <w:sz w:val="22"/>
      </w:rPr>
      <w:tblPr/>
      <w:tcPr>
        <w:shd w:val="clear" w:color="0F0D29" w:themeColor="text1" w:fill="0F0D29"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F0D29" w:themeColor="text1"/>
          <w:right w:val="single" w:sz="4" w:space="0" w:color="0F0D29" w:themeColor="text1"/>
        </w:tcBorders>
      </w:tcPr>
    </w:tblStylePr>
    <w:tblStylePr w:type="band1Horz">
      <w:rPr>
        <w:rFonts w:ascii="Arial" w:hAnsi="Arial"/>
        <w:color w:val="404040"/>
        <w:sz w:val="22"/>
      </w:rPr>
      <w:tblPr/>
      <w:tcPr>
        <w:tcBorders>
          <w:top w:val="single" w:sz="4" w:space="0" w:color="0F0D29" w:themeColor="text1"/>
          <w:bottom w:val="single" w:sz="4" w:space="0" w:color="0F0D29" w:themeColor="text1"/>
        </w:tcBorders>
      </w:tcPr>
    </w:tblStylePr>
  </w:style>
  <w:style w:type="table" w:styleId="ListTable4">
    <w:name w:val="List Table 4"/>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0F0D29" w:themeColor="text1"/>
        <w:left w:val="single" w:sz="4" w:space="0" w:color="0F0D29" w:themeColor="text1"/>
        <w:bottom w:val="single" w:sz="4" w:space="0" w:color="0F0D29" w:themeColor="text1"/>
        <w:right w:val="single" w:sz="4" w:space="0" w:color="0F0D29" w:themeColor="text1"/>
        <w:insideH w:val="single" w:sz="4" w:space="0" w:color="0F0D29" w:themeColor="text1"/>
      </w:tblBorders>
    </w:tblPr>
    <w:tblStylePr w:type="firstRow">
      <w:rPr>
        <w:rFonts w:ascii="Arial" w:hAnsi="Arial"/>
        <w:b/>
        <w:color w:val="FFFFFF"/>
        <w:sz w:val="22"/>
      </w:rPr>
      <w:tblPr/>
      <w:tcPr>
        <w:shd w:val="clear" w:color="0F0D29" w:themeColor="text1" w:fill="0F0D29"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CA7E3" w:themeColor="text1" w:themeTint="40" w:fill="ACA7E3" w:themeFill="text1" w:themeFillTint="40"/>
      </w:tcPr>
    </w:tblStylePr>
    <w:tblStylePr w:type="band1Horz">
      <w:rPr>
        <w:rFonts w:ascii="Arial" w:hAnsi="Arial"/>
        <w:color w:val="404040"/>
        <w:sz w:val="22"/>
      </w:rPr>
      <w:tblPr/>
      <w:tcPr>
        <w:shd w:val="clear" w:color="ACA7E3" w:themeColor="text1" w:themeTint="40" w:fill="ACA7E3" w:themeFill="text1" w:themeFillTint="40"/>
      </w:tcPr>
    </w:tblStylePr>
  </w:style>
  <w:style w:type="table" w:styleId="ListTable5Dark">
    <w:name w:val="List Table 5 Dark"/>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32" w:space="0" w:color="5951C8" w:themeColor="text1" w:themeTint="80"/>
        <w:left w:val="single" w:sz="32" w:space="0" w:color="5951C8" w:themeColor="text1" w:themeTint="80"/>
        <w:bottom w:val="single" w:sz="32" w:space="0" w:color="5951C8" w:themeColor="text1" w:themeTint="80"/>
        <w:right w:val="single" w:sz="32" w:space="0" w:color="5951C8" w:themeColor="text1" w:themeTint="80"/>
      </w:tblBorders>
      <w:shd w:val="clear" w:color="5951C8" w:themeColor="text1" w:themeTint="80" w:fill="5951C8" w:themeFill="text1" w:themeFillTint="80"/>
    </w:tblPr>
    <w:tblStylePr w:type="firstRow">
      <w:rPr>
        <w:rFonts w:ascii="Arial" w:hAnsi="Arial"/>
        <w:b/>
        <w:color w:val="FFFFFF" w:themeColor="light1"/>
        <w:sz w:val="22"/>
      </w:rPr>
      <w:tblPr/>
      <w:tcPr>
        <w:tcBorders>
          <w:top w:val="single" w:sz="32" w:space="0" w:color="5951C8" w:themeColor="text1" w:themeTint="80"/>
          <w:bottom w:val="single" w:sz="12" w:space="0" w:color="FFFFFF" w:themeColor="light1"/>
        </w:tcBorders>
        <w:shd w:val="clear" w:color="5951C8" w:themeColor="text1" w:themeTint="80" w:fill="5951C8"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51C8" w:themeColor="text1" w:themeTint="80"/>
          <w:right w:val="single" w:sz="4" w:space="0" w:color="FFFFFF" w:themeColor="light1"/>
        </w:tcBorders>
      </w:tcPr>
    </w:tblStylePr>
    <w:tblStylePr w:type="lastCol">
      <w:tblPr/>
      <w:tcPr>
        <w:tcBorders>
          <w:left w:val="single" w:sz="4" w:space="0" w:color="FFFFFF" w:themeColor="light1"/>
          <w:right w:val="single" w:sz="32" w:space="0" w:color="5951C8" w:themeColor="text1" w:themeTint="80"/>
        </w:tcBorders>
      </w:tcPr>
    </w:tblStylePr>
    <w:tblStylePr w:type="band1Vert">
      <w:tblPr/>
      <w:tcPr>
        <w:tcBorders>
          <w:left w:val="single" w:sz="4" w:space="0" w:color="FFFFFF" w:themeColor="light1"/>
          <w:right w:val="single" w:sz="4" w:space="0" w:color="FFFFFF" w:themeColor="light1"/>
        </w:tcBorders>
        <w:shd w:val="clear" w:color="5951C8" w:themeColor="text1" w:themeTint="80" w:fill="5951C8"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51C8" w:themeColor="text1" w:themeTint="80" w:fill="5951C8" w:themeFill="text1" w:themeFillTint="80"/>
      </w:tcPr>
    </w:tblStylePr>
    <w:tblStylePr w:type="band2Horz">
      <w:tblPr/>
      <w:tcPr>
        <w:tcBorders>
          <w:top w:val="single" w:sz="4" w:space="0" w:color="FFFFFF" w:themeColor="light1"/>
          <w:bottom w:val="single" w:sz="4" w:space="0" w:color="FFFFFF" w:themeColor="light1"/>
        </w:tcBorders>
        <w:shd w:val="clear" w:color="5951C8" w:themeColor="text1" w:themeTint="80" w:fill="5951C8" w:themeFill="text1" w:themeFillTint="80"/>
      </w:tcPr>
    </w:tblStylePr>
  </w:style>
  <w:style w:type="table" w:styleId="ListTable6Colorful">
    <w:name w:val="List Table 6 Colorful"/>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5951C8" w:themeColor="text1" w:themeTint="80"/>
        <w:bottom w:val="single" w:sz="4" w:space="0" w:color="5951C8" w:themeColor="text1" w:themeTint="80"/>
      </w:tblBorders>
    </w:tblPr>
    <w:tblStylePr w:type="firstRow">
      <w:rPr>
        <w:b/>
        <w:color w:val="0F0D29" w:themeColor="text1"/>
      </w:rPr>
      <w:tblPr/>
      <w:tcPr>
        <w:tcBorders>
          <w:bottom w:val="single" w:sz="4" w:space="0" w:color="5951C8" w:themeColor="text1" w:themeTint="80"/>
        </w:tcBorders>
      </w:tcPr>
    </w:tblStylePr>
    <w:tblStylePr w:type="lastRow">
      <w:rPr>
        <w:b/>
        <w:color w:val="0F0D29" w:themeColor="text1"/>
      </w:rPr>
      <w:tblPr/>
      <w:tcPr>
        <w:tcBorders>
          <w:top w:val="single" w:sz="4" w:space="0" w:color="5951C8" w:themeColor="text1" w:themeTint="80"/>
        </w:tcBorders>
      </w:tcPr>
    </w:tblStylePr>
    <w:tblStylePr w:type="firstCol">
      <w:rPr>
        <w:b/>
        <w:color w:val="0F0D29" w:themeColor="text1"/>
      </w:rPr>
    </w:tblStylePr>
    <w:tblStylePr w:type="lastCol">
      <w:rPr>
        <w:b/>
        <w:color w:val="0F0D29" w:themeColor="text1"/>
      </w:rPr>
    </w:tblStylePr>
    <w:tblStylePr w:type="band1Vert">
      <w:tblPr/>
      <w:tcPr>
        <w:shd w:val="clear" w:color="ACA7E3" w:themeColor="text1" w:themeTint="40" w:fill="ACA7E3" w:themeFill="text1" w:themeFillTint="40"/>
      </w:tcPr>
    </w:tblStylePr>
    <w:tblStylePr w:type="band1Horz">
      <w:rPr>
        <w:rFonts w:ascii="Arial" w:hAnsi="Arial"/>
        <w:color w:val="0F0D29" w:themeColor="text1"/>
        <w:sz w:val="22"/>
      </w:rPr>
      <w:tblPr/>
      <w:tcPr>
        <w:shd w:val="clear" w:color="ACA7E3" w:themeColor="text1" w:themeTint="40" w:fill="ACA7E3" w:themeFill="text1" w:themeFillTint="40"/>
      </w:tcPr>
    </w:tblStylePr>
    <w:tblStylePr w:type="band2Horz">
      <w:rPr>
        <w:rFonts w:ascii="Arial" w:hAnsi="Arial"/>
        <w:color w:val="0F0D29" w:themeColor="text1"/>
        <w:sz w:val="22"/>
      </w:rPr>
    </w:tblStylePr>
  </w:style>
  <w:style w:type="table" w:styleId="ListTable7Colorful">
    <w:name w:val="List Table 7 Colorful"/>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right w:val="single" w:sz="4" w:space="0" w:color="5951C8" w:themeColor="text1" w:themeTint="80"/>
      </w:tblBorders>
    </w:tblPr>
    <w:tblStylePr w:type="firstRow">
      <w:rPr>
        <w:rFonts w:ascii="Arial" w:hAnsi="Arial"/>
        <w:i/>
        <w:color w:val="5951C8" w:themeColor="text1" w:themeTint="80" w:themeShade="95"/>
        <w:sz w:val="22"/>
      </w:rPr>
      <w:tblPr/>
      <w:tcPr>
        <w:tcBorders>
          <w:top w:val="none" w:sz="0" w:space="0" w:color="auto"/>
          <w:left w:val="none" w:sz="0" w:space="0" w:color="auto"/>
          <w:bottom w:val="single" w:sz="4" w:space="0" w:color="5951C8" w:themeColor="text1" w:themeTint="80"/>
          <w:right w:val="none" w:sz="0" w:space="0" w:color="auto"/>
        </w:tcBorders>
        <w:shd w:val="clear" w:color="FFFFFF" w:themeColor="light1" w:fill="FFFFFF" w:themeFill="light1"/>
      </w:tcPr>
    </w:tblStylePr>
    <w:tblStylePr w:type="lastRow">
      <w:rPr>
        <w:rFonts w:ascii="Arial" w:hAnsi="Arial"/>
        <w:i/>
        <w:color w:val="5951C8" w:themeColor="text1" w:themeTint="80" w:themeShade="95"/>
        <w:sz w:val="22"/>
      </w:rPr>
      <w:tblPr/>
      <w:tcPr>
        <w:tcBorders>
          <w:top w:val="single" w:sz="4" w:space="0" w:color="5951C8"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51C8" w:themeColor="text1" w:themeTint="80" w:themeShade="95"/>
        <w:sz w:val="22"/>
      </w:rPr>
      <w:tblPr/>
      <w:tcPr>
        <w:tcBorders>
          <w:top w:val="none" w:sz="0" w:space="0" w:color="auto"/>
          <w:left w:val="none" w:sz="0" w:space="0" w:color="auto"/>
          <w:bottom w:val="none" w:sz="0" w:space="0" w:color="auto"/>
          <w:right w:val="single" w:sz="4" w:space="0" w:color="5951C8" w:themeColor="text1" w:themeTint="80"/>
        </w:tcBorders>
        <w:shd w:val="clear" w:color="FFFFFF" w:fill="auto"/>
      </w:tcPr>
    </w:tblStylePr>
    <w:tblStylePr w:type="lastCol">
      <w:rPr>
        <w:rFonts w:ascii="Arial" w:hAnsi="Arial"/>
        <w:i/>
        <w:color w:val="5951C8" w:themeColor="text1" w:themeTint="80" w:themeShade="95"/>
        <w:sz w:val="22"/>
      </w:rPr>
      <w:tblPr/>
      <w:tcPr>
        <w:tcBorders>
          <w:top w:val="none" w:sz="0" w:space="0" w:color="auto"/>
          <w:left w:val="single" w:sz="4" w:space="0" w:color="5951C8" w:themeColor="text1" w:themeTint="80"/>
          <w:bottom w:val="none" w:sz="0" w:space="0" w:color="auto"/>
          <w:right w:val="none" w:sz="0" w:space="0" w:color="auto"/>
        </w:tcBorders>
        <w:shd w:val="clear" w:color="FFFFFF" w:fill="auto"/>
      </w:tcPr>
    </w:tblStylePr>
    <w:tblStylePr w:type="band1Vert">
      <w:tblPr/>
      <w:tcPr>
        <w:shd w:val="clear" w:color="ACA7E3" w:themeColor="text1" w:themeTint="40" w:fill="ACA7E3" w:themeFill="text1" w:themeFillTint="40"/>
      </w:tcPr>
    </w:tblStylePr>
    <w:tblStylePr w:type="band1Horz">
      <w:rPr>
        <w:rFonts w:ascii="Arial" w:hAnsi="Arial"/>
        <w:color w:val="5951C8" w:themeColor="text1" w:themeTint="80" w:themeShade="95"/>
        <w:sz w:val="22"/>
      </w:rPr>
      <w:tblPr/>
      <w:tcPr>
        <w:shd w:val="clear" w:color="ACA7E3" w:themeColor="text1" w:themeTint="40" w:fill="ACA7E3" w:themeFill="text1" w:themeFillTint="40"/>
      </w:tcPr>
    </w:tblStylePr>
    <w:tblStylePr w:type="band2Horz">
      <w:rPr>
        <w:rFonts w:ascii="Arial" w:hAnsi="Arial"/>
        <w:color w:val="5951C8" w:themeColor="text1" w:themeTint="80" w:themeShade="95"/>
        <w:sz w:val="22"/>
      </w:rPr>
    </w:tblStylePr>
  </w:style>
  <w:style w:type="table" w:customStyle="1" w:styleId="Lined-Accent">
    <w:name w:val="Lined - Accent"/>
    <w:basedOn w:val="TableNormal"/>
    <w:uiPriority w:val="99"/>
    <w:rsid w:val="009F4DDD"/>
    <w:pPr>
      <w:spacing w:before="200" w:after="0" w:line="260" w:lineRule="atLeast"/>
    </w:pPr>
    <w:rPr>
      <w:rFonts w:ascii="Times New Roman" w:eastAsia="MS Mincho" w:hAnsi="Times New Roman" w:cs="Times New Roman"/>
      <w:color w:val="404040"/>
      <w:sz w:val="20"/>
      <w:szCs w:val="20"/>
      <w:lang w:eastAsia="de-DE"/>
    </w:rPr>
    <w:tblPr>
      <w:tblStyleRowBandSize w:val="1"/>
      <w:tblStyleColBandSize w:val="1"/>
    </w:tblPr>
    <w:tblStylePr w:type="firstRow">
      <w:rPr>
        <w:rFonts w:ascii="Arial" w:hAnsi="Arial"/>
        <w:color w:val="F2F2F2"/>
        <w:sz w:val="22"/>
      </w:rPr>
      <w:tblPr/>
      <w:tcPr>
        <w:shd w:val="clear" w:color="5951C8" w:themeColor="text1" w:themeTint="80" w:fill="5951C8" w:themeFill="text1" w:themeFillTint="80"/>
      </w:tcPr>
    </w:tblStylePr>
    <w:tblStylePr w:type="lastRow">
      <w:rPr>
        <w:rFonts w:ascii="Arial" w:hAnsi="Arial"/>
        <w:color w:val="F2F2F2"/>
        <w:sz w:val="22"/>
      </w:rPr>
      <w:tblPr/>
      <w:tcPr>
        <w:shd w:val="clear" w:color="5951C8" w:themeColor="text1" w:themeTint="80" w:fill="5951C8" w:themeFill="text1" w:themeFillTint="80"/>
      </w:tcPr>
    </w:tblStylePr>
    <w:tblStylePr w:type="firstCol">
      <w:rPr>
        <w:rFonts w:ascii="Arial" w:hAnsi="Arial"/>
        <w:color w:val="F2F2F2"/>
        <w:sz w:val="22"/>
      </w:rPr>
      <w:tblPr/>
      <w:tcPr>
        <w:shd w:val="clear" w:color="5951C8" w:themeColor="text1" w:themeTint="80" w:fill="5951C8" w:themeFill="text1" w:themeFillTint="80"/>
      </w:tcPr>
    </w:tblStylePr>
    <w:tblStylePr w:type="lastCol">
      <w:rPr>
        <w:rFonts w:ascii="Arial" w:hAnsi="Arial"/>
        <w:color w:val="F2F2F2"/>
        <w:sz w:val="22"/>
      </w:rPr>
      <w:tblPr/>
      <w:tcPr>
        <w:shd w:val="clear" w:color="5951C8" w:themeColor="text1" w:themeTint="80" w:fill="5951C8"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EEEDF9" w:themeColor="text1" w:themeTint="0D" w:fill="EEEDF9"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EEEDF9" w:themeColor="text1" w:themeTint="0D" w:fill="EEEDF9" w:themeFill="text1" w:themeFillTint="0D"/>
      </w:tcPr>
    </w:tblStylePr>
  </w:style>
  <w:style w:type="table" w:customStyle="1" w:styleId="Lined-Accent1">
    <w:name w:val="Lined - Accent 1"/>
    <w:basedOn w:val="TableNormal"/>
    <w:uiPriority w:val="99"/>
    <w:rsid w:val="009F4DDD"/>
    <w:pPr>
      <w:spacing w:before="200" w:after="0" w:line="260" w:lineRule="atLeast"/>
    </w:pPr>
    <w:rPr>
      <w:rFonts w:ascii="Times New Roman" w:eastAsia="MS Mincho" w:hAnsi="Times New Roman" w:cs="Times New Roman"/>
      <w:color w:val="404040"/>
      <w:sz w:val="20"/>
      <w:szCs w:val="20"/>
      <w:lang w:eastAsia="de-DE"/>
    </w:rPr>
    <w:tblPr>
      <w:tblStyleRowBandSize w:val="1"/>
      <w:tblStyleColBandSize w:val="1"/>
    </w:tblPr>
    <w:tblStylePr w:type="firstRow">
      <w:rPr>
        <w:rFonts w:ascii="Arial" w:hAnsi="Arial"/>
        <w:color w:val="F2F2F2"/>
        <w:sz w:val="22"/>
      </w:rPr>
      <w:tblPr/>
      <w:tcPr>
        <w:shd w:val="clear" w:color="026394" w:themeColor="accent1" w:themeTint="EA" w:fill="026394" w:themeFill="accent1" w:themeFillTint="EA"/>
      </w:tcPr>
    </w:tblStylePr>
    <w:tblStylePr w:type="lastRow">
      <w:rPr>
        <w:rFonts w:ascii="Arial" w:hAnsi="Arial"/>
        <w:color w:val="F2F2F2"/>
        <w:sz w:val="22"/>
      </w:rPr>
      <w:tblPr/>
      <w:tcPr>
        <w:shd w:val="clear" w:color="026394" w:themeColor="accent1" w:themeTint="EA" w:fill="026394" w:themeFill="accent1" w:themeFillTint="EA"/>
      </w:tcPr>
    </w:tblStylePr>
    <w:tblStylePr w:type="firstCol">
      <w:rPr>
        <w:rFonts w:ascii="Arial" w:hAnsi="Arial"/>
        <w:color w:val="F2F2F2"/>
        <w:sz w:val="22"/>
      </w:rPr>
      <w:tblPr/>
      <w:tcPr>
        <w:shd w:val="clear" w:color="026394" w:themeColor="accent1" w:themeTint="EA" w:fill="026394" w:themeFill="accent1" w:themeFillTint="EA"/>
      </w:tcPr>
    </w:tblStylePr>
    <w:tblStylePr w:type="lastCol">
      <w:rPr>
        <w:rFonts w:ascii="Arial" w:hAnsi="Arial"/>
        <w:color w:val="F2F2F2"/>
        <w:sz w:val="22"/>
      </w:rPr>
      <w:tblPr/>
      <w:tcPr>
        <w:shd w:val="clear" w:color="026394" w:themeColor="accent1" w:themeTint="EA" w:fill="026394"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86D5FD" w:themeColor="accent1" w:themeTint="50" w:fill="86D5FD"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86D5FD" w:themeColor="accent1" w:themeTint="50" w:fill="86D5FD" w:themeFill="accent1" w:themeFillTint="50"/>
      </w:tcPr>
    </w:tblStylePr>
  </w:style>
  <w:style w:type="table" w:customStyle="1" w:styleId="Lined-Accent2">
    <w:name w:val="Lined - Accent 2"/>
    <w:basedOn w:val="TableNormal"/>
    <w:uiPriority w:val="99"/>
    <w:rsid w:val="009F4DDD"/>
    <w:pPr>
      <w:spacing w:before="200" w:after="0" w:line="260" w:lineRule="atLeast"/>
    </w:pPr>
    <w:rPr>
      <w:rFonts w:ascii="Times New Roman" w:eastAsia="MS Mincho" w:hAnsi="Times New Roman" w:cs="Times New Roman"/>
      <w:color w:val="404040"/>
      <w:sz w:val="20"/>
      <w:szCs w:val="20"/>
      <w:lang w:eastAsia="de-DE"/>
    </w:rPr>
    <w:tblPr>
      <w:tblStyleRowBandSize w:val="1"/>
      <w:tblStyleColBandSize w:val="1"/>
    </w:tblPr>
    <w:tblStylePr w:type="firstRow">
      <w:rPr>
        <w:rFonts w:ascii="Arial" w:hAnsi="Arial"/>
        <w:color w:val="F2F2F2"/>
        <w:sz w:val="22"/>
      </w:rPr>
      <w:tblPr/>
      <w:tcPr>
        <w:shd w:val="clear" w:color="87BDE2" w:themeColor="accent2" w:themeTint="97" w:fill="87BDE2" w:themeFill="accent2" w:themeFillTint="97"/>
      </w:tcPr>
    </w:tblStylePr>
    <w:tblStylePr w:type="lastRow">
      <w:rPr>
        <w:rFonts w:ascii="Arial" w:hAnsi="Arial"/>
        <w:color w:val="F2F2F2"/>
        <w:sz w:val="22"/>
      </w:rPr>
      <w:tblPr/>
      <w:tcPr>
        <w:shd w:val="clear" w:color="87BDE2" w:themeColor="accent2" w:themeTint="97" w:fill="87BDE2" w:themeFill="accent2" w:themeFillTint="97"/>
      </w:tcPr>
    </w:tblStylePr>
    <w:tblStylePr w:type="firstCol">
      <w:rPr>
        <w:rFonts w:ascii="Arial" w:hAnsi="Arial"/>
        <w:color w:val="F2F2F2"/>
        <w:sz w:val="22"/>
      </w:rPr>
      <w:tblPr/>
      <w:tcPr>
        <w:shd w:val="clear" w:color="87BDE2" w:themeColor="accent2" w:themeTint="97" w:fill="87BDE2" w:themeFill="accent2" w:themeFillTint="97"/>
      </w:tcPr>
    </w:tblStylePr>
    <w:tblStylePr w:type="lastCol">
      <w:rPr>
        <w:rFonts w:ascii="Arial" w:hAnsi="Arial"/>
        <w:color w:val="F2F2F2"/>
        <w:sz w:val="22"/>
      </w:rPr>
      <w:tblPr/>
      <w:tcPr>
        <w:shd w:val="clear" w:color="87BDE2" w:themeColor="accent2" w:themeTint="97" w:fill="87BDE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D7E9F5" w:themeColor="accent2" w:themeTint="32" w:fill="D7E9F5"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D7E9F5" w:themeColor="accent2" w:themeTint="32" w:fill="D7E9F5" w:themeFill="accent2" w:themeFillTint="32"/>
      </w:tcPr>
    </w:tblStylePr>
  </w:style>
  <w:style w:type="table" w:customStyle="1" w:styleId="Lined-Accent3">
    <w:name w:val="Lined - Accent 3"/>
    <w:basedOn w:val="TableNormal"/>
    <w:uiPriority w:val="99"/>
    <w:rsid w:val="009F4DDD"/>
    <w:pPr>
      <w:spacing w:before="200" w:after="0" w:line="260" w:lineRule="atLeast"/>
    </w:pPr>
    <w:rPr>
      <w:rFonts w:ascii="Times New Roman" w:eastAsia="MS Mincho" w:hAnsi="Times New Roman" w:cs="Times New Roman"/>
      <w:color w:val="404040"/>
      <w:sz w:val="20"/>
      <w:szCs w:val="20"/>
      <w:lang w:eastAsia="de-DE"/>
    </w:rPr>
    <w:tblPr>
      <w:tblStyleRowBandSize w:val="1"/>
      <w:tblStyleColBandSize w:val="1"/>
    </w:tblPr>
    <w:tblStylePr w:type="firstRow">
      <w:rPr>
        <w:rFonts w:ascii="Arial" w:hAnsi="Arial"/>
        <w:color w:val="F2F2F2"/>
        <w:sz w:val="22"/>
      </w:rPr>
      <w:tblPr/>
      <w:tcPr>
        <w:shd w:val="clear" w:color="34ABA2" w:themeColor="accent3" w:themeTint="FE" w:fill="34ABA2" w:themeFill="accent3" w:themeFillTint="FE"/>
      </w:tcPr>
    </w:tblStylePr>
    <w:tblStylePr w:type="lastRow">
      <w:rPr>
        <w:rFonts w:ascii="Arial" w:hAnsi="Arial"/>
        <w:color w:val="F2F2F2"/>
        <w:sz w:val="22"/>
      </w:rPr>
      <w:tblPr/>
      <w:tcPr>
        <w:shd w:val="clear" w:color="34ABA2" w:themeColor="accent3" w:themeTint="FE" w:fill="34ABA2" w:themeFill="accent3" w:themeFillTint="FE"/>
      </w:tcPr>
    </w:tblStylePr>
    <w:tblStylePr w:type="firstCol">
      <w:rPr>
        <w:rFonts w:ascii="Arial" w:hAnsi="Arial"/>
        <w:color w:val="F2F2F2"/>
        <w:sz w:val="22"/>
      </w:rPr>
      <w:tblPr/>
      <w:tcPr>
        <w:shd w:val="clear" w:color="34ABA2" w:themeColor="accent3" w:themeTint="FE" w:fill="34ABA2" w:themeFill="accent3" w:themeFillTint="FE"/>
      </w:tcPr>
    </w:tblStylePr>
    <w:tblStylePr w:type="lastCol">
      <w:rPr>
        <w:rFonts w:ascii="Arial" w:hAnsi="Arial"/>
        <w:color w:val="F2F2F2"/>
        <w:sz w:val="22"/>
      </w:rPr>
      <w:tblPr/>
      <w:tcPr>
        <w:shd w:val="clear" w:color="34ABA2" w:themeColor="accent3" w:themeTint="FE" w:fill="34ABA2"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D2F1EE" w:themeColor="accent3" w:themeTint="34" w:fill="D2F1EE"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D2F1EE" w:themeColor="accent3" w:themeTint="34" w:fill="D2F1EE" w:themeFill="accent3" w:themeFillTint="34"/>
      </w:tcPr>
    </w:tblStylePr>
  </w:style>
  <w:style w:type="table" w:customStyle="1" w:styleId="Lined-Accent4">
    <w:name w:val="Lined - Accent 4"/>
    <w:basedOn w:val="TableNormal"/>
    <w:uiPriority w:val="99"/>
    <w:rsid w:val="009F4DDD"/>
    <w:pPr>
      <w:spacing w:before="200" w:after="0" w:line="260" w:lineRule="atLeast"/>
    </w:pPr>
    <w:rPr>
      <w:rFonts w:ascii="Times New Roman" w:eastAsia="MS Mincho" w:hAnsi="Times New Roman" w:cs="Times New Roman"/>
      <w:color w:val="404040"/>
      <w:sz w:val="20"/>
      <w:szCs w:val="20"/>
      <w:lang w:eastAsia="de-DE"/>
    </w:rPr>
    <w:tblPr>
      <w:tblStyleRowBandSize w:val="1"/>
      <w:tblStyleColBandSize w:val="1"/>
    </w:tblPr>
    <w:tblStylePr w:type="firstRow">
      <w:rPr>
        <w:rFonts w:ascii="Arial" w:hAnsi="Arial"/>
        <w:color w:val="F2F2F2"/>
        <w:sz w:val="22"/>
      </w:rPr>
      <w:tblPr/>
      <w:tcPr>
        <w:shd w:val="clear" w:color="A2D0DF" w:themeColor="accent4" w:themeTint="9A" w:fill="A2D0DF" w:themeFill="accent4" w:themeFillTint="9A"/>
      </w:tcPr>
    </w:tblStylePr>
    <w:tblStylePr w:type="lastRow">
      <w:rPr>
        <w:rFonts w:ascii="Arial" w:hAnsi="Arial"/>
        <w:color w:val="F2F2F2"/>
        <w:sz w:val="22"/>
      </w:rPr>
      <w:tblPr/>
      <w:tcPr>
        <w:shd w:val="clear" w:color="A2D0DF" w:themeColor="accent4" w:themeTint="9A" w:fill="A2D0DF" w:themeFill="accent4" w:themeFillTint="9A"/>
      </w:tcPr>
    </w:tblStylePr>
    <w:tblStylePr w:type="firstCol">
      <w:rPr>
        <w:rFonts w:ascii="Arial" w:hAnsi="Arial"/>
        <w:color w:val="F2F2F2"/>
        <w:sz w:val="22"/>
      </w:rPr>
      <w:tblPr/>
      <w:tcPr>
        <w:shd w:val="clear" w:color="A2D0DF" w:themeColor="accent4" w:themeTint="9A" w:fill="A2D0DF" w:themeFill="accent4" w:themeFillTint="9A"/>
      </w:tcPr>
    </w:tblStylePr>
    <w:tblStylePr w:type="lastCol">
      <w:rPr>
        <w:rFonts w:ascii="Arial" w:hAnsi="Arial"/>
        <w:color w:val="F2F2F2"/>
        <w:sz w:val="22"/>
      </w:rPr>
      <w:tblPr/>
      <w:tcPr>
        <w:shd w:val="clear" w:color="A2D0DF" w:themeColor="accent4" w:themeTint="9A" w:fill="A2D0DF"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DFEFF4" w:themeColor="accent4" w:themeTint="34" w:fill="DFEFF4"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DFEFF4" w:themeColor="accent4" w:themeTint="34" w:fill="DFEFF4" w:themeFill="accent4" w:themeFillTint="34"/>
      </w:tcPr>
    </w:tblStylePr>
  </w:style>
  <w:style w:type="table" w:customStyle="1" w:styleId="Lined-Accent5">
    <w:name w:val="Lined - Accent 5"/>
    <w:basedOn w:val="TableNormal"/>
    <w:uiPriority w:val="99"/>
    <w:rsid w:val="009F4DDD"/>
    <w:pPr>
      <w:spacing w:before="200" w:after="0" w:line="260" w:lineRule="atLeast"/>
    </w:pPr>
    <w:rPr>
      <w:rFonts w:ascii="Times New Roman" w:eastAsia="MS Mincho" w:hAnsi="Times New Roman" w:cs="Times New Roman"/>
      <w:color w:val="404040"/>
      <w:sz w:val="20"/>
      <w:szCs w:val="20"/>
      <w:lang w:eastAsia="de-DE"/>
    </w:rPr>
    <w:tblPr>
      <w:tblStyleRowBandSize w:val="1"/>
      <w:tblStyleColBandSize w:val="1"/>
    </w:tblPr>
    <w:tblStylePr w:type="firstRow">
      <w:rPr>
        <w:rFonts w:ascii="Arial" w:hAnsi="Arial"/>
        <w:color w:val="F2F2F2"/>
        <w:sz w:val="22"/>
      </w:rPr>
      <w:tblPr/>
      <w:tcPr>
        <w:shd w:val="clear" w:color="C1D9CB" w:themeColor="accent5" w:fill="C1D9CB" w:themeFill="accent5"/>
      </w:tcPr>
    </w:tblStylePr>
    <w:tblStylePr w:type="lastRow">
      <w:rPr>
        <w:rFonts w:ascii="Arial" w:hAnsi="Arial"/>
        <w:color w:val="F2F2F2"/>
        <w:sz w:val="22"/>
      </w:rPr>
      <w:tblPr/>
      <w:tcPr>
        <w:shd w:val="clear" w:color="C1D9CB" w:themeColor="accent5" w:fill="C1D9CB" w:themeFill="accent5"/>
      </w:tcPr>
    </w:tblStylePr>
    <w:tblStylePr w:type="firstCol">
      <w:rPr>
        <w:rFonts w:ascii="Arial" w:hAnsi="Arial"/>
        <w:color w:val="F2F2F2"/>
        <w:sz w:val="22"/>
      </w:rPr>
      <w:tblPr/>
      <w:tcPr>
        <w:shd w:val="clear" w:color="C1D9CB" w:themeColor="accent5" w:fill="C1D9CB" w:themeFill="accent5"/>
      </w:tcPr>
    </w:tblStylePr>
    <w:tblStylePr w:type="lastCol">
      <w:rPr>
        <w:rFonts w:ascii="Arial" w:hAnsi="Arial"/>
        <w:color w:val="F2F2F2"/>
        <w:sz w:val="22"/>
      </w:rPr>
      <w:tblPr/>
      <w:tcPr>
        <w:shd w:val="clear" w:color="C1D9CB" w:themeColor="accent5" w:fill="C1D9CB"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2F7F4" w:themeColor="accent5" w:themeTint="34" w:fill="F2F7F4"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2F7F4" w:themeColor="accent5" w:themeTint="34" w:fill="F2F7F4" w:themeFill="accent5" w:themeFillTint="34"/>
      </w:tcPr>
    </w:tblStylePr>
  </w:style>
  <w:style w:type="table" w:customStyle="1" w:styleId="Lined-Accent6">
    <w:name w:val="Lined - Accent 6"/>
    <w:basedOn w:val="TableNormal"/>
    <w:uiPriority w:val="99"/>
    <w:rsid w:val="009F4DDD"/>
    <w:pPr>
      <w:spacing w:before="200" w:after="0" w:line="260" w:lineRule="atLeast"/>
    </w:pPr>
    <w:rPr>
      <w:rFonts w:ascii="Times New Roman" w:eastAsia="MS Mincho" w:hAnsi="Times New Roman" w:cs="Times New Roman"/>
      <w:color w:val="404040"/>
      <w:sz w:val="20"/>
      <w:szCs w:val="20"/>
      <w:lang w:eastAsia="de-DE"/>
    </w:rPr>
    <w:tblPr>
      <w:tblStyleRowBandSize w:val="1"/>
      <w:tblStyleColBandSize w:val="1"/>
    </w:tblPr>
    <w:tblStylePr w:type="firstRow">
      <w:rPr>
        <w:rFonts w:ascii="Arial" w:hAnsi="Arial"/>
        <w:color w:val="F2F2F2"/>
        <w:sz w:val="22"/>
      </w:rPr>
      <w:tblPr/>
      <w:tcPr>
        <w:shd w:val="clear" w:color="34ABA2" w:themeColor="accent6" w:fill="34ABA2" w:themeFill="accent6"/>
      </w:tcPr>
    </w:tblStylePr>
    <w:tblStylePr w:type="lastRow">
      <w:rPr>
        <w:rFonts w:ascii="Arial" w:hAnsi="Arial"/>
        <w:color w:val="F2F2F2"/>
        <w:sz w:val="22"/>
      </w:rPr>
      <w:tblPr/>
      <w:tcPr>
        <w:shd w:val="clear" w:color="34ABA2" w:themeColor="accent6" w:fill="34ABA2" w:themeFill="accent6"/>
      </w:tcPr>
    </w:tblStylePr>
    <w:tblStylePr w:type="firstCol">
      <w:rPr>
        <w:rFonts w:ascii="Arial" w:hAnsi="Arial"/>
        <w:color w:val="F2F2F2"/>
        <w:sz w:val="22"/>
      </w:rPr>
      <w:tblPr/>
      <w:tcPr>
        <w:shd w:val="clear" w:color="34ABA2" w:themeColor="accent6" w:fill="34ABA2" w:themeFill="accent6"/>
      </w:tcPr>
    </w:tblStylePr>
    <w:tblStylePr w:type="lastCol">
      <w:rPr>
        <w:rFonts w:ascii="Arial" w:hAnsi="Arial"/>
        <w:color w:val="F2F2F2"/>
        <w:sz w:val="22"/>
      </w:rPr>
      <w:tblPr/>
      <w:tcPr>
        <w:shd w:val="clear" w:color="34ABA2" w:themeColor="accent6" w:fill="34ABA2"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2F1EE" w:themeColor="accent6" w:themeTint="34" w:fill="D2F1EE"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2F1EE" w:themeColor="accent6" w:themeTint="34" w:fill="D2F1EE" w:themeFill="accent6" w:themeFillTint="34"/>
      </w:tcPr>
    </w:tblStylePr>
  </w:style>
  <w:style w:type="table" w:customStyle="1" w:styleId="BorderedLined-Accent">
    <w:name w:val="Bordered &amp; Lined - Accent"/>
    <w:basedOn w:val="TableNormal"/>
    <w:uiPriority w:val="99"/>
    <w:rsid w:val="009F4DDD"/>
    <w:pPr>
      <w:spacing w:before="200" w:after="0" w:line="260" w:lineRule="atLeast"/>
    </w:pPr>
    <w:rPr>
      <w:rFonts w:ascii="Times New Roman" w:eastAsia="MS Mincho" w:hAnsi="Times New Roman" w:cs="Times New Roman"/>
      <w:color w:val="404040"/>
      <w:sz w:val="20"/>
      <w:szCs w:val="20"/>
      <w:lang w:eastAsia="de-DE"/>
    </w:rPr>
    <w:tblPr>
      <w:tblStyleRowBandSize w:val="1"/>
      <w:tblStyleColBandSize w:val="1"/>
      <w:tblBorders>
        <w:top w:val="single" w:sz="4" w:space="0" w:color="3B33A1" w:themeColor="text1" w:themeTint="A6"/>
        <w:left w:val="single" w:sz="4" w:space="0" w:color="3B33A1" w:themeColor="text1" w:themeTint="A6"/>
        <w:bottom w:val="single" w:sz="4" w:space="0" w:color="3B33A1" w:themeColor="text1" w:themeTint="A6"/>
        <w:right w:val="single" w:sz="4" w:space="0" w:color="3B33A1" w:themeColor="text1" w:themeTint="A6"/>
        <w:insideH w:val="single" w:sz="4" w:space="0" w:color="3B33A1" w:themeColor="text1" w:themeTint="A6"/>
        <w:insideV w:val="single" w:sz="4" w:space="0" w:color="3B33A1" w:themeColor="text1" w:themeTint="A6"/>
      </w:tblBorders>
    </w:tblPr>
    <w:tblStylePr w:type="firstRow">
      <w:rPr>
        <w:rFonts w:ascii="Arial" w:hAnsi="Arial"/>
        <w:color w:val="F2F2F2"/>
        <w:sz w:val="22"/>
      </w:rPr>
      <w:tblPr/>
      <w:tcPr>
        <w:shd w:val="clear" w:color="5951C8" w:themeColor="text1" w:themeTint="80" w:fill="5951C8" w:themeFill="text1" w:themeFillTint="80"/>
      </w:tcPr>
    </w:tblStylePr>
    <w:tblStylePr w:type="lastRow">
      <w:rPr>
        <w:rFonts w:ascii="Arial" w:hAnsi="Arial"/>
        <w:color w:val="F2F2F2"/>
        <w:sz w:val="22"/>
      </w:rPr>
      <w:tblPr/>
      <w:tcPr>
        <w:shd w:val="clear" w:color="5951C8" w:themeColor="text1" w:themeTint="80" w:fill="5951C8" w:themeFill="text1" w:themeFillTint="80"/>
      </w:tcPr>
    </w:tblStylePr>
    <w:tblStylePr w:type="firstCol">
      <w:rPr>
        <w:rFonts w:ascii="Arial" w:hAnsi="Arial"/>
        <w:color w:val="F2F2F2"/>
        <w:sz w:val="22"/>
      </w:rPr>
      <w:tblPr/>
      <w:tcPr>
        <w:shd w:val="clear" w:color="5951C8" w:themeColor="text1" w:themeTint="80" w:fill="5951C8" w:themeFill="text1" w:themeFillTint="80"/>
      </w:tcPr>
    </w:tblStylePr>
    <w:tblStylePr w:type="lastCol">
      <w:rPr>
        <w:rFonts w:ascii="Arial" w:hAnsi="Arial"/>
        <w:color w:val="F2F2F2"/>
        <w:sz w:val="22"/>
      </w:rPr>
      <w:tblPr/>
      <w:tcPr>
        <w:shd w:val="clear" w:color="5951C8" w:themeColor="text1" w:themeTint="80" w:fill="5951C8"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EEEDF9" w:themeColor="text1" w:themeTint="0D" w:fill="EEEDF9"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EEEDF9" w:themeColor="text1" w:themeTint="0D" w:fill="EEEDF9" w:themeFill="text1" w:themeFillTint="0D"/>
      </w:tcPr>
    </w:tblStylePr>
  </w:style>
  <w:style w:type="table" w:customStyle="1" w:styleId="BorderedLined-Accent1">
    <w:name w:val="Bordered &amp; Lined - Accent 1"/>
    <w:basedOn w:val="TableNormal"/>
    <w:uiPriority w:val="99"/>
    <w:rsid w:val="009F4DDD"/>
    <w:pPr>
      <w:spacing w:before="200" w:after="0" w:line="260" w:lineRule="atLeast"/>
    </w:pPr>
    <w:rPr>
      <w:rFonts w:ascii="Times New Roman" w:eastAsia="MS Mincho" w:hAnsi="Times New Roman" w:cs="Times New Roman"/>
      <w:color w:val="404040"/>
      <w:sz w:val="20"/>
      <w:szCs w:val="20"/>
      <w:lang w:eastAsia="de-DE"/>
    </w:rPr>
    <w:tblPr>
      <w:tblStyleRowBandSize w:val="1"/>
      <w:tblStyleColBandSize w:val="1"/>
      <w:tblBorders>
        <w:top w:val="single" w:sz="4" w:space="0" w:color="012D44" w:themeColor="accent1" w:themeShade="95"/>
        <w:left w:val="single" w:sz="4" w:space="0" w:color="012D44" w:themeColor="accent1" w:themeShade="95"/>
        <w:bottom w:val="single" w:sz="4" w:space="0" w:color="012D44" w:themeColor="accent1" w:themeShade="95"/>
        <w:right w:val="single" w:sz="4" w:space="0" w:color="012D44" w:themeColor="accent1" w:themeShade="95"/>
        <w:insideH w:val="single" w:sz="4" w:space="0" w:color="012D44" w:themeColor="accent1" w:themeShade="95"/>
        <w:insideV w:val="single" w:sz="4" w:space="0" w:color="012D44" w:themeColor="accent1" w:themeShade="95"/>
      </w:tblBorders>
    </w:tblPr>
    <w:tblStylePr w:type="firstRow">
      <w:rPr>
        <w:rFonts w:ascii="Arial" w:hAnsi="Arial"/>
        <w:color w:val="F2F2F2"/>
        <w:sz w:val="22"/>
      </w:rPr>
      <w:tblPr/>
      <w:tcPr>
        <w:shd w:val="clear" w:color="026394" w:themeColor="accent1" w:themeTint="EA" w:fill="026394" w:themeFill="accent1" w:themeFillTint="EA"/>
      </w:tcPr>
    </w:tblStylePr>
    <w:tblStylePr w:type="lastRow">
      <w:rPr>
        <w:rFonts w:ascii="Arial" w:hAnsi="Arial"/>
        <w:color w:val="F2F2F2"/>
        <w:sz w:val="22"/>
      </w:rPr>
      <w:tblPr/>
      <w:tcPr>
        <w:shd w:val="clear" w:color="026394" w:themeColor="accent1" w:themeTint="EA" w:fill="026394" w:themeFill="accent1" w:themeFillTint="EA"/>
      </w:tcPr>
    </w:tblStylePr>
    <w:tblStylePr w:type="firstCol">
      <w:rPr>
        <w:rFonts w:ascii="Arial" w:hAnsi="Arial"/>
        <w:color w:val="F2F2F2"/>
        <w:sz w:val="22"/>
      </w:rPr>
      <w:tblPr/>
      <w:tcPr>
        <w:shd w:val="clear" w:color="026394" w:themeColor="accent1" w:themeTint="EA" w:fill="026394" w:themeFill="accent1" w:themeFillTint="EA"/>
      </w:tcPr>
    </w:tblStylePr>
    <w:tblStylePr w:type="lastCol">
      <w:rPr>
        <w:rFonts w:ascii="Arial" w:hAnsi="Arial"/>
        <w:color w:val="F2F2F2"/>
        <w:sz w:val="22"/>
      </w:rPr>
      <w:tblPr/>
      <w:tcPr>
        <w:shd w:val="clear" w:color="026394" w:themeColor="accent1" w:themeTint="EA" w:fill="026394"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86D5FD" w:themeColor="accent1" w:themeTint="50" w:fill="86D5FD"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86D5FD" w:themeColor="accent1" w:themeTint="50" w:fill="86D5FD" w:themeFill="accent1" w:themeFillTint="50"/>
      </w:tcPr>
    </w:tblStylePr>
  </w:style>
  <w:style w:type="table" w:customStyle="1" w:styleId="BorderedLined-Accent2">
    <w:name w:val="Bordered &amp; Lined - Accent 2"/>
    <w:basedOn w:val="TableNormal"/>
    <w:uiPriority w:val="99"/>
    <w:rsid w:val="009F4DDD"/>
    <w:pPr>
      <w:spacing w:before="200" w:after="0" w:line="260" w:lineRule="atLeast"/>
    </w:pPr>
    <w:rPr>
      <w:rFonts w:ascii="Times New Roman" w:eastAsia="MS Mincho" w:hAnsi="Times New Roman" w:cs="Times New Roman"/>
      <w:color w:val="404040"/>
      <w:sz w:val="20"/>
      <w:szCs w:val="20"/>
      <w:lang w:eastAsia="de-DE"/>
    </w:rPr>
    <w:tblPr>
      <w:tblStyleRowBandSize w:val="1"/>
      <w:tblStyleColBandSize w:val="1"/>
      <w:tblBorders>
        <w:top w:val="single" w:sz="4" w:space="0" w:color="1D557A" w:themeColor="accent2" w:themeShade="95"/>
        <w:left w:val="single" w:sz="4" w:space="0" w:color="1D557A" w:themeColor="accent2" w:themeShade="95"/>
        <w:bottom w:val="single" w:sz="4" w:space="0" w:color="1D557A" w:themeColor="accent2" w:themeShade="95"/>
        <w:right w:val="single" w:sz="4" w:space="0" w:color="1D557A" w:themeColor="accent2" w:themeShade="95"/>
        <w:insideH w:val="single" w:sz="4" w:space="0" w:color="1D557A" w:themeColor="accent2" w:themeShade="95"/>
        <w:insideV w:val="single" w:sz="4" w:space="0" w:color="1D557A" w:themeColor="accent2" w:themeShade="95"/>
      </w:tblBorders>
    </w:tblPr>
    <w:tblStylePr w:type="firstRow">
      <w:rPr>
        <w:rFonts w:ascii="Arial" w:hAnsi="Arial"/>
        <w:color w:val="F2F2F2"/>
        <w:sz w:val="22"/>
      </w:rPr>
      <w:tblPr/>
      <w:tcPr>
        <w:shd w:val="clear" w:color="87BDE2" w:themeColor="accent2" w:themeTint="97" w:fill="87BDE2" w:themeFill="accent2" w:themeFillTint="97"/>
      </w:tcPr>
    </w:tblStylePr>
    <w:tblStylePr w:type="lastRow">
      <w:rPr>
        <w:rFonts w:ascii="Arial" w:hAnsi="Arial"/>
        <w:color w:val="F2F2F2"/>
        <w:sz w:val="22"/>
      </w:rPr>
      <w:tblPr/>
      <w:tcPr>
        <w:shd w:val="clear" w:color="87BDE2" w:themeColor="accent2" w:themeTint="97" w:fill="87BDE2" w:themeFill="accent2" w:themeFillTint="97"/>
      </w:tcPr>
    </w:tblStylePr>
    <w:tblStylePr w:type="firstCol">
      <w:rPr>
        <w:rFonts w:ascii="Arial" w:hAnsi="Arial"/>
        <w:color w:val="F2F2F2"/>
        <w:sz w:val="22"/>
      </w:rPr>
      <w:tblPr/>
      <w:tcPr>
        <w:shd w:val="clear" w:color="87BDE2" w:themeColor="accent2" w:themeTint="97" w:fill="87BDE2" w:themeFill="accent2" w:themeFillTint="97"/>
      </w:tcPr>
    </w:tblStylePr>
    <w:tblStylePr w:type="lastCol">
      <w:rPr>
        <w:rFonts w:ascii="Arial" w:hAnsi="Arial"/>
        <w:color w:val="F2F2F2"/>
        <w:sz w:val="22"/>
      </w:rPr>
      <w:tblPr/>
      <w:tcPr>
        <w:shd w:val="clear" w:color="87BDE2" w:themeColor="accent2" w:themeTint="97" w:fill="87BDE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D7E9F5" w:themeColor="accent2" w:themeTint="32" w:fill="D7E9F5"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D7E9F5" w:themeColor="accent2" w:themeTint="32" w:fill="D7E9F5" w:themeFill="accent2" w:themeFillTint="32"/>
      </w:tcPr>
    </w:tblStylePr>
  </w:style>
  <w:style w:type="table" w:customStyle="1" w:styleId="BorderedLined-Accent3">
    <w:name w:val="Bordered &amp; Lined - Accent 3"/>
    <w:basedOn w:val="TableNormal"/>
    <w:uiPriority w:val="99"/>
    <w:rsid w:val="009F4DDD"/>
    <w:pPr>
      <w:spacing w:before="200" w:after="0" w:line="260" w:lineRule="atLeast"/>
    </w:pPr>
    <w:rPr>
      <w:rFonts w:ascii="Times New Roman" w:eastAsia="MS Mincho" w:hAnsi="Times New Roman" w:cs="Times New Roman"/>
      <w:color w:val="404040"/>
      <w:sz w:val="20"/>
      <w:szCs w:val="20"/>
      <w:lang w:eastAsia="de-DE"/>
    </w:rPr>
    <w:tblPr>
      <w:tblStyleRowBandSize w:val="1"/>
      <w:tblStyleColBandSize w:val="1"/>
      <w:tblBorders>
        <w:top w:val="single" w:sz="4" w:space="0" w:color="1E635E" w:themeColor="accent3" w:themeShade="95"/>
        <w:left w:val="single" w:sz="4" w:space="0" w:color="1E635E" w:themeColor="accent3" w:themeShade="95"/>
        <w:bottom w:val="single" w:sz="4" w:space="0" w:color="1E635E" w:themeColor="accent3" w:themeShade="95"/>
        <w:right w:val="single" w:sz="4" w:space="0" w:color="1E635E" w:themeColor="accent3" w:themeShade="95"/>
        <w:insideH w:val="single" w:sz="4" w:space="0" w:color="1E635E" w:themeColor="accent3" w:themeShade="95"/>
        <w:insideV w:val="single" w:sz="4" w:space="0" w:color="1E635E" w:themeColor="accent3" w:themeShade="95"/>
      </w:tblBorders>
    </w:tblPr>
    <w:tblStylePr w:type="firstRow">
      <w:rPr>
        <w:rFonts w:ascii="Arial" w:hAnsi="Arial"/>
        <w:color w:val="F2F2F2"/>
        <w:sz w:val="22"/>
      </w:rPr>
      <w:tblPr/>
      <w:tcPr>
        <w:shd w:val="clear" w:color="34ABA2" w:themeColor="accent3" w:themeTint="FE" w:fill="34ABA2" w:themeFill="accent3" w:themeFillTint="FE"/>
      </w:tcPr>
    </w:tblStylePr>
    <w:tblStylePr w:type="lastRow">
      <w:rPr>
        <w:rFonts w:ascii="Arial" w:hAnsi="Arial"/>
        <w:color w:val="F2F2F2"/>
        <w:sz w:val="22"/>
      </w:rPr>
      <w:tblPr/>
      <w:tcPr>
        <w:shd w:val="clear" w:color="34ABA2" w:themeColor="accent3" w:themeTint="FE" w:fill="34ABA2" w:themeFill="accent3" w:themeFillTint="FE"/>
      </w:tcPr>
    </w:tblStylePr>
    <w:tblStylePr w:type="firstCol">
      <w:rPr>
        <w:rFonts w:ascii="Arial" w:hAnsi="Arial"/>
        <w:color w:val="F2F2F2"/>
        <w:sz w:val="22"/>
      </w:rPr>
      <w:tblPr/>
      <w:tcPr>
        <w:shd w:val="clear" w:color="34ABA2" w:themeColor="accent3" w:themeTint="FE" w:fill="34ABA2" w:themeFill="accent3" w:themeFillTint="FE"/>
      </w:tcPr>
    </w:tblStylePr>
    <w:tblStylePr w:type="lastCol">
      <w:rPr>
        <w:rFonts w:ascii="Arial" w:hAnsi="Arial"/>
        <w:color w:val="F2F2F2"/>
        <w:sz w:val="22"/>
      </w:rPr>
      <w:tblPr/>
      <w:tcPr>
        <w:shd w:val="clear" w:color="34ABA2" w:themeColor="accent3" w:themeTint="FE" w:fill="34ABA2"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D2F1EE" w:themeColor="accent3" w:themeTint="34" w:fill="D2F1EE"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D2F1EE" w:themeColor="accent3" w:themeTint="34" w:fill="D2F1EE" w:themeFill="accent3" w:themeFillTint="34"/>
      </w:tcPr>
    </w:tblStylePr>
  </w:style>
  <w:style w:type="table" w:customStyle="1" w:styleId="BorderedLined-Accent4">
    <w:name w:val="Bordered &amp; Lined - Accent 4"/>
    <w:basedOn w:val="TableNormal"/>
    <w:uiPriority w:val="99"/>
    <w:rsid w:val="009F4DDD"/>
    <w:pPr>
      <w:spacing w:before="200" w:after="0" w:line="260" w:lineRule="atLeast"/>
    </w:pPr>
    <w:rPr>
      <w:rFonts w:ascii="Times New Roman" w:eastAsia="MS Mincho" w:hAnsi="Times New Roman" w:cs="Times New Roman"/>
      <w:color w:val="404040"/>
      <w:sz w:val="20"/>
      <w:szCs w:val="20"/>
      <w:lang w:eastAsia="de-DE"/>
    </w:rPr>
    <w:tblPr>
      <w:tblStyleRowBandSize w:val="1"/>
      <w:tblStyleColBandSize w:val="1"/>
      <w:tblBorders>
        <w:top w:val="single" w:sz="4" w:space="0" w:color="2D6E83" w:themeColor="accent4" w:themeShade="95"/>
        <w:left w:val="single" w:sz="4" w:space="0" w:color="2D6E83" w:themeColor="accent4" w:themeShade="95"/>
        <w:bottom w:val="single" w:sz="4" w:space="0" w:color="2D6E83" w:themeColor="accent4" w:themeShade="95"/>
        <w:right w:val="single" w:sz="4" w:space="0" w:color="2D6E83" w:themeColor="accent4" w:themeShade="95"/>
        <w:insideH w:val="single" w:sz="4" w:space="0" w:color="2D6E83" w:themeColor="accent4" w:themeShade="95"/>
        <w:insideV w:val="single" w:sz="4" w:space="0" w:color="2D6E83" w:themeColor="accent4" w:themeShade="95"/>
      </w:tblBorders>
    </w:tblPr>
    <w:tblStylePr w:type="firstRow">
      <w:rPr>
        <w:rFonts w:ascii="Arial" w:hAnsi="Arial"/>
        <w:color w:val="F2F2F2"/>
        <w:sz w:val="22"/>
      </w:rPr>
      <w:tblPr/>
      <w:tcPr>
        <w:shd w:val="clear" w:color="A2D0DF" w:themeColor="accent4" w:themeTint="9A" w:fill="A2D0DF" w:themeFill="accent4" w:themeFillTint="9A"/>
      </w:tcPr>
    </w:tblStylePr>
    <w:tblStylePr w:type="lastRow">
      <w:rPr>
        <w:rFonts w:ascii="Arial" w:hAnsi="Arial"/>
        <w:color w:val="F2F2F2"/>
        <w:sz w:val="22"/>
      </w:rPr>
      <w:tblPr/>
      <w:tcPr>
        <w:shd w:val="clear" w:color="A2D0DF" w:themeColor="accent4" w:themeTint="9A" w:fill="A2D0DF" w:themeFill="accent4" w:themeFillTint="9A"/>
      </w:tcPr>
    </w:tblStylePr>
    <w:tblStylePr w:type="firstCol">
      <w:rPr>
        <w:rFonts w:ascii="Arial" w:hAnsi="Arial"/>
        <w:color w:val="F2F2F2"/>
        <w:sz w:val="22"/>
      </w:rPr>
      <w:tblPr/>
      <w:tcPr>
        <w:shd w:val="clear" w:color="A2D0DF" w:themeColor="accent4" w:themeTint="9A" w:fill="A2D0DF" w:themeFill="accent4" w:themeFillTint="9A"/>
      </w:tcPr>
    </w:tblStylePr>
    <w:tblStylePr w:type="lastCol">
      <w:rPr>
        <w:rFonts w:ascii="Arial" w:hAnsi="Arial"/>
        <w:color w:val="F2F2F2"/>
        <w:sz w:val="22"/>
      </w:rPr>
      <w:tblPr/>
      <w:tcPr>
        <w:shd w:val="clear" w:color="A2D0DF" w:themeColor="accent4" w:themeTint="9A" w:fill="A2D0DF"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DFEFF4" w:themeColor="accent4" w:themeTint="34" w:fill="DFEFF4"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DFEFF4" w:themeColor="accent4" w:themeTint="34" w:fill="DFEFF4" w:themeFill="accent4" w:themeFillTint="34"/>
      </w:tcPr>
    </w:tblStylePr>
  </w:style>
  <w:style w:type="table" w:customStyle="1" w:styleId="BorderedLined-Accent5">
    <w:name w:val="Bordered &amp; Lined - Accent 5"/>
    <w:basedOn w:val="TableNormal"/>
    <w:uiPriority w:val="99"/>
    <w:rsid w:val="009F4DDD"/>
    <w:pPr>
      <w:spacing w:before="200" w:after="0" w:line="260" w:lineRule="atLeast"/>
    </w:pPr>
    <w:rPr>
      <w:rFonts w:ascii="Times New Roman" w:eastAsia="MS Mincho" w:hAnsi="Times New Roman" w:cs="Times New Roman"/>
      <w:color w:val="404040"/>
      <w:sz w:val="20"/>
      <w:szCs w:val="20"/>
      <w:lang w:eastAsia="de-DE"/>
    </w:rPr>
    <w:tblPr>
      <w:tblStyleRowBandSize w:val="1"/>
      <w:tblStyleColBandSize w:val="1"/>
      <w:tblBorders>
        <w:top w:val="single" w:sz="4" w:space="0" w:color="5B9472" w:themeColor="accent5" w:themeShade="95"/>
        <w:left w:val="single" w:sz="4" w:space="0" w:color="5B9472" w:themeColor="accent5" w:themeShade="95"/>
        <w:bottom w:val="single" w:sz="4" w:space="0" w:color="5B9472" w:themeColor="accent5" w:themeShade="95"/>
        <w:right w:val="single" w:sz="4" w:space="0" w:color="5B9472" w:themeColor="accent5" w:themeShade="95"/>
        <w:insideH w:val="single" w:sz="4" w:space="0" w:color="5B9472" w:themeColor="accent5" w:themeShade="95"/>
        <w:insideV w:val="single" w:sz="4" w:space="0" w:color="5B9472" w:themeColor="accent5" w:themeShade="95"/>
      </w:tblBorders>
    </w:tblPr>
    <w:tblStylePr w:type="firstRow">
      <w:rPr>
        <w:rFonts w:ascii="Arial" w:hAnsi="Arial"/>
        <w:color w:val="F2F2F2"/>
        <w:sz w:val="22"/>
      </w:rPr>
      <w:tblPr/>
      <w:tcPr>
        <w:shd w:val="clear" w:color="C1D9CB" w:themeColor="accent5" w:fill="C1D9CB" w:themeFill="accent5"/>
      </w:tcPr>
    </w:tblStylePr>
    <w:tblStylePr w:type="lastRow">
      <w:rPr>
        <w:rFonts w:ascii="Arial" w:hAnsi="Arial"/>
        <w:color w:val="F2F2F2"/>
        <w:sz w:val="22"/>
      </w:rPr>
      <w:tblPr/>
      <w:tcPr>
        <w:shd w:val="clear" w:color="C1D9CB" w:themeColor="accent5" w:fill="C1D9CB" w:themeFill="accent5"/>
      </w:tcPr>
    </w:tblStylePr>
    <w:tblStylePr w:type="firstCol">
      <w:rPr>
        <w:rFonts w:ascii="Arial" w:hAnsi="Arial"/>
        <w:color w:val="F2F2F2"/>
        <w:sz w:val="22"/>
      </w:rPr>
      <w:tblPr/>
      <w:tcPr>
        <w:shd w:val="clear" w:color="C1D9CB" w:themeColor="accent5" w:fill="C1D9CB" w:themeFill="accent5"/>
      </w:tcPr>
    </w:tblStylePr>
    <w:tblStylePr w:type="lastCol">
      <w:rPr>
        <w:rFonts w:ascii="Arial" w:hAnsi="Arial"/>
        <w:color w:val="F2F2F2"/>
        <w:sz w:val="22"/>
      </w:rPr>
      <w:tblPr/>
      <w:tcPr>
        <w:shd w:val="clear" w:color="C1D9CB" w:themeColor="accent5" w:fill="C1D9CB"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2F7F4" w:themeColor="accent5" w:themeTint="34" w:fill="F2F7F4"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2F7F4" w:themeColor="accent5" w:themeTint="34" w:fill="F2F7F4" w:themeFill="accent5" w:themeFillTint="34"/>
      </w:tcPr>
    </w:tblStylePr>
  </w:style>
  <w:style w:type="table" w:customStyle="1" w:styleId="BorderedLined-Accent6">
    <w:name w:val="Bordered &amp; Lined - Accent 6"/>
    <w:basedOn w:val="TableNormal"/>
    <w:uiPriority w:val="99"/>
    <w:rsid w:val="009F4DDD"/>
    <w:pPr>
      <w:spacing w:before="200" w:after="0" w:line="260" w:lineRule="atLeast"/>
    </w:pPr>
    <w:rPr>
      <w:rFonts w:ascii="Times New Roman" w:eastAsia="MS Mincho" w:hAnsi="Times New Roman" w:cs="Times New Roman"/>
      <w:color w:val="404040"/>
      <w:sz w:val="20"/>
      <w:szCs w:val="20"/>
      <w:lang w:eastAsia="de-DE"/>
    </w:rPr>
    <w:tblPr>
      <w:tblStyleRowBandSize w:val="1"/>
      <w:tblStyleColBandSize w:val="1"/>
      <w:tblBorders>
        <w:top w:val="single" w:sz="4" w:space="0" w:color="1E635E" w:themeColor="accent6" w:themeShade="95"/>
        <w:left w:val="single" w:sz="4" w:space="0" w:color="1E635E" w:themeColor="accent6" w:themeShade="95"/>
        <w:bottom w:val="single" w:sz="4" w:space="0" w:color="1E635E" w:themeColor="accent6" w:themeShade="95"/>
        <w:right w:val="single" w:sz="4" w:space="0" w:color="1E635E" w:themeColor="accent6" w:themeShade="95"/>
        <w:insideH w:val="single" w:sz="4" w:space="0" w:color="1E635E" w:themeColor="accent6" w:themeShade="95"/>
        <w:insideV w:val="single" w:sz="4" w:space="0" w:color="1E635E" w:themeColor="accent6" w:themeShade="95"/>
      </w:tblBorders>
    </w:tblPr>
    <w:tblStylePr w:type="firstRow">
      <w:rPr>
        <w:rFonts w:ascii="Arial" w:hAnsi="Arial"/>
        <w:color w:val="F2F2F2"/>
        <w:sz w:val="22"/>
      </w:rPr>
      <w:tblPr/>
      <w:tcPr>
        <w:shd w:val="clear" w:color="34ABA2" w:themeColor="accent6" w:fill="34ABA2" w:themeFill="accent6"/>
      </w:tcPr>
    </w:tblStylePr>
    <w:tblStylePr w:type="lastRow">
      <w:rPr>
        <w:rFonts w:ascii="Arial" w:hAnsi="Arial"/>
        <w:color w:val="F2F2F2"/>
        <w:sz w:val="22"/>
      </w:rPr>
      <w:tblPr/>
      <w:tcPr>
        <w:shd w:val="clear" w:color="34ABA2" w:themeColor="accent6" w:fill="34ABA2" w:themeFill="accent6"/>
      </w:tcPr>
    </w:tblStylePr>
    <w:tblStylePr w:type="firstCol">
      <w:rPr>
        <w:rFonts w:ascii="Arial" w:hAnsi="Arial"/>
        <w:color w:val="F2F2F2"/>
        <w:sz w:val="22"/>
      </w:rPr>
      <w:tblPr/>
      <w:tcPr>
        <w:shd w:val="clear" w:color="34ABA2" w:themeColor="accent6" w:fill="34ABA2" w:themeFill="accent6"/>
      </w:tcPr>
    </w:tblStylePr>
    <w:tblStylePr w:type="lastCol">
      <w:rPr>
        <w:rFonts w:ascii="Arial" w:hAnsi="Arial"/>
        <w:color w:val="F2F2F2"/>
        <w:sz w:val="22"/>
      </w:rPr>
      <w:tblPr/>
      <w:tcPr>
        <w:shd w:val="clear" w:color="34ABA2" w:themeColor="accent6" w:fill="34ABA2"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2F1EE" w:themeColor="accent6" w:themeTint="34" w:fill="D2F1EE"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2F1EE" w:themeColor="accent6" w:themeTint="34" w:fill="D2F1EE" w:themeFill="accent6" w:themeFillTint="34"/>
      </w:tcPr>
    </w:tblStylePr>
  </w:style>
  <w:style w:type="table" w:customStyle="1" w:styleId="Bordered">
    <w:name w:val="Bordered"/>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CDCBEE" w:themeColor="text1" w:themeTint="26"/>
        <w:left w:val="single" w:sz="4" w:space="0" w:color="CDCBEE" w:themeColor="text1" w:themeTint="26"/>
        <w:bottom w:val="single" w:sz="4" w:space="0" w:color="CDCBEE" w:themeColor="text1" w:themeTint="26"/>
        <w:right w:val="single" w:sz="4" w:space="0" w:color="CDCBEE" w:themeColor="text1" w:themeTint="26"/>
        <w:insideH w:val="single" w:sz="4" w:space="0" w:color="CDCBEE" w:themeColor="text1" w:themeTint="26"/>
        <w:insideV w:val="single" w:sz="4" w:space="0" w:color="CDCBEE" w:themeColor="text1" w:themeTint="26"/>
      </w:tblBorders>
    </w:tblPr>
    <w:tblStylePr w:type="firstRow">
      <w:rPr>
        <w:rFonts w:ascii="Arial" w:hAnsi="Arial"/>
        <w:color w:val="404040"/>
        <w:sz w:val="22"/>
      </w:rPr>
      <w:tblPr/>
      <w:tcPr>
        <w:tcBorders>
          <w:bottom w:val="single" w:sz="12" w:space="0" w:color="5951C8" w:themeColor="text1" w:themeTint="80"/>
        </w:tcBorders>
      </w:tcPr>
    </w:tblStylePr>
    <w:tblStylePr w:type="lastRow">
      <w:rPr>
        <w:rFonts w:ascii="Arial" w:hAnsi="Arial"/>
        <w:color w:val="404040"/>
        <w:sz w:val="22"/>
      </w:rPr>
      <w:tblPr/>
      <w:tcPr>
        <w:tcBorders>
          <w:top w:val="single" w:sz="12" w:space="0" w:color="5951C8"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51C8" w:themeColor="text1" w:themeTint="80"/>
        </w:tcBorders>
      </w:tcPr>
    </w:tblStylePr>
    <w:tblStylePr w:type="band1Horz">
      <w:rPr>
        <w:rFonts w:ascii="Arial" w:hAnsi="Arial"/>
        <w:color w:val="404040"/>
        <w:sz w:val="22"/>
      </w:rPr>
      <w:tblPr/>
      <w:tcPr>
        <w:tcBorders>
          <w:top w:val="single" w:sz="4" w:space="0" w:color="CDCBEE" w:themeColor="text1" w:themeTint="26"/>
          <w:left w:val="single" w:sz="4" w:space="0" w:color="CDCBEE" w:themeColor="text1" w:themeTint="26"/>
          <w:bottom w:val="single" w:sz="4" w:space="0" w:color="CDCBEE" w:themeColor="text1" w:themeTint="26"/>
          <w:right w:val="single" w:sz="4" w:space="0" w:color="CDCBEE" w:themeColor="text1" w:themeTint="26"/>
        </w:tcBorders>
      </w:tcPr>
    </w:tblStylePr>
  </w:style>
  <w:style w:type="table" w:customStyle="1" w:styleId="Bordered-Accent1">
    <w:name w:val="Bordered - Accent 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63C9FC" w:themeColor="accent1" w:themeTint="67"/>
        <w:left w:val="single" w:sz="4" w:space="0" w:color="63C9FC" w:themeColor="accent1" w:themeTint="67"/>
        <w:bottom w:val="single" w:sz="4" w:space="0" w:color="63C9FC" w:themeColor="accent1" w:themeTint="67"/>
        <w:right w:val="single" w:sz="4" w:space="0" w:color="63C9FC" w:themeColor="accent1" w:themeTint="67"/>
        <w:insideH w:val="single" w:sz="4" w:space="0" w:color="63C9FC" w:themeColor="accent1" w:themeTint="67"/>
        <w:insideV w:val="single" w:sz="4" w:space="0" w:color="63C9FC" w:themeColor="accent1" w:themeTint="67"/>
      </w:tblBorders>
    </w:tblPr>
    <w:tblStylePr w:type="firstRow">
      <w:rPr>
        <w:rFonts w:ascii="Arial" w:hAnsi="Arial"/>
        <w:color w:val="404040"/>
        <w:sz w:val="22"/>
      </w:rPr>
      <w:tblPr/>
      <w:tcPr>
        <w:tcBorders>
          <w:bottom w:val="single" w:sz="12" w:space="0" w:color="024F75" w:themeColor="accent1"/>
        </w:tcBorders>
      </w:tcPr>
    </w:tblStylePr>
    <w:tblStylePr w:type="lastRow">
      <w:rPr>
        <w:rFonts w:ascii="Arial" w:hAnsi="Arial"/>
        <w:color w:val="404040"/>
        <w:sz w:val="22"/>
      </w:rPr>
      <w:tblPr/>
      <w:tcPr>
        <w:tcBorders>
          <w:top w:val="single" w:sz="12" w:space="0" w:color="024F7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24F75" w:themeColor="accent1"/>
        </w:tcBorders>
      </w:tcPr>
    </w:tblStylePr>
    <w:tblStylePr w:type="band1Horz">
      <w:rPr>
        <w:rFonts w:ascii="Arial" w:hAnsi="Arial"/>
        <w:color w:val="404040"/>
        <w:sz w:val="22"/>
      </w:rPr>
      <w:tblPr/>
      <w:tcPr>
        <w:tcBorders>
          <w:top w:val="single" w:sz="4" w:space="0" w:color="63C9FC" w:themeColor="accent1" w:themeTint="67"/>
          <w:left w:val="single" w:sz="4" w:space="0" w:color="63C9FC" w:themeColor="accent1" w:themeTint="67"/>
          <w:bottom w:val="single" w:sz="4" w:space="0" w:color="63C9FC" w:themeColor="accent1" w:themeTint="67"/>
          <w:right w:val="single" w:sz="4" w:space="0" w:color="63C9FC" w:themeColor="accent1" w:themeTint="67"/>
        </w:tcBorders>
      </w:tcPr>
    </w:tblStylePr>
  </w:style>
  <w:style w:type="table" w:customStyle="1" w:styleId="Bordered-Accent2">
    <w:name w:val="Bordered - Accent 2"/>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ADD2EB" w:themeColor="accent2" w:themeTint="67"/>
        <w:left w:val="single" w:sz="4" w:space="0" w:color="ADD2EB" w:themeColor="accent2" w:themeTint="67"/>
        <w:bottom w:val="single" w:sz="4" w:space="0" w:color="ADD2EB" w:themeColor="accent2" w:themeTint="67"/>
        <w:right w:val="single" w:sz="4" w:space="0" w:color="ADD2EB" w:themeColor="accent2" w:themeTint="67"/>
        <w:insideH w:val="single" w:sz="4" w:space="0" w:color="ADD2EB" w:themeColor="accent2" w:themeTint="67"/>
        <w:insideV w:val="single" w:sz="4" w:space="0" w:color="ADD2EB" w:themeColor="accent2" w:themeTint="67"/>
      </w:tblBorders>
    </w:tblPr>
    <w:tblStylePr w:type="firstRow">
      <w:rPr>
        <w:rFonts w:ascii="Arial" w:hAnsi="Arial"/>
        <w:color w:val="404040"/>
        <w:sz w:val="22"/>
      </w:rPr>
      <w:tblPr/>
      <w:tcPr>
        <w:tcBorders>
          <w:bottom w:val="single" w:sz="12" w:space="0" w:color="87BDE2" w:themeColor="accent2" w:themeTint="97"/>
        </w:tcBorders>
      </w:tcPr>
    </w:tblStylePr>
    <w:tblStylePr w:type="lastRow">
      <w:rPr>
        <w:rFonts w:ascii="Arial" w:hAnsi="Arial"/>
        <w:color w:val="404040"/>
        <w:sz w:val="22"/>
      </w:rPr>
      <w:tblPr/>
      <w:tcPr>
        <w:tcBorders>
          <w:top w:val="single" w:sz="12" w:space="0" w:color="87BDE2"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7BDE2" w:themeColor="accent2" w:themeTint="97"/>
        </w:tcBorders>
      </w:tcPr>
    </w:tblStylePr>
    <w:tblStylePr w:type="band1Horz">
      <w:rPr>
        <w:rFonts w:ascii="Arial" w:hAnsi="Arial"/>
        <w:color w:val="404040"/>
        <w:sz w:val="22"/>
      </w:rPr>
      <w:tblPr/>
      <w:tcPr>
        <w:tcBorders>
          <w:top w:val="single" w:sz="4" w:space="0" w:color="ADD2EB" w:themeColor="accent2" w:themeTint="67"/>
          <w:left w:val="single" w:sz="4" w:space="0" w:color="ADD2EB" w:themeColor="accent2" w:themeTint="67"/>
          <w:bottom w:val="single" w:sz="4" w:space="0" w:color="ADD2EB" w:themeColor="accent2" w:themeTint="67"/>
          <w:right w:val="single" w:sz="4" w:space="0" w:color="ADD2EB" w:themeColor="accent2" w:themeTint="67"/>
        </w:tcBorders>
      </w:tcPr>
    </w:tblStylePr>
  </w:style>
  <w:style w:type="table" w:customStyle="1" w:styleId="Bordered-Accent3">
    <w:name w:val="Bordered - Accent 3"/>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A6E4DF" w:themeColor="accent3" w:themeTint="67"/>
        <w:left w:val="single" w:sz="4" w:space="0" w:color="A6E4DF" w:themeColor="accent3" w:themeTint="67"/>
        <w:bottom w:val="single" w:sz="4" w:space="0" w:color="A6E4DF" w:themeColor="accent3" w:themeTint="67"/>
        <w:right w:val="single" w:sz="4" w:space="0" w:color="A6E4DF" w:themeColor="accent3" w:themeTint="67"/>
        <w:insideH w:val="single" w:sz="4" w:space="0" w:color="A6E4DF" w:themeColor="accent3" w:themeTint="67"/>
        <w:insideV w:val="single" w:sz="4" w:space="0" w:color="A6E4DF" w:themeColor="accent3" w:themeTint="67"/>
      </w:tblBorders>
    </w:tblPr>
    <w:tblStylePr w:type="firstRow">
      <w:rPr>
        <w:rFonts w:ascii="Arial" w:hAnsi="Arial"/>
        <w:color w:val="404040"/>
        <w:sz w:val="22"/>
      </w:rPr>
      <w:tblPr/>
      <w:tcPr>
        <w:tcBorders>
          <w:bottom w:val="single" w:sz="12" w:space="0" w:color="7BD7CF" w:themeColor="accent3" w:themeTint="98"/>
        </w:tcBorders>
      </w:tcPr>
    </w:tblStylePr>
    <w:tblStylePr w:type="lastRow">
      <w:rPr>
        <w:rFonts w:ascii="Arial" w:hAnsi="Arial"/>
        <w:color w:val="404040"/>
        <w:sz w:val="22"/>
      </w:rPr>
      <w:tblPr/>
      <w:tcPr>
        <w:tcBorders>
          <w:top w:val="single" w:sz="12" w:space="0" w:color="7BD7CF"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BD7CF" w:themeColor="accent3" w:themeTint="98"/>
        </w:tcBorders>
      </w:tcPr>
    </w:tblStylePr>
    <w:tblStylePr w:type="band1Horz">
      <w:rPr>
        <w:rFonts w:ascii="Arial" w:hAnsi="Arial"/>
        <w:color w:val="404040"/>
        <w:sz w:val="22"/>
      </w:rPr>
      <w:tblPr/>
      <w:tcPr>
        <w:tcBorders>
          <w:top w:val="single" w:sz="4" w:space="0" w:color="A6E4DF" w:themeColor="accent3" w:themeTint="67"/>
          <w:left w:val="single" w:sz="4" w:space="0" w:color="A6E4DF" w:themeColor="accent3" w:themeTint="67"/>
          <w:bottom w:val="single" w:sz="4" w:space="0" w:color="A6E4DF" w:themeColor="accent3" w:themeTint="67"/>
          <w:right w:val="single" w:sz="4" w:space="0" w:color="A6E4DF" w:themeColor="accent3" w:themeTint="67"/>
        </w:tcBorders>
      </w:tcPr>
    </w:tblStylePr>
  </w:style>
  <w:style w:type="table" w:customStyle="1" w:styleId="Bordered-Accent4">
    <w:name w:val="Bordered - Accent 4"/>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C1DFE9" w:themeColor="accent4" w:themeTint="67"/>
        <w:left w:val="single" w:sz="4" w:space="0" w:color="C1DFE9" w:themeColor="accent4" w:themeTint="67"/>
        <w:bottom w:val="single" w:sz="4" w:space="0" w:color="C1DFE9" w:themeColor="accent4" w:themeTint="67"/>
        <w:right w:val="single" w:sz="4" w:space="0" w:color="C1DFE9" w:themeColor="accent4" w:themeTint="67"/>
        <w:insideH w:val="single" w:sz="4" w:space="0" w:color="C1DFE9" w:themeColor="accent4" w:themeTint="67"/>
        <w:insideV w:val="single" w:sz="4" w:space="0" w:color="C1DFE9" w:themeColor="accent4" w:themeTint="67"/>
      </w:tblBorders>
    </w:tblPr>
    <w:tblStylePr w:type="firstRow">
      <w:rPr>
        <w:rFonts w:ascii="Arial" w:hAnsi="Arial"/>
        <w:color w:val="404040"/>
        <w:sz w:val="22"/>
      </w:rPr>
      <w:tblPr/>
      <w:tcPr>
        <w:tcBorders>
          <w:bottom w:val="single" w:sz="12" w:space="0" w:color="A2D0DF" w:themeColor="accent4" w:themeTint="9A"/>
        </w:tcBorders>
      </w:tcPr>
    </w:tblStylePr>
    <w:tblStylePr w:type="lastRow">
      <w:rPr>
        <w:rFonts w:ascii="Arial" w:hAnsi="Arial"/>
        <w:color w:val="404040"/>
        <w:sz w:val="22"/>
      </w:rPr>
      <w:tblPr/>
      <w:tcPr>
        <w:tcBorders>
          <w:top w:val="single" w:sz="12" w:space="0" w:color="A2D0DF"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2D0DF" w:themeColor="accent4" w:themeTint="9A"/>
        </w:tcBorders>
      </w:tcPr>
    </w:tblStylePr>
    <w:tblStylePr w:type="band1Horz">
      <w:rPr>
        <w:rFonts w:ascii="Arial" w:hAnsi="Arial"/>
        <w:color w:val="404040"/>
        <w:sz w:val="22"/>
      </w:rPr>
      <w:tblPr/>
      <w:tcPr>
        <w:tcBorders>
          <w:top w:val="single" w:sz="4" w:space="0" w:color="C1DFE9" w:themeColor="accent4" w:themeTint="67"/>
          <w:left w:val="single" w:sz="4" w:space="0" w:color="C1DFE9" w:themeColor="accent4" w:themeTint="67"/>
          <w:bottom w:val="single" w:sz="4" w:space="0" w:color="C1DFE9" w:themeColor="accent4" w:themeTint="67"/>
          <w:right w:val="single" w:sz="4" w:space="0" w:color="C1DFE9" w:themeColor="accent4" w:themeTint="67"/>
        </w:tcBorders>
      </w:tcPr>
    </w:tblStylePr>
  </w:style>
  <w:style w:type="table" w:customStyle="1" w:styleId="Bordered-Accent5">
    <w:name w:val="Bordered - Accent 5"/>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E5EFE9" w:themeColor="accent5" w:themeTint="67"/>
        <w:left w:val="single" w:sz="4" w:space="0" w:color="E5EFE9" w:themeColor="accent5" w:themeTint="67"/>
        <w:bottom w:val="single" w:sz="4" w:space="0" w:color="E5EFE9" w:themeColor="accent5" w:themeTint="67"/>
        <w:right w:val="single" w:sz="4" w:space="0" w:color="E5EFE9" w:themeColor="accent5" w:themeTint="67"/>
        <w:insideH w:val="single" w:sz="4" w:space="0" w:color="E5EFE9" w:themeColor="accent5" w:themeTint="67"/>
        <w:insideV w:val="single" w:sz="4" w:space="0" w:color="E5EFE9" w:themeColor="accent5" w:themeTint="67"/>
      </w:tblBorders>
    </w:tblPr>
    <w:tblStylePr w:type="firstRow">
      <w:rPr>
        <w:rFonts w:ascii="Arial" w:hAnsi="Arial"/>
        <w:color w:val="404040"/>
        <w:sz w:val="22"/>
      </w:rPr>
      <w:tblPr/>
      <w:tcPr>
        <w:tcBorders>
          <w:bottom w:val="single" w:sz="12" w:space="0" w:color="D9E8DF" w:themeColor="accent5" w:themeTint="9A"/>
        </w:tcBorders>
      </w:tcPr>
    </w:tblStylePr>
    <w:tblStylePr w:type="lastRow">
      <w:rPr>
        <w:rFonts w:ascii="Arial" w:hAnsi="Arial"/>
        <w:color w:val="404040"/>
        <w:sz w:val="22"/>
      </w:rPr>
      <w:tblPr/>
      <w:tcPr>
        <w:tcBorders>
          <w:top w:val="single" w:sz="12" w:space="0" w:color="D9E8DF"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E8DF" w:themeColor="accent5" w:themeTint="9A"/>
        </w:tcBorders>
      </w:tcPr>
    </w:tblStylePr>
    <w:tblStylePr w:type="band1Horz">
      <w:rPr>
        <w:rFonts w:ascii="Arial" w:hAnsi="Arial"/>
        <w:color w:val="404040"/>
        <w:sz w:val="22"/>
      </w:rPr>
      <w:tblPr/>
      <w:tcPr>
        <w:tcBorders>
          <w:top w:val="single" w:sz="4" w:space="0" w:color="E5EFE9" w:themeColor="accent5" w:themeTint="67"/>
          <w:left w:val="single" w:sz="4" w:space="0" w:color="E5EFE9" w:themeColor="accent5" w:themeTint="67"/>
          <w:bottom w:val="single" w:sz="4" w:space="0" w:color="E5EFE9" w:themeColor="accent5" w:themeTint="67"/>
          <w:right w:val="single" w:sz="4" w:space="0" w:color="E5EFE9" w:themeColor="accent5" w:themeTint="67"/>
        </w:tcBorders>
      </w:tcPr>
    </w:tblStylePr>
  </w:style>
  <w:style w:type="table" w:customStyle="1" w:styleId="Bordered-Accent6">
    <w:name w:val="Bordered - Accent 6"/>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A6E4DF" w:themeColor="accent6" w:themeTint="67"/>
        <w:left w:val="single" w:sz="4" w:space="0" w:color="A6E4DF" w:themeColor="accent6" w:themeTint="67"/>
        <w:bottom w:val="single" w:sz="4" w:space="0" w:color="A6E4DF" w:themeColor="accent6" w:themeTint="67"/>
        <w:right w:val="single" w:sz="4" w:space="0" w:color="A6E4DF" w:themeColor="accent6" w:themeTint="67"/>
        <w:insideH w:val="single" w:sz="4" w:space="0" w:color="A6E4DF" w:themeColor="accent6" w:themeTint="67"/>
        <w:insideV w:val="single" w:sz="4" w:space="0" w:color="A6E4DF" w:themeColor="accent6" w:themeTint="67"/>
      </w:tblBorders>
    </w:tblPr>
    <w:tblStylePr w:type="firstRow">
      <w:rPr>
        <w:rFonts w:ascii="Arial" w:hAnsi="Arial"/>
        <w:color w:val="404040"/>
        <w:sz w:val="22"/>
      </w:rPr>
      <w:tblPr/>
      <w:tcPr>
        <w:tcBorders>
          <w:bottom w:val="single" w:sz="12" w:space="0" w:color="7BD7CF" w:themeColor="accent6" w:themeTint="98"/>
        </w:tcBorders>
      </w:tcPr>
    </w:tblStylePr>
    <w:tblStylePr w:type="lastRow">
      <w:rPr>
        <w:rFonts w:ascii="Arial" w:hAnsi="Arial"/>
        <w:color w:val="404040"/>
        <w:sz w:val="22"/>
      </w:rPr>
      <w:tblPr/>
      <w:tcPr>
        <w:tcBorders>
          <w:top w:val="single" w:sz="12" w:space="0" w:color="7BD7C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BD7CF" w:themeColor="accent6" w:themeTint="98"/>
        </w:tcBorders>
      </w:tcPr>
    </w:tblStylePr>
    <w:tblStylePr w:type="band1Horz">
      <w:rPr>
        <w:rFonts w:ascii="Arial" w:hAnsi="Arial"/>
        <w:color w:val="404040"/>
        <w:sz w:val="22"/>
      </w:rPr>
      <w:tblPr/>
      <w:tcPr>
        <w:tcBorders>
          <w:top w:val="single" w:sz="4" w:space="0" w:color="A6E4DF" w:themeColor="accent6" w:themeTint="67"/>
          <w:left w:val="single" w:sz="4" w:space="0" w:color="A6E4DF" w:themeColor="accent6" w:themeTint="67"/>
          <w:bottom w:val="single" w:sz="4" w:space="0" w:color="A6E4DF" w:themeColor="accent6" w:themeTint="67"/>
          <w:right w:val="single" w:sz="4" w:space="0" w:color="A6E4DF" w:themeColor="accent6" w:themeTint="67"/>
        </w:tcBorders>
      </w:tcPr>
    </w:tblStylePr>
  </w:style>
  <w:style w:type="paragraph" w:customStyle="1" w:styleId="SourcesImagecaption">
    <w:name w:val="_Sources+Image caption"/>
    <w:basedOn w:val="Normal"/>
    <w:qFormat/>
    <w:rsid w:val="009F4DDD"/>
    <w:pPr>
      <w:spacing w:before="120" w:after="0" w:line="240" w:lineRule="auto"/>
      <w:jc w:val="left"/>
    </w:pPr>
    <w:rPr>
      <w:rFonts w:ascii="Calibri" w:eastAsia="MS Mincho" w:hAnsi="Calibri" w:cs="Times New Roman"/>
      <w:i/>
      <w:color w:val="AAAAAA"/>
      <w:sz w:val="18"/>
      <w:szCs w:val="18"/>
    </w:rPr>
  </w:style>
  <w:style w:type="paragraph" w:customStyle="1" w:styleId="CommentSubject1">
    <w:name w:val="Comment Subject1"/>
    <w:basedOn w:val="CommentText"/>
    <w:next w:val="CommentText"/>
    <w:semiHidden/>
    <w:rsid w:val="009F4DDD"/>
    <w:pPr>
      <w:spacing w:before="200" w:after="0"/>
      <w:ind w:left="0" w:firstLine="0"/>
      <w:jc w:val="left"/>
    </w:pPr>
    <w:rPr>
      <w:rFonts w:eastAsia="Times New Roman" w:cs="Times New Roman"/>
      <w:bCs/>
      <w:color w:val="auto"/>
      <w:sz w:val="22"/>
      <w:lang w:eastAsia="de-DE"/>
    </w:rPr>
  </w:style>
  <w:style w:type="paragraph" w:customStyle="1" w:styleId="BalloonText1">
    <w:name w:val="Balloon Text1"/>
    <w:basedOn w:val="Normal"/>
    <w:semiHidden/>
    <w:rsid w:val="009F4DDD"/>
    <w:pPr>
      <w:spacing w:before="200" w:after="0" w:line="260" w:lineRule="atLeast"/>
      <w:jc w:val="left"/>
    </w:pPr>
    <w:rPr>
      <w:rFonts w:ascii="Tahoma" w:eastAsia="MS Mincho" w:hAnsi="Tahoma" w:cs="Tahoma"/>
      <w:color w:val="auto"/>
      <w:sz w:val="16"/>
      <w:szCs w:val="16"/>
      <w:lang w:eastAsia="de-DE"/>
    </w:rPr>
  </w:style>
  <w:style w:type="paragraph" w:customStyle="1" w:styleId="Source">
    <w:name w:val="Source"/>
    <w:basedOn w:val="Normal"/>
    <w:rsid w:val="009F4DDD"/>
    <w:pPr>
      <w:spacing w:before="200" w:after="0" w:line="260" w:lineRule="atLeast"/>
      <w:jc w:val="left"/>
    </w:pPr>
    <w:rPr>
      <w:rFonts w:ascii="Calibri" w:eastAsia="MS Mincho" w:hAnsi="Calibri" w:cs="Times New Roman"/>
      <w:i/>
      <w:color w:val="auto"/>
      <w:sz w:val="18"/>
      <w:szCs w:val="20"/>
    </w:rPr>
  </w:style>
  <w:style w:type="paragraph" w:customStyle="1" w:styleId="GAGTitleofTables">
    <w:name w:val="GAG Title of Tables"/>
    <w:basedOn w:val="Normal"/>
    <w:rsid w:val="009F4DDD"/>
    <w:pPr>
      <w:spacing w:before="200" w:after="50" w:line="260" w:lineRule="atLeast"/>
      <w:jc w:val="left"/>
    </w:pPr>
    <w:rPr>
      <w:rFonts w:ascii="Calibri" w:eastAsia="MS Mincho" w:hAnsi="Calibri" w:cs="Times New Roman"/>
      <w:b/>
      <w:color w:val="auto"/>
      <w:sz w:val="22"/>
      <w:szCs w:val="18"/>
    </w:rPr>
  </w:style>
  <w:style w:type="paragraph" w:styleId="Index1">
    <w:name w:val="index 1"/>
    <w:basedOn w:val="Normal"/>
    <w:next w:val="Normal"/>
    <w:semiHidden/>
    <w:rsid w:val="009F4DDD"/>
    <w:pPr>
      <w:spacing w:before="200" w:after="0" w:line="260" w:lineRule="atLeast"/>
      <w:ind w:left="200" w:hanging="200"/>
      <w:jc w:val="left"/>
    </w:pPr>
    <w:rPr>
      <w:rFonts w:ascii="Calibri" w:eastAsia="MS Mincho" w:hAnsi="Calibri" w:cs="Times New Roman"/>
      <w:color w:val="auto"/>
      <w:sz w:val="22"/>
      <w:szCs w:val="18"/>
    </w:rPr>
  </w:style>
  <w:style w:type="paragraph" w:styleId="IndexHeading">
    <w:name w:val="index heading"/>
    <w:basedOn w:val="Normal"/>
    <w:next w:val="Normal"/>
    <w:semiHidden/>
    <w:rsid w:val="009F4DDD"/>
    <w:pPr>
      <w:spacing w:after="260" w:line="260" w:lineRule="atLeast"/>
      <w:ind w:left="1134"/>
      <w:jc w:val="left"/>
    </w:pPr>
    <w:rPr>
      <w:rFonts w:eastAsia="MS Mincho" w:cs="Times New Roman"/>
      <w:color w:val="auto"/>
      <w:sz w:val="22"/>
      <w:szCs w:val="20"/>
      <w:lang w:eastAsia="de-DE"/>
    </w:rPr>
  </w:style>
  <w:style w:type="paragraph" w:customStyle="1" w:styleId="Abbildungsquelle">
    <w:name w:val="Abbildungsquelle"/>
    <w:basedOn w:val="Normal"/>
    <w:next w:val="Normal"/>
    <w:rsid w:val="009F4DDD"/>
    <w:pPr>
      <w:tabs>
        <w:tab w:val="left" w:pos="2495"/>
      </w:tabs>
      <w:spacing w:before="60" w:after="300" w:line="260" w:lineRule="atLeast"/>
      <w:ind w:left="567"/>
      <w:jc w:val="left"/>
    </w:pPr>
    <w:rPr>
      <w:rFonts w:eastAsia="MS Mincho" w:cs="Times New Roman"/>
      <w:i/>
      <w:color w:val="auto"/>
      <w:sz w:val="16"/>
      <w:szCs w:val="20"/>
      <w:lang w:eastAsia="de-DE"/>
    </w:rPr>
  </w:style>
  <w:style w:type="paragraph" w:customStyle="1" w:styleId="Abbildungsberschrift">
    <w:name w:val="Abbildungsüberschrift"/>
    <w:basedOn w:val="Normal"/>
    <w:next w:val="Normal"/>
    <w:rsid w:val="009F4DDD"/>
    <w:pPr>
      <w:keepNext/>
      <w:spacing w:after="120" w:line="260" w:lineRule="atLeast"/>
      <w:ind w:left="567"/>
      <w:jc w:val="left"/>
    </w:pPr>
    <w:rPr>
      <w:rFonts w:eastAsia="MS Mincho" w:cs="Times New Roman"/>
      <w:i/>
      <w:color w:val="auto"/>
      <w:sz w:val="22"/>
      <w:szCs w:val="20"/>
      <w:lang w:eastAsia="de-DE"/>
    </w:rPr>
  </w:style>
  <w:style w:type="paragraph" w:customStyle="1" w:styleId="Zwischentitel">
    <w:name w:val="Zwischentitel"/>
    <w:basedOn w:val="Normal"/>
    <w:next w:val="Normal"/>
    <w:rsid w:val="009F4DDD"/>
    <w:pPr>
      <w:keepNext/>
      <w:keepLines/>
      <w:spacing w:before="300" w:after="120" w:line="260" w:lineRule="exact"/>
      <w:jc w:val="left"/>
    </w:pPr>
    <w:rPr>
      <w:rFonts w:ascii="Calibri" w:eastAsia="MS Mincho" w:hAnsi="Calibri" w:cs="Times New Roman"/>
      <w:i/>
      <w:color w:val="auto"/>
      <w:sz w:val="22"/>
      <w:szCs w:val="20"/>
      <w:lang w:eastAsia="de-DE"/>
    </w:rPr>
  </w:style>
  <w:style w:type="paragraph" w:customStyle="1" w:styleId="IHVZeichenvorlage">
    <w:name w:val="_IHV_Zeichenvorlage"/>
    <w:basedOn w:val="Normal"/>
    <w:qFormat/>
    <w:rsid w:val="009F4DDD"/>
    <w:pPr>
      <w:spacing w:before="200" w:after="0" w:line="300" w:lineRule="atLeast"/>
      <w:ind w:left="567"/>
      <w:contextualSpacing/>
      <w:jc w:val="left"/>
    </w:pPr>
    <w:rPr>
      <w:rFonts w:ascii="Calibri" w:eastAsia="Calibri" w:hAnsi="Calibri" w:cs="Times New Roman"/>
      <w:color w:val="auto"/>
      <w:sz w:val="22"/>
    </w:rPr>
  </w:style>
  <w:style w:type="paragraph" w:customStyle="1" w:styleId="btxt">
    <w:name w:val="btxt"/>
    <w:basedOn w:val="Normal"/>
    <w:rsid w:val="009F4DDD"/>
    <w:pPr>
      <w:spacing w:beforeAutospacing="1" w:afterAutospacing="1" w:line="260" w:lineRule="atLeast"/>
      <w:jc w:val="left"/>
    </w:pPr>
    <w:rPr>
      <w:rFonts w:ascii="Times New Roman" w:eastAsia="MS Mincho" w:hAnsi="Times New Roman" w:cs="Times New Roman"/>
      <w:color w:val="auto"/>
      <w:sz w:val="24"/>
      <w:szCs w:val="24"/>
      <w:lang w:eastAsia="de-DE"/>
    </w:rPr>
  </w:style>
  <w:style w:type="paragraph" w:customStyle="1" w:styleId="SourceCharCharChar">
    <w:name w:val="Source Char Char Char"/>
    <w:basedOn w:val="Normal"/>
    <w:rsid w:val="009F4DDD"/>
    <w:pPr>
      <w:spacing w:before="200" w:after="120" w:line="260" w:lineRule="atLeast"/>
      <w:jc w:val="left"/>
    </w:pPr>
    <w:rPr>
      <w:rFonts w:ascii="Calibri" w:eastAsia="Times New Roman" w:hAnsi="Calibri" w:cs="Times New Roman"/>
      <w:i/>
      <w:color w:val="auto"/>
      <w:sz w:val="18"/>
      <w:szCs w:val="18"/>
    </w:rPr>
  </w:style>
  <w:style w:type="paragraph" w:customStyle="1" w:styleId="Titleoftablesandfigures">
    <w:name w:val="Title of tables and figures"/>
    <w:basedOn w:val="Normal"/>
    <w:rsid w:val="009F4DDD"/>
    <w:pPr>
      <w:spacing w:before="200" w:after="120" w:line="260" w:lineRule="atLeast"/>
      <w:jc w:val="left"/>
    </w:pPr>
    <w:rPr>
      <w:rFonts w:ascii="Calibri" w:eastAsia="Times New Roman" w:hAnsi="Calibri" w:cs="Times New Roman"/>
      <w:b/>
      <w:bCs/>
      <w:color w:val="auto"/>
      <w:sz w:val="22"/>
      <w:szCs w:val="20"/>
    </w:rPr>
  </w:style>
  <w:style w:type="character" w:customStyle="1" w:styleId="searchword">
    <w:name w:val="searchword"/>
    <w:basedOn w:val="DefaultParagraphFont"/>
    <w:rsid w:val="009F4DDD"/>
  </w:style>
  <w:style w:type="character" w:styleId="Emphasis">
    <w:name w:val="Emphasis"/>
    <w:uiPriority w:val="20"/>
    <w:qFormat/>
    <w:rsid w:val="009F4DDD"/>
    <w:rPr>
      <w:i/>
      <w:iCs/>
    </w:rPr>
  </w:style>
  <w:style w:type="table" w:customStyle="1" w:styleId="Tabellenraster1">
    <w:name w:val="Tabellenraster1"/>
    <w:basedOn w:val="TableNormal"/>
    <w:next w:val="TableGrid"/>
    <w:uiPriority w:val="59"/>
    <w:rsid w:val="009F4DDD"/>
    <w:pPr>
      <w:spacing w:before="200" w:after="0" w:line="260" w:lineRule="atLeast"/>
    </w:pPr>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g-bodytext">
    <w:name w:val="bog-bodytext"/>
    <w:rsid w:val="009F4DDD"/>
  </w:style>
  <w:style w:type="table" w:styleId="LightShading-Accent2">
    <w:name w:val="Light Shading Accent 2"/>
    <w:basedOn w:val="TableNormal"/>
    <w:uiPriority w:val="60"/>
    <w:rsid w:val="009F4DDD"/>
    <w:pPr>
      <w:spacing w:before="200" w:after="0" w:line="260" w:lineRule="atLeast"/>
    </w:pPr>
    <w:rPr>
      <w:color w:val="256D9D" w:themeColor="accent2" w:themeShade="BF"/>
      <w:sz w:val="22"/>
      <w:szCs w:val="22"/>
    </w:rPr>
    <w:tblPr>
      <w:tblStyleRowBandSize w:val="1"/>
      <w:tblStyleColBandSize w:val="1"/>
      <w:tblBorders>
        <w:top w:val="single" w:sz="8" w:space="0" w:color="3592CF" w:themeColor="accent2"/>
        <w:bottom w:val="single" w:sz="8" w:space="0" w:color="3592CF" w:themeColor="accent2"/>
      </w:tblBorders>
    </w:tblPr>
    <w:tblStylePr w:type="firstRow">
      <w:pPr>
        <w:spacing w:before="0" w:after="0" w:line="240" w:lineRule="auto"/>
      </w:pPr>
      <w:rPr>
        <w:b/>
        <w:bCs/>
      </w:rPr>
      <w:tblPr/>
      <w:tcPr>
        <w:tcBorders>
          <w:top w:val="single" w:sz="8" w:space="0" w:color="3592CF" w:themeColor="accent2"/>
          <w:left w:val="none" w:sz="4" w:space="0" w:color="000000"/>
          <w:bottom w:val="single" w:sz="8" w:space="0" w:color="3592CF" w:themeColor="accent2"/>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3592CF" w:themeColor="accent2"/>
          <w:left w:val="none" w:sz="4" w:space="0" w:color="000000"/>
          <w:bottom w:val="single" w:sz="8" w:space="0" w:color="3592CF" w:themeColor="accent2"/>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CCE3F3" w:themeFill="accent2"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CCE3F3" w:themeFill="accent2" w:themeFillTint="3F"/>
      </w:tcPr>
    </w:tblStylePr>
  </w:style>
  <w:style w:type="character" w:customStyle="1" w:styleId="FootnoteTextChar1">
    <w:name w:val="Footnote Text Char1"/>
    <w:basedOn w:val="DefaultParagraphFont"/>
    <w:rsid w:val="009F4DDD"/>
    <w:rPr>
      <w:rFonts w:ascii="Calibri" w:hAnsi="Calibri"/>
      <w:color w:val="C1D9CB" w:themeColor="accent5"/>
    </w:rPr>
  </w:style>
  <w:style w:type="character" w:customStyle="1" w:styleId="Heading2Char1">
    <w:name w:val="Heading 2 Char1"/>
    <w:basedOn w:val="DefaultParagraphFont"/>
    <w:rsid w:val="009F4DDD"/>
    <w:rPr>
      <w:rFonts w:asciiTheme="minorHAnsi" w:hAnsiTheme="minorHAnsi" w:cs="Arial"/>
      <w:b/>
      <w:bCs/>
      <w:iCs/>
      <w:color w:val="024F75" w:themeColor="accent1"/>
      <w:sz w:val="28"/>
      <w:szCs w:val="28"/>
      <w:lang w:val="sq-AL" w:eastAsia="en-US"/>
    </w:rPr>
  </w:style>
  <w:style w:type="character" w:customStyle="1" w:styleId="FooterChar1">
    <w:name w:val="Footer Char1"/>
    <w:basedOn w:val="DefaultParagraphFont"/>
    <w:uiPriority w:val="99"/>
    <w:rsid w:val="009F4DDD"/>
    <w:rPr>
      <w:rFonts w:ascii="Calibri" w:hAnsi="Calibri"/>
      <w:sz w:val="22"/>
      <w:szCs w:val="18"/>
    </w:rPr>
  </w:style>
  <w:style w:type="paragraph" w:styleId="Bibliography">
    <w:name w:val="Bibliography"/>
    <w:basedOn w:val="Normal"/>
    <w:next w:val="Normal"/>
    <w:uiPriority w:val="37"/>
    <w:unhideWhenUsed/>
    <w:rsid w:val="009F4DDD"/>
    <w:pPr>
      <w:spacing w:before="20" w:after="20" w:line="260" w:lineRule="atLeast"/>
      <w:jc w:val="left"/>
    </w:pPr>
    <w:rPr>
      <w:rFonts w:ascii="Calibri" w:eastAsia="MS Mincho" w:hAnsi="Calibri" w:cs="Times New Roman"/>
      <w:color w:val="auto"/>
      <w:szCs w:val="18"/>
    </w:rPr>
  </w:style>
  <w:style w:type="paragraph" w:customStyle="1" w:styleId="GET">
    <w:name w:val="GET"/>
    <w:basedOn w:val="TOCHeading"/>
    <w:rsid w:val="009F4DDD"/>
    <w:pPr>
      <w:keepNext w:val="0"/>
      <w:keepLines w:val="0"/>
      <w:spacing w:before="0" w:after="520" w:line="260" w:lineRule="atLeast"/>
    </w:pPr>
    <w:rPr>
      <w:rFonts w:asciiTheme="minorHAnsi" w:eastAsia="MS Mincho" w:hAnsiTheme="minorHAnsi" w:cstheme="minorHAnsi"/>
      <w:color w:val="024F75" w:themeColor="accent1"/>
      <w:sz w:val="24"/>
      <w:szCs w:val="24"/>
    </w:rPr>
  </w:style>
  <w:style w:type="paragraph" w:customStyle="1" w:styleId="Kasten-orange">
    <w:name w:val="_Kasten-orange"/>
    <w:basedOn w:val="Fliesstext"/>
    <w:qFormat/>
    <w:rsid w:val="009F4DDD"/>
    <w:pPr>
      <w:shd w:val="clear" w:color="auto" w:fill="D2F1EF" w:themeFill="accent3" w:themeFillTint="33"/>
      <w:spacing w:after="260" w:line="264" w:lineRule="auto"/>
    </w:pPr>
  </w:style>
  <w:style w:type="character" w:customStyle="1" w:styleId="TOC1Char">
    <w:name w:val="TOC 1 Char"/>
    <w:basedOn w:val="DefaultParagraphFont"/>
    <w:link w:val="TOC1"/>
    <w:uiPriority w:val="39"/>
    <w:rsid w:val="00BE78EE"/>
    <w:rPr>
      <w:rFonts w:ascii="Arial" w:eastAsiaTheme="minorEastAsia" w:hAnsi="Arial"/>
      <w:color w:val="0F0D29" w:themeColor="text1"/>
      <w:sz w:val="20"/>
      <w:szCs w:val="22"/>
    </w:rPr>
  </w:style>
  <w:style w:type="numbering" w:customStyle="1" w:styleId="AktuelleListe2">
    <w:name w:val="Aktuelle Liste2"/>
    <w:uiPriority w:val="99"/>
    <w:rsid w:val="009F4DDD"/>
    <w:pPr>
      <w:numPr>
        <w:numId w:val="44"/>
      </w:numPr>
    </w:pPr>
  </w:style>
  <w:style w:type="paragraph" w:customStyle="1" w:styleId="Footy">
    <w:name w:val="Footy"/>
    <w:basedOn w:val="FootnoteText"/>
    <w:link w:val="FootyZchn"/>
    <w:qFormat/>
    <w:rsid w:val="009F4DDD"/>
    <w:pPr>
      <w:spacing w:after="40"/>
      <w:jc w:val="left"/>
    </w:pPr>
    <w:rPr>
      <w:rFonts w:ascii="Calibri" w:eastAsia="MS Mincho" w:hAnsi="Calibri" w:cs="Times New Roman"/>
      <w:color w:val="C1D9CB" w:themeColor="accent5"/>
      <w:sz w:val="16"/>
      <w:szCs w:val="18"/>
      <w:lang w:eastAsia="de-DE"/>
    </w:rPr>
  </w:style>
  <w:style w:type="character" w:customStyle="1" w:styleId="FootyZchn">
    <w:name w:val="Footy Zchn"/>
    <w:basedOn w:val="FootnoteTextChar1"/>
    <w:link w:val="Footy"/>
    <w:rsid w:val="009F4DDD"/>
    <w:rPr>
      <w:rFonts w:ascii="Calibri" w:eastAsia="MS Mincho" w:hAnsi="Calibri" w:cs="Times New Roman"/>
      <w:color w:val="C1D9CB" w:themeColor="accent5"/>
      <w:sz w:val="16"/>
      <w:szCs w:val="18"/>
      <w:lang w:val="sq-AL" w:eastAsia="de-DE"/>
    </w:rPr>
  </w:style>
  <w:style w:type="paragraph" w:customStyle="1" w:styleId="EinfAbs">
    <w:name w:val="[Einf. Abs.]"/>
    <w:basedOn w:val="Normal"/>
    <w:uiPriority w:val="99"/>
    <w:rsid w:val="009F4DDD"/>
    <w:pPr>
      <w:spacing w:after="0" w:line="288" w:lineRule="auto"/>
      <w:jc w:val="left"/>
    </w:pPr>
    <w:rPr>
      <w:rFonts w:ascii="minion pro" w:eastAsia="MS Mincho" w:hAnsi="minion pro" w:cs="minion pro"/>
      <w:color w:val="000000"/>
      <w:sz w:val="24"/>
      <w:szCs w:val="24"/>
      <w:lang w:eastAsia="de-DE"/>
    </w:rPr>
  </w:style>
  <w:style w:type="paragraph" w:customStyle="1" w:styleId="Headline-Titel">
    <w:name w:val="_Headline-Titel"/>
    <w:basedOn w:val="EinfAbs"/>
    <w:qFormat/>
    <w:rsid w:val="009F4DDD"/>
    <w:pPr>
      <w:spacing w:after="140" w:line="240" w:lineRule="auto"/>
    </w:pPr>
    <w:rPr>
      <w:rFonts w:ascii="Calibri" w:hAnsi="Calibri" w:cs="Calibri"/>
      <w:b/>
      <w:bCs/>
      <w:color w:val="024F75" w:themeColor="accent1"/>
      <w:sz w:val="48"/>
      <w:szCs w:val="48"/>
    </w:rPr>
  </w:style>
  <w:style w:type="paragraph" w:customStyle="1" w:styleId="Subhead-Titel">
    <w:name w:val="_Subhead-Titel"/>
    <w:qFormat/>
    <w:rsid w:val="009F4DDD"/>
    <w:pPr>
      <w:spacing w:before="200" w:after="0" w:line="260" w:lineRule="atLeast"/>
    </w:pPr>
    <w:rPr>
      <w:rFonts w:ascii="Calibri Light" w:eastAsia="MS Mincho" w:hAnsi="Calibri Light" w:cs="Calibri Light"/>
      <w:color w:val="343234"/>
      <w:sz w:val="28"/>
      <w:szCs w:val="28"/>
      <w:lang w:eastAsia="de-DE"/>
    </w:rPr>
  </w:style>
  <w:style w:type="paragraph" w:customStyle="1" w:styleId="Datum-Titel">
    <w:name w:val="_Datum-Titel"/>
    <w:basedOn w:val="Normal"/>
    <w:qFormat/>
    <w:rsid w:val="009F4DDD"/>
    <w:pPr>
      <w:spacing w:after="0" w:line="240" w:lineRule="auto"/>
      <w:jc w:val="right"/>
    </w:pPr>
    <w:rPr>
      <w:rFonts w:ascii="Calibri" w:eastAsia="MS Mincho" w:hAnsi="Calibri" w:cs="Calibri"/>
      <w:caps/>
      <w:color w:val="34ABA2" w:themeColor="accent3"/>
      <w:sz w:val="24"/>
      <w:szCs w:val="24"/>
      <w:lang w:eastAsia="de-DE"/>
    </w:rPr>
  </w:style>
  <w:style w:type="paragraph" w:customStyle="1" w:styleId="Fliesstext-ohneAbstand">
    <w:name w:val="_Fliesstext-ohneAbstand"/>
    <w:basedOn w:val="Fliesstext"/>
    <w:qFormat/>
    <w:rsid w:val="009F4DDD"/>
    <w:pPr>
      <w:spacing w:before="0"/>
    </w:pPr>
    <w:rPr>
      <w:lang w:eastAsia="de-DE"/>
    </w:rPr>
  </w:style>
  <w:style w:type="paragraph" w:customStyle="1" w:styleId="Copyright-Zeile">
    <w:name w:val="_Copyright-Zeile"/>
    <w:basedOn w:val="Normal"/>
    <w:qFormat/>
    <w:rsid w:val="009F4DDD"/>
    <w:pPr>
      <w:spacing w:after="0" w:line="240" w:lineRule="auto"/>
      <w:jc w:val="left"/>
    </w:pPr>
    <w:rPr>
      <w:rFonts w:asciiTheme="minorHAnsi" w:eastAsia="MS Mincho" w:hAnsiTheme="minorHAnsi" w:cstheme="minorHAnsi"/>
      <w:color w:val="024F75" w:themeColor="accent1"/>
      <w:sz w:val="16"/>
      <w:szCs w:val="16"/>
      <w:lang w:eastAsia="de-DE"/>
    </w:rPr>
  </w:style>
  <w:style w:type="numbering" w:customStyle="1" w:styleId="AktuelleListe1">
    <w:name w:val="Aktuelle Liste1"/>
    <w:uiPriority w:val="99"/>
    <w:rsid w:val="009F4DDD"/>
    <w:pPr>
      <w:numPr>
        <w:numId w:val="43"/>
      </w:numPr>
    </w:pPr>
  </w:style>
  <w:style w:type="character" w:customStyle="1" w:styleId="HeaderChar1">
    <w:name w:val="Header Char1"/>
    <w:basedOn w:val="DefaultParagraphFont"/>
    <w:rsid w:val="009F4DDD"/>
    <w:rPr>
      <w:rFonts w:ascii="Calibri" w:hAnsi="Calibri"/>
      <w:sz w:val="22"/>
      <w:szCs w:val="18"/>
      <w:lang w:val="sq-AL" w:eastAsia="en-US"/>
    </w:rPr>
  </w:style>
  <w:style w:type="paragraph" w:customStyle="1" w:styleId="Paginierung">
    <w:name w:val="_Paginierung"/>
    <w:qFormat/>
    <w:rsid w:val="009F4DDD"/>
    <w:pPr>
      <w:spacing w:before="200" w:after="0" w:line="260" w:lineRule="atLeast"/>
    </w:pPr>
    <w:rPr>
      <w:rFonts w:eastAsia="MS Mincho" w:cstheme="minorHAnsi"/>
      <w:color w:val="34ABA2" w:themeColor="accent3"/>
      <w:sz w:val="18"/>
      <w:szCs w:val="18"/>
    </w:rPr>
  </w:style>
  <w:style w:type="paragraph" w:customStyle="1" w:styleId="Hervorhebungen-blau-fett">
    <w:name w:val="_Hervorhebungen-blau-fett"/>
    <w:basedOn w:val="Fliesstext"/>
    <w:next w:val="Fliesstext"/>
    <w:qFormat/>
    <w:rsid w:val="009F4DDD"/>
    <w:pPr>
      <w:spacing w:line="0" w:lineRule="atLeast"/>
    </w:pPr>
    <w:rPr>
      <w:b/>
      <w:bCs/>
      <w:color w:val="024F75" w:themeColor="accent1"/>
      <w:lang w:eastAsia="de-DE"/>
    </w:rPr>
  </w:style>
  <w:style w:type="paragraph" w:customStyle="1" w:styleId="Headline">
    <w:name w:val="_Headline"/>
    <w:basedOn w:val="Fliesstext"/>
    <w:next w:val="Fliesstext"/>
    <w:qFormat/>
    <w:rsid w:val="009F4DDD"/>
    <w:rPr>
      <w:rFonts w:cstheme="minorHAnsi"/>
      <w:b/>
      <w:bCs/>
      <w:color w:val="024F75" w:themeColor="accent1"/>
      <w:sz w:val="32"/>
      <w:szCs w:val="32"/>
    </w:rPr>
  </w:style>
  <w:style w:type="paragraph" w:customStyle="1" w:styleId="Formatvorlageberschrift1">
    <w:name w:val="Formatvorlage Überschrift 1"/>
    <w:basedOn w:val="Heading1"/>
    <w:next w:val="Fliesstext"/>
    <w:rsid w:val="009F4DDD"/>
    <w:pPr>
      <w:spacing w:before="520" w:after="260" w:line="240" w:lineRule="auto"/>
    </w:pPr>
    <w:rPr>
      <w:rFonts w:ascii="Calibri" w:eastAsia="MS Mincho" w:hAnsi="Calibri" w:cs="Calibri"/>
      <w:b/>
      <w:bCs/>
      <w:color w:val="024F75" w:themeColor="accent1"/>
      <w:kern w:val="0"/>
      <w:sz w:val="32"/>
      <w:szCs w:val="24"/>
      <w:lang w:eastAsia="ja-JP"/>
    </w:rPr>
  </w:style>
  <w:style w:type="paragraph" w:customStyle="1" w:styleId="Formatvorlageberschrift">
    <w:name w:val="Formatvorlage Überschrift"/>
    <w:basedOn w:val="Heading2"/>
    <w:next w:val="Fliesstext"/>
    <w:rsid w:val="009F4DDD"/>
    <w:pPr>
      <w:spacing w:before="390" w:after="260"/>
    </w:pPr>
    <w:rPr>
      <w:rFonts w:asciiTheme="minorHAnsi" w:eastAsia="MS Mincho" w:hAnsiTheme="minorHAnsi" w:cs="Times New Roman"/>
      <w:color w:val="024F75" w:themeColor="accent1"/>
      <w:sz w:val="28"/>
      <w:szCs w:val="28"/>
    </w:rPr>
  </w:style>
  <w:style w:type="paragraph" w:customStyle="1" w:styleId="Nummerierungen">
    <w:name w:val="_Nummerierungen"/>
    <w:basedOn w:val="Fliesstext"/>
    <w:qFormat/>
    <w:rsid w:val="009F4DDD"/>
    <w:pPr>
      <w:numPr>
        <w:numId w:val="49"/>
      </w:numPr>
    </w:pPr>
  </w:style>
  <w:style w:type="numbering" w:customStyle="1" w:styleId="AktuelleListe3">
    <w:name w:val="Aktuelle Liste3"/>
    <w:uiPriority w:val="99"/>
    <w:rsid w:val="009F4DDD"/>
    <w:pPr>
      <w:numPr>
        <w:numId w:val="45"/>
      </w:numPr>
    </w:pPr>
  </w:style>
  <w:style w:type="numbering" w:customStyle="1" w:styleId="AktuelleListe4">
    <w:name w:val="Aktuelle Liste4"/>
    <w:uiPriority w:val="99"/>
    <w:rsid w:val="009F4DDD"/>
    <w:pPr>
      <w:numPr>
        <w:numId w:val="46"/>
      </w:numPr>
    </w:pPr>
  </w:style>
  <w:style w:type="numbering" w:customStyle="1" w:styleId="AktuelleListe5">
    <w:name w:val="Aktuelle Liste5"/>
    <w:uiPriority w:val="99"/>
    <w:rsid w:val="009F4DDD"/>
    <w:pPr>
      <w:numPr>
        <w:numId w:val="47"/>
      </w:numPr>
    </w:pPr>
  </w:style>
  <w:style w:type="numbering" w:customStyle="1" w:styleId="AktuelleListe6">
    <w:name w:val="Aktuelle Liste6"/>
    <w:uiPriority w:val="99"/>
    <w:rsid w:val="009F4DDD"/>
    <w:pPr>
      <w:numPr>
        <w:numId w:val="48"/>
      </w:numPr>
    </w:pPr>
  </w:style>
  <w:style w:type="numbering" w:customStyle="1" w:styleId="AktuelleListe7">
    <w:name w:val="Aktuelle Liste7"/>
    <w:uiPriority w:val="99"/>
    <w:rsid w:val="009F4DDD"/>
    <w:pPr>
      <w:numPr>
        <w:numId w:val="50"/>
      </w:numPr>
    </w:pPr>
  </w:style>
  <w:style w:type="numbering" w:customStyle="1" w:styleId="AktuelleListe9">
    <w:name w:val="Aktuelle Liste9"/>
    <w:uiPriority w:val="99"/>
    <w:rsid w:val="009F4DDD"/>
    <w:pPr>
      <w:numPr>
        <w:numId w:val="52"/>
      </w:numPr>
    </w:pPr>
  </w:style>
  <w:style w:type="numbering" w:customStyle="1" w:styleId="AktuelleListe8">
    <w:name w:val="Aktuelle Liste8"/>
    <w:uiPriority w:val="99"/>
    <w:rsid w:val="009F4DDD"/>
    <w:pPr>
      <w:numPr>
        <w:numId w:val="51"/>
      </w:numPr>
    </w:pPr>
  </w:style>
  <w:style w:type="numbering" w:customStyle="1" w:styleId="AktuelleListe10">
    <w:name w:val="Aktuelle Liste10"/>
    <w:uiPriority w:val="99"/>
    <w:rsid w:val="009F4DDD"/>
    <w:pPr>
      <w:numPr>
        <w:numId w:val="53"/>
      </w:numPr>
    </w:pPr>
  </w:style>
  <w:style w:type="character" w:customStyle="1" w:styleId="Versalien-bold">
    <w:name w:val="_Versalien-bold"/>
    <w:basedOn w:val="DefaultParagraphFont"/>
    <w:uiPriority w:val="1"/>
    <w:qFormat/>
    <w:rsid w:val="009F4DDD"/>
    <w:rPr>
      <w:b/>
      <w:bCs/>
      <w:caps/>
      <w:smallCaps w:val="0"/>
    </w:rPr>
  </w:style>
  <w:style w:type="character" w:styleId="IntenseEmphasis">
    <w:name w:val="Intense Emphasis"/>
    <w:basedOn w:val="DefaultParagraphFont"/>
    <w:uiPriority w:val="21"/>
    <w:qFormat/>
    <w:rsid w:val="009F4DDD"/>
    <w:rPr>
      <w:i/>
      <w:iCs/>
      <w:color w:val="024F75" w:themeColor="accent1"/>
    </w:rPr>
  </w:style>
  <w:style w:type="paragraph" w:customStyle="1" w:styleId="paragraph">
    <w:name w:val="paragraph"/>
    <w:basedOn w:val="Normal"/>
    <w:rsid w:val="009F4DDD"/>
    <w:pPr>
      <w:spacing w:beforeAutospacing="1" w:afterAutospacing="1" w:line="240" w:lineRule="auto"/>
      <w:jc w:val="left"/>
    </w:pPr>
    <w:rPr>
      <w:rFonts w:ascii="Times New Roman" w:eastAsia="Times New Roman" w:hAnsi="Times New Roman" w:cs="Times New Roman"/>
      <w:color w:val="auto"/>
      <w:sz w:val="24"/>
      <w:szCs w:val="24"/>
      <w:lang w:eastAsia="de-DE"/>
    </w:rPr>
  </w:style>
  <w:style w:type="character" w:customStyle="1" w:styleId="normaltextrun">
    <w:name w:val="normaltextrun"/>
    <w:basedOn w:val="DefaultParagraphFont"/>
    <w:rsid w:val="009F4DDD"/>
  </w:style>
  <w:style w:type="character" w:customStyle="1" w:styleId="superscript">
    <w:name w:val="superscript"/>
    <w:basedOn w:val="DefaultParagraphFont"/>
    <w:rsid w:val="009F4DDD"/>
  </w:style>
  <w:style w:type="character" w:customStyle="1" w:styleId="eop">
    <w:name w:val="eop"/>
    <w:basedOn w:val="DefaultParagraphFont"/>
    <w:rsid w:val="009F4DDD"/>
  </w:style>
  <w:style w:type="character" w:customStyle="1" w:styleId="tabchar">
    <w:name w:val="tabchar"/>
    <w:basedOn w:val="DefaultParagraphFont"/>
    <w:rsid w:val="009F4DDD"/>
  </w:style>
  <w:style w:type="table" w:customStyle="1" w:styleId="TableGridLight1">
    <w:name w:val="Table Grid Light1"/>
    <w:basedOn w:val="TableNormal"/>
    <w:uiPriority w:val="59"/>
    <w:rsid w:val="009F4DDD"/>
    <w:pPr>
      <w:spacing w:before="200" w:after="0" w:line="260" w:lineRule="atLeast"/>
    </w:pPr>
    <w:rPr>
      <w:rFonts w:ascii="Times New Roman" w:eastAsia="MS Mincho" w:hAnsi="Times New Roman" w:cs="Times New Roman"/>
      <w:sz w:val="20"/>
      <w:szCs w:val="20"/>
      <w:lang w:eastAsia="de-DE"/>
    </w:rPr>
    <w:tblPr>
      <w:tblBorders>
        <w:top w:val="single" w:sz="4" w:space="0" w:color="9792DC" w:themeColor="text1" w:themeTint="50"/>
        <w:left w:val="single" w:sz="4" w:space="0" w:color="9792DC" w:themeColor="text1" w:themeTint="50"/>
        <w:bottom w:val="single" w:sz="4" w:space="0" w:color="9792DC" w:themeColor="text1" w:themeTint="50"/>
        <w:right w:val="single" w:sz="4" w:space="0" w:color="9792DC" w:themeColor="text1" w:themeTint="50"/>
        <w:insideH w:val="single" w:sz="4" w:space="0" w:color="9792DC" w:themeColor="text1" w:themeTint="50"/>
        <w:insideV w:val="single" w:sz="4" w:space="0" w:color="9792DC" w:themeColor="text1" w:themeTint="50"/>
      </w:tblBorders>
    </w:tblPr>
  </w:style>
  <w:style w:type="table" w:customStyle="1" w:styleId="GridTable1Light-Accent11">
    <w:name w:val="Grid Table 1 Light - Accent 1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63C9FC" w:themeColor="accent1" w:themeTint="67"/>
        <w:left w:val="single" w:sz="4" w:space="0" w:color="63C9FC" w:themeColor="accent1" w:themeTint="67"/>
        <w:bottom w:val="single" w:sz="4" w:space="0" w:color="63C9FC" w:themeColor="accent1" w:themeTint="67"/>
        <w:right w:val="single" w:sz="4" w:space="0" w:color="63C9FC" w:themeColor="accent1" w:themeTint="67"/>
        <w:insideH w:val="single" w:sz="4" w:space="0" w:color="63C9FC" w:themeColor="accent1" w:themeTint="67"/>
        <w:insideV w:val="single" w:sz="4" w:space="0" w:color="63C9FC" w:themeColor="accent1" w:themeTint="67"/>
      </w:tblBorders>
    </w:tblPr>
    <w:tblStylePr w:type="firstRow">
      <w:rPr>
        <w:b/>
        <w:color w:val="404040"/>
      </w:rPr>
      <w:tblPr/>
      <w:tcPr>
        <w:tcBorders>
          <w:bottom w:val="single" w:sz="12" w:space="0" w:color="1EB1FB"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63C9FC" w:themeColor="accent1" w:themeTint="67"/>
          <w:left w:val="single" w:sz="4" w:space="0" w:color="63C9FC" w:themeColor="accent1" w:themeTint="67"/>
          <w:bottom w:val="single" w:sz="4" w:space="0" w:color="63C9FC" w:themeColor="accent1" w:themeTint="67"/>
          <w:right w:val="single" w:sz="4" w:space="0" w:color="63C9FC" w:themeColor="accent1" w:themeTint="67"/>
        </w:tcBorders>
      </w:tcPr>
    </w:tblStylePr>
  </w:style>
  <w:style w:type="table" w:customStyle="1" w:styleId="GridTable1Light-Accent31">
    <w:name w:val="Grid Table 1 Light - Accent 3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A6E4DF" w:themeColor="accent3" w:themeTint="67"/>
        <w:left w:val="single" w:sz="4" w:space="0" w:color="A6E4DF" w:themeColor="accent3" w:themeTint="67"/>
        <w:bottom w:val="single" w:sz="4" w:space="0" w:color="A6E4DF" w:themeColor="accent3" w:themeTint="67"/>
        <w:right w:val="single" w:sz="4" w:space="0" w:color="A6E4DF" w:themeColor="accent3" w:themeTint="67"/>
        <w:insideH w:val="single" w:sz="4" w:space="0" w:color="A6E4DF" w:themeColor="accent3" w:themeTint="67"/>
        <w:insideV w:val="single" w:sz="4" w:space="0" w:color="A6E4DF" w:themeColor="accent3" w:themeTint="67"/>
      </w:tblBorders>
    </w:tblPr>
    <w:tblStylePr w:type="firstRow">
      <w:rPr>
        <w:b/>
        <w:color w:val="404040"/>
      </w:rPr>
      <w:tblPr/>
      <w:tcPr>
        <w:tcBorders>
          <w:bottom w:val="single" w:sz="12" w:space="0" w:color="7ED7D0"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A6E4DF" w:themeColor="accent3" w:themeTint="67"/>
          <w:left w:val="single" w:sz="4" w:space="0" w:color="A6E4DF" w:themeColor="accent3" w:themeTint="67"/>
          <w:bottom w:val="single" w:sz="4" w:space="0" w:color="A6E4DF" w:themeColor="accent3" w:themeTint="67"/>
          <w:right w:val="single" w:sz="4" w:space="0" w:color="A6E4DF" w:themeColor="accent3" w:themeTint="67"/>
        </w:tcBorders>
      </w:tcPr>
    </w:tblStylePr>
  </w:style>
  <w:style w:type="table" w:customStyle="1" w:styleId="GridTable1Light-Accent41">
    <w:name w:val="Grid Table 1 Light - Accent 4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C1DFE9" w:themeColor="accent4" w:themeTint="67"/>
        <w:left w:val="single" w:sz="4" w:space="0" w:color="C1DFE9" w:themeColor="accent4" w:themeTint="67"/>
        <w:bottom w:val="single" w:sz="4" w:space="0" w:color="C1DFE9" w:themeColor="accent4" w:themeTint="67"/>
        <w:right w:val="single" w:sz="4" w:space="0" w:color="C1DFE9" w:themeColor="accent4" w:themeTint="67"/>
        <w:insideH w:val="single" w:sz="4" w:space="0" w:color="C1DFE9" w:themeColor="accent4" w:themeTint="67"/>
        <w:insideV w:val="single" w:sz="4" w:space="0" w:color="C1DFE9" w:themeColor="accent4" w:themeTint="67"/>
      </w:tblBorders>
    </w:tblPr>
    <w:tblStylePr w:type="firstRow">
      <w:rPr>
        <w:b/>
        <w:color w:val="404040"/>
      </w:rPr>
      <w:tblPr/>
      <w:tcPr>
        <w:tcBorders>
          <w:bottom w:val="single" w:sz="12" w:space="0" w:color="A5D1E0"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1DFE9" w:themeColor="accent4" w:themeTint="67"/>
          <w:left w:val="single" w:sz="4" w:space="0" w:color="C1DFE9" w:themeColor="accent4" w:themeTint="67"/>
          <w:bottom w:val="single" w:sz="4" w:space="0" w:color="C1DFE9" w:themeColor="accent4" w:themeTint="67"/>
          <w:right w:val="single" w:sz="4" w:space="0" w:color="C1DFE9" w:themeColor="accent4" w:themeTint="67"/>
        </w:tcBorders>
      </w:tcPr>
    </w:tblStylePr>
  </w:style>
  <w:style w:type="table" w:customStyle="1" w:styleId="GridTable1Light-Accent51">
    <w:name w:val="Grid Table 1 Light - Accent 5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E5EFE9" w:themeColor="accent5" w:themeTint="67"/>
        <w:left w:val="single" w:sz="4" w:space="0" w:color="E5EFE9" w:themeColor="accent5" w:themeTint="67"/>
        <w:bottom w:val="single" w:sz="4" w:space="0" w:color="E5EFE9" w:themeColor="accent5" w:themeTint="67"/>
        <w:right w:val="single" w:sz="4" w:space="0" w:color="E5EFE9" w:themeColor="accent5" w:themeTint="67"/>
        <w:insideH w:val="single" w:sz="4" w:space="0" w:color="E5EFE9" w:themeColor="accent5" w:themeTint="67"/>
        <w:insideV w:val="single" w:sz="4" w:space="0" w:color="E5EFE9" w:themeColor="accent5" w:themeTint="67"/>
      </w:tblBorders>
    </w:tblPr>
    <w:tblStylePr w:type="firstRow">
      <w:rPr>
        <w:b/>
        <w:color w:val="404040"/>
      </w:rPr>
      <w:tblPr/>
      <w:tcPr>
        <w:tcBorders>
          <w:bottom w:val="single" w:sz="12" w:space="0" w:color="DAE8E0"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EFE9" w:themeColor="accent5" w:themeTint="67"/>
          <w:left w:val="single" w:sz="4" w:space="0" w:color="E5EFE9" w:themeColor="accent5" w:themeTint="67"/>
          <w:bottom w:val="single" w:sz="4" w:space="0" w:color="E5EFE9" w:themeColor="accent5" w:themeTint="67"/>
          <w:right w:val="single" w:sz="4" w:space="0" w:color="E5EFE9" w:themeColor="accent5" w:themeTint="67"/>
        </w:tcBorders>
      </w:tcPr>
    </w:tblStylePr>
  </w:style>
  <w:style w:type="table" w:customStyle="1" w:styleId="GridTable1Light-Accent61">
    <w:name w:val="Grid Table 1 Light - Accent 6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A6E4DF" w:themeColor="accent6" w:themeTint="67"/>
        <w:left w:val="single" w:sz="4" w:space="0" w:color="A6E4DF" w:themeColor="accent6" w:themeTint="67"/>
        <w:bottom w:val="single" w:sz="4" w:space="0" w:color="A6E4DF" w:themeColor="accent6" w:themeTint="67"/>
        <w:right w:val="single" w:sz="4" w:space="0" w:color="A6E4DF" w:themeColor="accent6" w:themeTint="67"/>
        <w:insideH w:val="single" w:sz="4" w:space="0" w:color="A6E4DF" w:themeColor="accent6" w:themeTint="67"/>
        <w:insideV w:val="single" w:sz="4" w:space="0" w:color="A6E4DF" w:themeColor="accent6" w:themeTint="67"/>
      </w:tblBorders>
    </w:tblPr>
    <w:tblStylePr w:type="firstRow">
      <w:rPr>
        <w:b/>
        <w:color w:val="404040"/>
      </w:rPr>
      <w:tblPr/>
      <w:tcPr>
        <w:tcBorders>
          <w:bottom w:val="single" w:sz="12" w:space="0" w:color="7ED7D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A6E4DF" w:themeColor="accent6" w:themeTint="67"/>
          <w:left w:val="single" w:sz="4" w:space="0" w:color="A6E4DF" w:themeColor="accent6" w:themeTint="67"/>
          <w:bottom w:val="single" w:sz="4" w:space="0" w:color="A6E4DF" w:themeColor="accent6" w:themeTint="67"/>
          <w:right w:val="single" w:sz="4" w:space="0" w:color="A6E4DF" w:themeColor="accent6" w:themeTint="67"/>
        </w:tcBorders>
      </w:tcPr>
    </w:tblStylePr>
  </w:style>
  <w:style w:type="table" w:customStyle="1" w:styleId="GridTable2-Accent11">
    <w:name w:val="Grid Table 2 - Accent 1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bottom w:val="single" w:sz="4" w:space="0" w:color="026394" w:themeColor="accent1" w:themeTint="EA"/>
        <w:insideH w:val="single" w:sz="4" w:space="0" w:color="026394" w:themeColor="accent1" w:themeTint="EA"/>
        <w:insideV w:val="single" w:sz="4" w:space="0" w:color="026394" w:themeColor="accent1" w:themeTint="EA"/>
      </w:tblBorders>
    </w:tblPr>
    <w:tblStylePr w:type="firstRow">
      <w:rPr>
        <w:b/>
        <w:color w:val="404040"/>
      </w:rPr>
      <w:tblPr/>
      <w:tcPr>
        <w:tcBorders>
          <w:top w:val="none" w:sz="4" w:space="0" w:color="000000"/>
          <w:left w:val="none" w:sz="4" w:space="0" w:color="000000"/>
          <w:bottom w:val="single" w:sz="12" w:space="0" w:color="026394" w:themeColor="accent1" w:themeTint="EA"/>
          <w:right w:val="none" w:sz="4" w:space="0" w:color="000000"/>
        </w:tcBorders>
        <w:shd w:val="clear" w:color="FFFFFF" w:fill="auto"/>
      </w:tcPr>
    </w:tblStylePr>
    <w:tblStylePr w:type="lastRow">
      <w:rPr>
        <w:b/>
        <w:color w:val="404040"/>
      </w:rPr>
      <w:tblPr/>
      <w:tcPr>
        <w:tcBorders>
          <w:top w:val="single" w:sz="4" w:space="0" w:color="026394"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0E3FD" w:themeColor="accent1" w:themeTint="34" w:fill="B0E3FD" w:themeFill="accent1" w:themeFillTint="34"/>
      </w:tcPr>
    </w:tblStylePr>
    <w:tblStylePr w:type="band1Horz">
      <w:rPr>
        <w:rFonts w:ascii="Arial" w:hAnsi="Arial"/>
        <w:color w:val="404040"/>
        <w:sz w:val="22"/>
      </w:rPr>
      <w:tblPr/>
      <w:tcPr>
        <w:shd w:val="clear" w:color="B0E3FD" w:themeColor="accent1" w:themeTint="34" w:fill="B0E3FD" w:themeFill="accent1" w:themeFillTint="34"/>
      </w:tcPr>
    </w:tblStylePr>
  </w:style>
  <w:style w:type="table" w:customStyle="1" w:styleId="GridTable2-Accent21">
    <w:name w:val="Grid Table 2 - Accent 2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bottom w:val="single" w:sz="4" w:space="0" w:color="87BDE2" w:themeColor="accent2" w:themeTint="97"/>
        <w:insideH w:val="single" w:sz="4" w:space="0" w:color="87BDE2" w:themeColor="accent2" w:themeTint="97"/>
        <w:insideV w:val="single" w:sz="4" w:space="0" w:color="87BDE2" w:themeColor="accent2" w:themeTint="97"/>
      </w:tblBorders>
    </w:tblPr>
    <w:tblStylePr w:type="firstRow">
      <w:rPr>
        <w:b/>
        <w:color w:val="404040"/>
      </w:rPr>
      <w:tblPr/>
      <w:tcPr>
        <w:tcBorders>
          <w:top w:val="none" w:sz="4" w:space="0" w:color="000000"/>
          <w:left w:val="none" w:sz="4" w:space="0" w:color="000000"/>
          <w:bottom w:val="single" w:sz="12" w:space="0" w:color="87BDE2" w:themeColor="accent2" w:themeTint="97"/>
          <w:right w:val="none" w:sz="4" w:space="0" w:color="000000"/>
        </w:tcBorders>
        <w:shd w:val="clear" w:color="FFFFFF" w:fill="auto"/>
      </w:tcPr>
    </w:tblStylePr>
    <w:tblStylePr w:type="lastRow">
      <w:rPr>
        <w:b/>
        <w:color w:val="404040"/>
      </w:rPr>
      <w:tblPr/>
      <w:tcPr>
        <w:tcBorders>
          <w:top w:val="single" w:sz="4" w:space="0" w:color="87BDE2"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7E9F5" w:themeColor="accent2" w:themeTint="32" w:fill="D7E9F5" w:themeFill="accent2" w:themeFillTint="32"/>
      </w:tcPr>
    </w:tblStylePr>
    <w:tblStylePr w:type="band1Horz">
      <w:rPr>
        <w:rFonts w:ascii="Arial" w:hAnsi="Arial"/>
        <w:color w:val="404040"/>
        <w:sz w:val="22"/>
      </w:rPr>
      <w:tblPr/>
      <w:tcPr>
        <w:shd w:val="clear" w:color="D7E9F5" w:themeColor="accent2" w:themeTint="32" w:fill="D7E9F5" w:themeFill="accent2" w:themeFillTint="32"/>
      </w:tcPr>
    </w:tblStylePr>
  </w:style>
  <w:style w:type="table" w:customStyle="1" w:styleId="GridTable2-Accent31">
    <w:name w:val="Grid Table 2 - Accent 3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bottom w:val="single" w:sz="4" w:space="0" w:color="34ABA2" w:themeColor="accent3" w:themeTint="FE"/>
        <w:insideH w:val="single" w:sz="4" w:space="0" w:color="34ABA2" w:themeColor="accent3" w:themeTint="FE"/>
        <w:insideV w:val="single" w:sz="4" w:space="0" w:color="34ABA2" w:themeColor="accent3" w:themeTint="FE"/>
      </w:tblBorders>
    </w:tblPr>
    <w:tblStylePr w:type="firstRow">
      <w:rPr>
        <w:b/>
        <w:color w:val="404040"/>
      </w:rPr>
      <w:tblPr/>
      <w:tcPr>
        <w:tcBorders>
          <w:top w:val="none" w:sz="4" w:space="0" w:color="000000"/>
          <w:left w:val="none" w:sz="4" w:space="0" w:color="000000"/>
          <w:bottom w:val="single" w:sz="12" w:space="0" w:color="34ABA2" w:themeColor="accent3" w:themeTint="FE"/>
          <w:right w:val="none" w:sz="4" w:space="0" w:color="000000"/>
        </w:tcBorders>
        <w:shd w:val="clear" w:color="FFFFFF" w:fill="auto"/>
      </w:tcPr>
    </w:tblStylePr>
    <w:tblStylePr w:type="lastRow">
      <w:rPr>
        <w:b/>
        <w:color w:val="404040"/>
      </w:rPr>
      <w:tblPr/>
      <w:tcPr>
        <w:tcBorders>
          <w:top w:val="single" w:sz="4" w:space="0" w:color="34ABA2"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F1EE" w:themeColor="accent3" w:themeTint="34" w:fill="D2F1EE" w:themeFill="accent3" w:themeFillTint="34"/>
      </w:tcPr>
    </w:tblStylePr>
    <w:tblStylePr w:type="band1Horz">
      <w:rPr>
        <w:rFonts w:ascii="Arial" w:hAnsi="Arial"/>
        <w:color w:val="404040"/>
        <w:sz w:val="22"/>
      </w:rPr>
      <w:tblPr/>
      <w:tcPr>
        <w:shd w:val="clear" w:color="D2F1EE" w:themeColor="accent3" w:themeTint="34" w:fill="D2F1EE" w:themeFill="accent3" w:themeFillTint="34"/>
      </w:tcPr>
    </w:tblStylePr>
  </w:style>
  <w:style w:type="table" w:customStyle="1" w:styleId="GridTable2-Accent41">
    <w:name w:val="Grid Table 2 - Accent 4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bottom w:val="single" w:sz="4" w:space="0" w:color="A2D0DF" w:themeColor="accent4" w:themeTint="9A"/>
        <w:insideH w:val="single" w:sz="4" w:space="0" w:color="A2D0DF" w:themeColor="accent4" w:themeTint="9A"/>
        <w:insideV w:val="single" w:sz="4" w:space="0" w:color="A2D0DF" w:themeColor="accent4" w:themeTint="9A"/>
      </w:tblBorders>
    </w:tblPr>
    <w:tblStylePr w:type="firstRow">
      <w:rPr>
        <w:b/>
        <w:color w:val="404040"/>
      </w:rPr>
      <w:tblPr/>
      <w:tcPr>
        <w:tcBorders>
          <w:top w:val="none" w:sz="4" w:space="0" w:color="000000"/>
          <w:left w:val="none" w:sz="4" w:space="0" w:color="000000"/>
          <w:bottom w:val="single" w:sz="12" w:space="0" w:color="A2D0DF" w:themeColor="accent4" w:themeTint="9A"/>
          <w:right w:val="none" w:sz="4" w:space="0" w:color="000000"/>
        </w:tcBorders>
        <w:shd w:val="clear" w:color="FFFFFF" w:fill="auto"/>
      </w:tcPr>
    </w:tblStylePr>
    <w:tblStylePr w:type="lastRow">
      <w:rPr>
        <w:b/>
        <w:color w:val="404040"/>
      </w:rPr>
      <w:tblPr/>
      <w:tcPr>
        <w:tcBorders>
          <w:top w:val="single" w:sz="4" w:space="0" w:color="A2D0DF"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EFF4" w:themeColor="accent4" w:themeTint="34" w:fill="DFEFF4" w:themeFill="accent4" w:themeFillTint="34"/>
      </w:tcPr>
    </w:tblStylePr>
    <w:tblStylePr w:type="band1Horz">
      <w:rPr>
        <w:rFonts w:ascii="Arial" w:hAnsi="Arial"/>
        <w:color w:val="404040"/>
        <w:sz w:val="22"/>
      </w:rPr>
      <w:tblPr/>
      <w:tcPr>
        <w:shd w:val="clear" w:color="DFEFF4" w:themeColor="accent4" w:themeTint="34" w:fill="DFEFF4" w:themeFill="accent4" w:themeFillTint="34"/>
      </w:tcPr>
    </w:tblStylePr>
  </w:style>
  <w:style w:type="table" w:customStyle="1" w:styleId="GridTable2-Accent51">
    <w:name w:val="Grid Table 2 - Accent 5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bottom w:val="single" w:sz="4" w:space="0" w:color="C1D9CB" w:themeColor="accent5"/>
        <w:insideH w:val="single" w:sz="4" w:space="0" w:color="C1D9CB" w:themeColor="accent5"/>
        <w:insideV w:val="single" w:sz="4" w:space="0" w:color="C1D9CB" w:themeColor="accent5"/>
      </w:tblBorders>
    </w:tblPr>
    <w:tblStylePr w:type="firstRow">
      <w:rPr>
        <w:b/>
        <w:color w:val="404040"/>
      </w:rPr>
      <w:tblPr/>
      <w:tcPr>
        <w:tcBorders>
          <w:top w:val="none" w:sz="4" w:space="0" w:color="000000"/>
          <w:left w:val="none" w:sz="4" w:space="0" w:color="000000"/>
          <w:bottom w:val="single" w:sz="12" w:space="0" w:color="C1D9CB" w:themeColor="accent5"/>
          <w:right w:val="none" w:sz="4" w:space="0" w:color="000000"/>
        </w:tcBorders>
        <w:shd w:val="clear" w:color="FFFFFF" w:fill="auto"/>
      </w:tcPr>
    </w:tblStylePr>
    <w:tblStylePr w:type="lastRow">
      <w:rPr>
        <w:b/>
        <w:color w:val="404040"/>
      </w:rPr>
      <w:tblPr/>
      <w:tcPr>
        <w:tcBorders>
          <w:top w:val="single" w:sz="4" w:space="0" w:color="C1D9CB"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7F4" w:themeColor="accent5" w:themeTint="34" w:fill="F2F7F4" w:themeFill="accent5" w:themeFillTint="34"/>
      </w:tcPr>
    </w:tblStylePr>
    <w:tblStylePr w:type="band1Horz">
      <w:rPr>
        <w:rFonts w:ascii="Arial" w:hAnsi="Arial"/>
        <w:color w:val="404040"/>
        <w:sz w:val="22"/>
      </w:rPr>
      <w:tblPr/>
      <w:tcPr>
        <w:shd w:val="clear" w:color="F2F7F4" w:themeColor="accent5" w:themeTint="34" w:fill="F2F7F4" w:themeFill="accent5" w:themeFillTint="34"/>
      </w:tcPr>
    </w:tblStylePr>
  </w:style>
  <w:style w:type="table" w:customStyle="1" w:styleId="GridTable2-Accent61">
    <w:name w:val="Grid Table 2 - Accent 6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bottom w:val="single" w:sz="4" w:space="0" w:color="34ABA2" w:themeColor="accent6"/>
        <w:insideH w:val="single" w:sz="4" w:space="0" w:color="34ABA2" w:themeColor="accent6"/>
        <w:insideV w:val="single" w:sz="4" w:space="0" w:color="34ABA2" w:themeColor="accent6"/>
      </w:tblBorders>
    </w:tblPr>
    <w:tblStylePr w:type="firstRow">
      <w:rPr>
        <w:b/>
        <w:color w:val="404040"/>
      </w:rPr>
      <w:tblPr/>
      <w:tcPr>
        <w:tcBorders>
          <w:top w:val="none" w:sz="4" w:space="0" w:color="000000"/>
          <w:left w:val="none" w:sz="4" w:space="0" w:color="000000"/>
          <w:bottom w:val="single" w:sz="12" w:space="0" w:color="34ABA2" w:themeColor="accent6"/>
          <w:right w:val="none" w:sz="4" w:space="0" w:color="000000"/>
        </w:tcBorders>
        <w:shd w:val="clear" w:color="FFFFFF" w:fill="auto"/>
      </w:tcPr>
    </w:tblStylePr>
    <w:tblStylePr w:type="lastRow">
      <w:rPr>
        <w:b/>
        <w:color w:val="404040"/>
      </w:rPr>
      <w:tblPr/>
      <w:tcPr>
        <w:tcBorders>
          <w:top w:val="single" w:sz="4" w:space="0" w:color="34ABA2"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F1EE" w:themeColor="accent6" w:themeTint="34" w:fill="D2F1EE" w:themeFill="accent6" w:themeFillTint="34"/>
      </w:tcPr>
    </w:tblStylePr>
    <w:tblStylePr w:type="band1Horz">
      <w:rPr>
        <w:rFonts w:ascii="Arial" w:hAnsi="Arial"/>
        <w:color w:val="404040"/>
        <w:sz w:val="22"/>
      </w:rPr>
      <w:tblPr/>
      <w:tcPr>
        <w:shd w:val="clear" w:color="D2F1EE" w:themeColor="accent6" w:themeTint="34" w:fill="D2F1EE" w:themeFill="accent6" w:themeFillTint="34"/>
      </w:tcPr>
    </w:tblStylePr>
  </w:style>
  <w:style w:type="table" w:customStyle="1" w:styleId="GridTable3-Accent11">
    <w:name w:val="Grid Table 3 - Accent 1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bottom w:val="single" w:sz="4" w:space="0" w:color="026394" w:themeColor="accent1" w:themeTint="EA"/>
        <w:insideH w:val="single" w:sz="4" w:space="0" w:color="026394" w:themeColor="accent1" w:themeTint="EA"/>
        <w:insideV w:val="single" w:sz="4" w:space="0" w:color="026394"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0E3FD" w:themeColor="accent1" w:themeTint="34" w:fill="B0E3FD" w:themeFill="accent1" w:themeFillTint="34"/>
      </w:tcPr>
    </w:tblStylePr>
    <w:tblStylePr w:type="band1Horz">
      <w:rPr>
        <w:rFonts w:ascii="Arial" w:hAnsi="Arial"/>
        <w:color w:val="404040"/>
        <w:sz w:val="22"/>
      </w:rPr>
      <w:tblPr/>
      <w:tcPr>
        <w:shd w:val="clear" w:color="B0E3FD" w:themeColor="accent1" w:themeTint="34" w:fill="B0E3FD" w:themeFill="accent1" w:themeFillTint="34"/>
      </w:tcPr>
    </w:tblStylePr>
  </w:style>
  <w:style w:type="table" w:customStyle="1" w:styleId="GridTable3-Accent21">
    <w:name w:val="Grid Table 3 - Accent 2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bottom w:val="single" w:sz="4" w:space="0" w:color="87BDE2" w:themeColor="accent2" w:themeTint="97"/>
        <w:insideH w:val="single" w:sz="4" w:space="0" w:color="87BDE2" w:themeColor="accent2" w:themeTint="97"/>
        <w:insideV w:val="single" w:sz="4" w:space="0" w:color="87BDE2"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7E9F5" w:themeColor="accent2" w:themeTint="32" w:fill="D7E9F5" w:themeFill="accent2" w:themeFillTint="32"/>
      </w:tcPr>
    </w:tblStylePr>
    <w:tblStylePr w:type="band1Horz">
      <w:rPr>
        <w:rFonts w:ascii="Arial" w:hAnsi="Arial"/>
        <w:color w:val="404040"/>
        <w:sz w:val="22"/>
      </w:rPr>
      <w:tblPr/>
      <w:tcPr>
        <w:shd w:val="clear" w:color="D7E9F5" w:themeColor="accent2" w:themeTint="32" w:fill="D7E9F5" w:themeFill="accent2" w:themeFillTint="32"/>
      </w:tcPr>
    </w:tblStylePr>
  </w:style>
  <w:style w:type="table" w:customStyle="1" w:styleId="GridTable3-Accent31">
    <w:name w:val="Grid Table 3 - Accent 3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bottom w:val="single" w:sz="4" w:space="0" w:color="34ABA2" w:themeColor="accent3" w:themeTint="FE"/>
        <w:insideH w:val="single" w:sz="4" w:space="0" w:color="34ABA2" w:themeColor="accent3" w:themeTint="FE"/>
        <w:insideV w:val="single" w:sz="4" w:space="0" w:color="34ABA2"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2F1EE" w:themeColor="accent3" w:themeTint="34" w:fill="D2F1EE" w:themeFill="accent3" w:themeFillTint="34"/>
      </w:tcPr>
    </w:tblStylePr>
    <w:tblStylePr w:type="band1Horz">
      <w:rPr>
        <w:rFonts w:ascii="Arial" w:hAnsi="Arial"/>
        <w:color w:val="404040"/>
        <w:sz w:val="22"/>
      </w:rPr>
      <w:tblPr/>
      <w:tcPr>
        <w:shd w:val="clear" w:color="D2F1EE" w:themeColor="accent3" w:themeTint="34" w:fill="D2F1EE" w:themeFill="accent3" w:themeFillTint="34"/>
      </w:tcPr>
    </w:tblStylePr>
  </w:style>
  <w:style w:type="table" w:customStyle="1" w:styleId="GridTable3-Accent41">
    <w:name w:val="Grid Table 3 - Accent 4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bottom w:val="single" w:sz="4" w:space="0" w:color="A2D0DF" w:themeColor="accent4" w:themeTint="9A"/>
        <w:insideH w:val="single" w:sz="4" w:space="0" w:color="A2D0DF" w:themeColor="accent4" w:themeTint="9A"/>
        <w:insideV w:val="single" w:sz="4" w:space="0" w:color="A2D0DF"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FEFF4" w:themeColor="accent4" w:themeTint="34" w:fill="DFEFF4" w:themeFill="accent4" w:themeFillTint="34"/>
      </w:tcPr>
    </w:tblStylePr>
    <w:tblStylePr w:type="band1Horz">
      <w:rPr>
        <w:rFonts w:ascii="Arial" w:hAnsi="Arial"/>
        <w:color w:val="404040"/>
        <w:sz w:val="22"/>
      </w:rPr>
      <w:tblPr/>
      <w:tcPr>
        <w:shd w:val="clear" w:color="DFEFF4" w:themeColor="accent4" w:themeTint="34" w:fill="DFEFF4" w:themeFill="accent4" w:themeFillTint="34"/>
      </w:tcPr>
    </w:tblStylePr>
  </w:style>
  <w:style w:type="table" w:customStyle="1" w:styleId="GridTable3-Accent51">
    <w:name w:val="Grid Table 3 - Accent 5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bottom w:val="single" w:sz="4" w:space="0" w:color="C1D9CB" w:themeColor="accent5"/>
        <w:insideH w:val="single" w:sz="4" w:space="0" w:color="C1D9CB" w:themeColor="accent5"/>
        <w:insideV w:val="single" w:sz="4" w:space="0" w:color="C1D9CB"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F7F4" w:themeColor="accent5" w:themeTint="34" w:fill="F2F7F4" w:themeFill="accent5" w:themeFillTint="34"/>
      </w:tcPr>
    </w:tblStylePr>
    <w:tblStylePr w:type="band1Horz">
      <w:rPr>
        <w:rFonts w:ascii="Arial" w:hAnsi="Arial"/>
        <w:color w:val="404040"/>
        <w:sz w:val="22"/>
      </w:rPr>
      <w:tblPr/>
      <w:tcPr>
        <w:shd w:val="clear" w:color="F2F7F4" w:themeColor="accent5" w:themeTint="34" w:fill="F2F7F4" w:themeFill="accent5" w:themeFillTint="34"/>
      </w:tcPr>
    </w:tblStylePr>
  </w:style>
  <w:style w:type="table" w:customStyle="1" w:styleId="GridTable3-Accent61">
    <w:name w:val="Grid Table 3 - Accent 6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bottom w:val="single" w:sz="4" w:space="0" w:color="34ABA2" w:themeColor="accent6"/>
        <w:insideH w:val="single" w:sz="4" w:space="0" w:color="34ABA2" w:themeColor="accent6"/>
        <w:insideV w:val="single" w:sz="4" w:space="0" w:color="34ABA2"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2F1EE" w:themeColor="accent6" w:themeTint="34" w:fill="D2F1EE" w:themeFill="accent6" w:themeFillTint="34"/>
      </w:tcPr>
    </w:tblStylePr>
    <w:tblStylePr w:type="band1Horz">
      <w:rPr>
        <w:rFonts w:ascii="Arial" w:hAnsi="Arial"/>
        <w:color w:val="404040"/>
        <w:sz w:val="22"/>
      </w:rPr>
      <w:tblPr/>
      <w:tcPr>
        <w:shd w:val="clear" w:color="D2F1EE" w:themeColor="accent6" w:themeTint="34" w:fill="D2F1EE" w:themeFill="accent6" w:themeFillTint="34"/>
      </w:tcPr>
    </w:tblStylePr>
  </w:style>
  <w:style w:type="table" w:customStyle="1" w:styleId="GridTable4-Accent11">
    <w:name w:val="Grid Table 4 - Accent 11"/>
    <w:basedOn w:val="TableNormal"/>
    <w:uiPriority w:val="5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25B4FB" w:themeColor="accent1" w:themeTint="90"/>
        <w:left w:val="single" w:sz="4" w:space="0" w:color="25B4FB" w:themeColor="accent1" w:themeTint="90"/>
        <w:bottom w:val="single" w:sz="4" w:space="0" w:color="25B4FB" w:themeColor="accent1" w:themeTint="90"/>
        <w:right w:val="single" w:sz="4" w:space="0" w:color="25B4FB" w:themeColor="accent1" w:themeTint="90"/>
        <w:insideH w:val="single" w:sz="4" w:space="0" w:color="25B4FB" w:themeColor="accent1" w:themeTint="90"/>
        <w:insideV w:val="single" w:sz="4" w:space="0" w:color="25B4FB" w:themeColor="accent1" w:themeTint="90"/>
      </w:tblBorders>
    </w:tblPr>
    <w:tblStylePr w:type="firstRow">
      <w:rPr>
        <w:rFonts w:ascii="Arial" w:hAnsi="Arial"/>
        <w:b/>
        <w:color w:val="FFFFFF"/>
        <w:sz w:val="22"/>
      </w:rPr>
      <w:tblPr/>
      <w:tcPr>
        <w:tcBorders>
          <w:top w:val="single" w:sz="4" w:space="0" w:color="026394" w:themeColor="accent1" w:themeTint="EA"/>
          <w:left w:val="single" w:sz="4" w:space="0" w:color="026394" w:themeColor="accent1" w:themeTint="EA"/>
          <w:bottom w:val="single" w:sz="4" w:space="0" w:color="026394" w:themeColor="accent1" w:themeTint="EA"/>
          <w:right w:val="single" w:sz="4" w:space="0" w:color="026394" w:themeColor="accent1" w:themeTint="EA"/>
        </w:tcBorders>
        <w:shd w:val="clear" w:color="026394" w:themeColor="accent1" w:themeTint="EA" w:fill="026394" w:themeFill="accent1" w:themeFillTint="EA"/>
      </w:tcPr>
    </w:tblStylePr>
    <w:tblStylePr w:type="lastRow">
      <w:rPr>
        <w:b/>
        <w:color w:val="404040"/>
      </w:rPr>
      <w:tblPr/>
      <w:tcPr>
        <w:tcBorders>
          <w:top w:val="single" w:sz="4" w:space="0" w:color="026394"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3E5FD" w:themeColor="accent1" w:themeTint="32" w:fill="B3E5FD" w:themeFill="accent1" w:themeFillTint="32"/>
      </w:tcPr>
    </w:tblStylePr>
    <w:tblStylePr w:type="band1Horz">
      <w:rPr>
        <w:rFonts w:ascii="Arial" w:hAnsi="Arial"/>
        <w:color w:val="404040"/>
        <w:sz w:val="22"/>
      </w:rPr>
      <w:tblPr/>
      <w:tcPr>
        <w:shd w:val="clear" w:color="B3E5FD" w:themeColor="accent1" w:themeTint="32" w:fill="B3E5FD" w:themeFill="accent1" w:themeFillTint="32"/>
      </w:tcPr>
    </w:tblStylePr>
  </w:style>
  <w:style w:type="table" w:customStyle="1" w:styleId="GridTable4-Accent21">
    <w:name w:val="Grid Table 4 - Accent 21"/>
    <w:basedOn w:val="TableNormal"/>
    <w:uiPriority w:val="5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8CC1E4" w:themeColor="accent2" w:themeTint="90"/>
        <w:left w:val="single" w:sz="4" w:space="0" w:color="8CC1E4" w:themeColor="accent2" w:themeTint="90"/>
        <w:bottom w:val="single" w:sz="4" w:space="0" w:color="8CC1E4" w:themeColor="accent2" w:themeTint="90"/>
        <w:right w:val="single" w:sz="4" w:space="0" w:color="8CC1E4" w:themeColor="accent2" w:themeTint="90"/>
        <w:insideH w:val="single" w:sz="4" w:space="0" w:color="8CC1E4" w:themeColor="accent2" w:themeTint="90"/>
        <w:insideV w:val="single" w:sz="4" w:space="0" w:color="8CC1E4" w:themeColor="accent2" w:themeTint="90"/>
      </w:tblBorders>
    </w:tblPr>
    <w:tblStylePr w:type="firstRow">
      <w:rPr>
        <w:rFonts w:ascii="Arial" w:hAnsi="Arial"/>
        <w:b/>
        <w:color w:val="FFFFFF"/>
        <w:sz w:val="22"/>
      </w:rPr>
      <w:tblPr/>
      <w:tcPr>
        <w:tcBorders>
          <w:top w:val="single" w:sz="4" w:space="0" w:color="87BDE2" w:themeColor="accent2" w:themeTint="97"/>
          <w:left w:val="single" w:sz="4" w:space="0" w:color="87BDE2" w:themeColor="accent2" w:themeTint="97"/>
          <w:bottom w:val="single" w:sz="4" w:space="0" w:color="87BDE2" w:themeColor="accent2" w:themeTint="97"/>
          <w:right w:val="single" w:sz="4" w:space="0" w:color="87BDE2" w:themeColor="accent2" w:themeTint="97"/>
        </w:tcBorders>
        <w:shd w:val="clear" w:color="87BDE2" w:themeColor="accent2" w:themeTint="97" w:fill="87BDE2" w:themeFill="accent2" w:themeFillTint="97"/>
      </w:tcPr>
    </w:tblStylePr>
    <w:tblStylePr w:type="lastRow">
      <w:rPr>
        <w:b/>
        <w:color w:val="404040"/>
      </w:rPr>
      <w:tblPr/>
      <w:tcPr>
        <w:tcBorders>
          <w:top w:val="single" w:sz="4" w:space="0" w:color="87BDE2"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7E9F5" w:themeColor="accent2" w:themeTint="32" w:fill="D7E9F5" w:themeFill="accent2" w:themeFillTint="32"/>
      </w:tcPr>
    </w:tblStylePr>
    <w:tblStylePr w:type="band1Horz">
      <w:rPr>
        <w:rFonts w:ascii="Arial" w:hAnsi="Arial"/>
        <w:color w:val="404040"/>
        <w:sz w:val="22"/>
      </w:rPr>
      <w:tblPr/>
      <w:tcPr>
        <w:shd w:val="clear" w:color="D7E9F5" w:themeColor="accent2" w:themeTint="32" w:fill="D7E9F5" w:themeFill="accent2" w:themeFillTint="32"/>
      </w:tcPr>
    </w:tblStylePr>
  </w:style>
  <w:style w:type="table" w:customStyle="1" w:styleId="GridTable4-Accent31">
    <w:name w:val="Grid Table 4 - Accent 31"/>
    <w:basedOn w:val="TableNormal"/>
    <w:uiPriority w:val="5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82D9D2" w:themeColor="accent3" w:themeTint="90"/>
        <w:left w:val="single" w:sz="4" w:space="0" w:color="82D9D2" w:themeColor="accent3" w:themeTint="90"/>
        <w:bottom w:val="single" w:sz="4" w:space="0" w:color="82D9D2" w:themeColor="accent3" w:themeTint="90"/>
        <w:right w:val="single" w:sz="4" w:space="0" w:color="82D9D2" w:themeColor="accent3" w:themeTint="90"/>
        <w:insideH w:val="single" w:sz="4" w:space="0" w:color="82D9D2" w:themeColor="accent3" w:themeTint="90"/>
        <w:insideV w:val="single" w:sz="4" w:space="0" w:color="82D9D2" w:themeColor="accent3" w:themeTint="90"/>
      </w:tblBorders>
    </w:tblPr>
    <w:tblStylePr w:type="firstRow">
      <w:rPr>
        <w:rFonts w:ascii="Arial" w:hAnsi="Arial"/>
        <w:b/>
        <w:color w:val="FFFFFF"/>
        <w:sz w:val="22"/>
      </w:rPr>
      <w:tblPr/>
      <w:tcPr>
        <w:tcBorders>
          <w:top w:val="single" w:sz="4" w:space="0" w:color="34ABA2" w:themeColor="accent3" w:themeTint="FE"/>
          <w:left w:val="single" w:sz="4" w:space="0" w:color="34ABA2" w:themeColor="accent3" w:themeTint="FE"/>
          <w:bottom w:val="single" w:sz="4" w:space="0" w:color="34ABA2" w:themeColor="accent3" w:themeTint="FE"/>
          <w:right w:val="single" w:sz="4" w:space="0" w:color="34ABA2" w:themeColor="accent3" w:themeTint="FE"/>
        </w:tcBorders>
        <w:shd w:val="clear" w:color="34ABA2" w:themeColor="accent3" w:themeTint="FE" w:fill="34ABA2" w:themeFill="accent3" w:themeFillTint="FE"/>
      </w:tcPr>
    </w:tblStylePr>
    <w:tblStylePr w:type="lastRow">
      <w:rPr>
        <w:b/>
        <w:color w:val="404040"/>
      </w:rPr>
      <w:tblPr/>
      <w:tcPr>
        <w:tcBorders>
          <w:top w:val="single" w:sz="4" w:space="0" w:color="34ABA2"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F1EE" w:themeColor="accent3" w:themeTint="34" w:fill="D2F1EE" w:themeFill="accent3" w:themeFillTint="34"/>
      </w:tcPr>
    </w:tblStylePr>
    <w:tblStylePr w:type="band1Horz">
      <w:rPr>
        <w:rFonts w:ascii="Arial" w:hAnsi="Arial"/>
        <w:color w:val="404040"/>
        <w:sz w:val="22"/>
      </w:rPr>
      <w:tblPr/>
      <w:tcPr>
        <w:shd w:val="clear" w:color="D2F1EE" w:themeColor="accent3" w:themeTint="34" w:fill="D2F1EE" w:themeFill="accent3" w:themeFillTint="34"/>
      </w:tcPr>
    </w:tblStylePr>
  </w:style>
  <w:style w:type="table" w:customStyle="1" w:styleId="GridTable4-Accent41">
    <w:name w:val="Grid Table 4 - Accent 41"/>
    <w:basedOn w:val="TableNormal"/>
    <w:uiPriority w:val="5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A8D3E1" w:themeColor="accent4" w:themeTint="90"/>
        <w:left w:val="single" w:sz="4" w:space="0" w:color="A8D3E1" w:themeColor="accent4" w:themeTint="90"/>
        <w:bottom w:val="single" w:sz="4" w:space="0" w:color="A8D3E1" w:themeColor="accent4" w:themeTint="90"/>
        <w:right w:val="single" w:sz="4" w:space="0" w:color="A8D3E1" w:themeColor="accent4" w:themeTint="90"/>
        <w:insideH w:val="single" w:sz="4" w:space="0" w:color="A8D3E1" w:themeColor="accent4" w:themeTint="90"/>
        <w:insideV w:val="single" w:sz="4" w:space="0" w:color="A8D3E1" w:themeColor="accent4" w:themeTint="90"/>
      </w:tblBorders>
    </w:tblPr>
    <w:tblStylePr w:type="firstRow">
      <w:rPr>
        <w:rFonts w:ascii="Arial" w:hAnsi="Arial"/>
        <w:b/>
        <w:color w:val="FFFFFF"/>
        <w:sz w:val="22"/>
      </w:rPr>
      <w:tblPr/>
      <w:tcPr>
        <w:tcBorders>
          <w:top w:val="single" w:sz="4" w:space="0" w:color="A2D0DF" w:themeColor="accent4" w:themeTint="9A"/>
          <w:left w:val="single" w:sz="4" w:space="0" w:color="A2D0DF" w:themeColor="accent4" w:themeTint="9A"/>
          <w:bottom w:val="single" w:sz="4" w:space="0" w:color="A2D0DF" w:themeColor="accent4" w:themeTint="9A"/>
          <w:right w:val="single" w:sz="4" w:space="0" w:color="A2D0DF" w:themeColor="accent4" w:themeTint="9A"/>
        </w:tcBorders>
        <w:shd w:val="clear" w:color="A2D0DF" w:themeColor="accent4" w:themeTint="9A" w:fill="A2D0DF" w:themeFill="accent4" w:themeFillTint="9A"/>
      </w:tcPr>
    </w:tblStylePr>
    <w:tblStylePr w:type="lastRow">
      <w:rPr>
        <w:b/>
        <w:color w:val="404040"/>
      </w:rPr>
      <w:tblPr/>
      <w:tcPr>
        <w:tcBorders>
          <w:top w:val="single" w:sz="4" w:space="0" w:color="A2D0DF"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EFF4" w:themeColor="accent4" w:themeTint="34" w:fill="DFEFF4" w:themeFill="accent4" w:themeFillTint="34"/>
      </w:tcPr>
    </w:tblStylePr>
    <w:tblStylePr w:type="band1Horz">
      <w:rPr>
        <w:rFonts w:ascii="Arial" w:hAnsi="Arial"/>
        <w:color w:val="404040"/>
        <w:sz w:val="22"/>
      </w:rPr>
      <w:tblPr/>
      <w:tcPr>
        <w:shd w:val="clear" w:color="DFEFF4" w:themeColor="accent4" w:themeTint="34" w:fill="DFEFF4" w:themeFill="accent4" w:themeFillTint="34"/>
      </w:tcPr>
    </w:tblStylePr>
  </w:style>
  <w:style w:type="table" w:customStyle="1" w:styleId="GridTable4-Accent51">
    <w:name w:val="Grid Table 4 - Accent 51"/>
    <w:basedOn w:val="TableNormal"/>
    <w:uiPriority w:val="5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DBE9E1" w:themeColor="accent5" w:themeTint="90"/>
        <w:left w:val="single" w:sz="4" w:space="0" w:color="DBE9E1" w:themeColor="accent5" w:themeTint="90"/>
        <w:bottom w:val="single" w:sz="4" w:space="0" w:color="DBE9E1" w:themeColor="accent5" w:themeTint="90"/>
        <w:right w:val="single" w:sz="4" w:space="0" w:color="DBE9E1" w:themeColor="accent5" w:themeTint="90"/>
        <w:insideH w:val="single" w:sz="4" w:space="0" w:color="DBE9E1" w:themeColor="accent5" w:themeTint="90"/>
        <w:insideV w:val="single" w:sz="4" w:space="0" w:color="DBE9E1" w:themeColor="accent5" w:themeTint="90"/>
      </w:tblBorders>
    </w:tblPr>
    <w:tblStylePr w:type="firstRow">
      <w:rPr>
        <w:rFonts w:ascii="Arial" w:hAnsi="Arial"/>
        <w:b/>
        <w:color w:val="FFFFFF"/>
        <w:sz w:val="22"/>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tcBorders>
        <w:shd w:val="clear" w:color="C1D9CB" w:themeColor="accent5" w:fill="C1D9CB" w:themeFill="accent5"/>
      </w:tcPr>
    </w:tblStylePr>
    <w:tblStylePr w:type="lastRow">
      <w:rPr>
        <w:b/>
        <w:color w:val="404040"/>
      </w:rPr>
      <w:tblPr/>
      <w:tcPr>
        <w:tcBorders>
          <w:top w:val="single" w:sz="4" w:space="0" w:color="C1D9CB"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7F4" w:themeColor="accent5" w:themeTint="34" w:fill="F2F7F4" w:themeFill="accent5" w:themeFillTint="34"/>
      </w:tcPr>
    </w:tblStylePr>
    <w:tblStylePr w:type="band1Horz">
      <w:rPr>
        <w:rFonts w:ascii="Arial" w:hAnsi="Arial"/>
        <w:color w:val="404040"/>
        <w:sz w:val="22"/>
      </w:rPr>
      <w:tblPr/>
      <w:tcPr>
        <w:shd w:val="clear" w:color="F2F7F4" w:themeColor="accent5" w:themeTint="34" w:fill="F2F7F4" w:themeFill="accent5" w:themeFillTint="34"/>
      </w:tcPr>
    </w:tblStylePr>
  </w:style>
  <w:style w:type="table" w:customStyle="1" w:styleId="GridTable4-Accent61">
    <w:name w:val="Grid Table 4 - Accent 61"/>
    <w:basedOn w:val="TableNormal"/>
    <w:uiPriority w:val="5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82D9D2" w:themeColor="accent6" w:themeTint="90"/>
        <w:left w:val="single" w:sz="4" w:space="0" w:color="82D9D2" w:themeColor="accent6" w:themeTint="90"/>
        <w:bottom w:val="single" w:sz="4" w:space="0" w:color="82D9D2" w:themeColor="accent6" w:themeTint="90"/>
        <w:right w:val="single" w:sz="4" w:space="0" w:color="82D9D2" w:themeColor="accent6" w:themeTint="90"/>
        <w:insideH w:val="single" w:sz="4" w:space="0" w:color="82D9D2" w:themeColor="accent6" w:themeTint="90"/>
        <w:insideV w:val="single" w:sz="4" w:space="0" w:color="82D9D2" w:themeColor="accent6" w:themeTint="90"/>
      </w:tblBorders>
    </w:tblPr>
    <w:tblStylePr w:type="firstRow">
      <w:rPr>
        <w:rFonts w:ascii="Arial" w:hAnsi="Arial"/>
        <w:b/>
        <w:color w:val="FFFFFF"/>
        <w:sz w:val="22"/>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tcBorders>
        <w:shd w:val="clear" w:color="34ABA2" w:themeColor="accent6" w:fill="34ABA2" w:themeFill="accent6"/>
      </w:tcPr>
    </w:tblStylePr>
    <w:tblStylePr w:type="lastRow">
      <w:rPr>
        <w:b/>
        <w:color w:val="404040"/>
      </w:rPr>
      <w:tblPr/>
      <w:tcPr>
        <w:tcBorders>
          <w:top w:val="single" w:sz="4" w:space="0" w:color="34ABA2"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F1EE" w:themeColor="accent6" w:themeTint="34" w:fill="D2F1EE" w:themeFill="accent6" w:themeFillTint="34"/>
      </w:tcPr>
    </w:tblStylePr>
    <w:tblStylePr w:type="band1Horz">
      <w:rPr>
        <w:rFonts w:ascii="Arial" w:hAnsi="Arial"/>
        <w:color w:val="404040"/>
        <w:sz w:val="22"/>
      </w:rPr>
      <w:tblPr/>
      <w:tcPr>
        <w:shd w:val="clear" w:color="D2F1EE" w:themeColor="accent6" w:themeTint="34" w:fill="D2F1EE" w:themeFill="accent6" w:themeFillTint="34"/>
      </w:tcPr>
    </w:tblStylePr>
  </w:style>
  <w:style w:type="character" w:styleId="SubtleEmphasis">
    <w:name w:val="Subtle Emphasis"/>
    <w:basedOn w:val="DefaultParagraphFont"/>
    <w:uiPriority w:val="19"/>
    <w:qFormat/>
    <w:rsid w:val="009F4DDD"/>
    <w:rPr>
      <w:i/>
      <w:iCs/>
      <w:color w:val="2E287F" w:themeColor="text1" w:themeTint="BF"/>
    </w:rPr>
  </w:style>
  <w:style w:type="table" w:customStyle="1" w:styleId="GridTable5Dark-Accent21">
    <w:name w:val="Grid Table 5 Dark - Accent 2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7E9F5" w:themeColor="accent2" w:themeTint="32" w:fill="D7E9F5" w:themeFill="accent2" w:themeFillTint="32"/>
    </w:tblPr>
    <w:tblStylePr w:type="firstRow">
      <w:rPr>
        <w:rFonts w:ascii="Arial" w:hAnsi="Arial"/>
        <w:b/>
        <w:color w:val="FFFFFF"/>
        <w:sz w:val="22"/>
      </w:rPr>
      <w:tblPr/>
      <w:tcPr>
        <w:shd w:val="clear" w:color="3592CF" w:themeColor="accent2" w:fill="3592CF" w:themeFill="accent2"/>
      </w:tcPr>
    </w:tblStylePr>
    <w:tblStylePr w:type="lastRow">
      <w:rPr>
        <w:rFonts w:ascii="Arial" w:hAnsi="Arial"/>
        <w:b/>
        <w:color w:val="FFFFFF"/>
        <w:sz w:val="22"/>
      </w:rPr>
      <w:tblPr/>
      <w:tcPr>
        <w:tcBorders>
          <w:top w:val="single" w:sz="4" w:space="0" w:color="FFFFFF" w:themeColor="light1"/>
        </w:tcBorders>
        <w:shd w:val="clear" w:color="3592CF" w:themeColor="accent2" w:fill="3592CF" w:themeFill="accent2"/>
      </w:tcPr>
    </w:tblStylePr>
    <w:tblStylePr w:type="firstCol">
      <w:rPr>
        <w:rFonts w:ascii="Arial" w:hAnsi="Arial"/>
        <w:b/>
        <w:color w:val="FFFFFF"/>
        <w:sz w:val="22"/>
      </w:rPr>
      <w:tblPr/>
      <w:tcPr>
        <w:shd w:val="clear" w:color="3592CF" w:themeColor="accent2" w:fill="3592CF" w:themeFill="accent2"/>
      </w:tcPr>
    </w:tblStylePr>
    <w:tblStylePr w:type="lastCol">
      <w:rPr>
        <w:rFonts w:ascii="Arial" w:hAnsi="Arial"/>
        <w:b/>
        <w:color w:val="FFFFFF"/>
        <w:sz w:val="22"/>
      </w:rPr>
      <w:tblPr/>
      <w:tcPr>
        <w:shd w:val="clear" w:color="3592CF" w:themeColor="accent2" w:fill="3592CF" w:themeFill="accent2"/>
      </w:tcPr>
    </w:tblStylePr>
    <w:tblStylePr w:type="band1Vert">
      <w:tblPr/>
      <w:tcPr>
        <w:shd w:val="clear" w:color="A2CCE9" w:themeColor="accent2" w:themeTint="75" w:fill="A2CCE9" w:themeFill="accent2" w:themeFillTint="75"/>
      </w:tcPr>
    </w:tblStylePr>
    <w:tblStylePr w:type="band1Horz">
      <w:tblPr/>
      <w:tcPr>
        <w:shd w:val="clear" w:color="A2CCE9" w:themeColor="accent2" w:themeTint="75" w:fill="A2CCE9" w:themeFill="accent2" w:themeFillTint="75"/>
      </w:tcPr>
    </w:tblStylePr>
  </w:style>
  <w:style w:type="table" w:customStyle="1" w:styleId="GridTable5Dark-Accent31">
    <w:name w:val="Grid Table 5 Dark - Accent 3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2F1EE" w:themeColor="accent3" w:themeTint="34" w:fill="D2F1EE" w:themeFill="accent3" w:themeFillTint="34"/>
    </w:tblPr>
    <w:tblStylePr w:type="firstRow">
      <w:rPr>
        <w:rFonts w:ascii="Arial" w:hAnsi="Arial"/>
        <w:b/>
        <w:color w:val="FFFFFF"/>
        <w:sz w:val="22"/>
      </w:rPr>
      <w:tblPr/>
      <w:tcPr>
        <w:shd w:val="clear" w:color="34ABA2" w:themeColor="accent3" w:fill="34ABA2" w:themeFill="accent3"/>
      </w:tcPr>
    </w:tblStylePr>
    <w:tblStylePr w:type="lastRow">
      <w:rPr>
        <w:rFonts w:ascii="Arial" w:hAnsi="Arial"/>
        <w:b/>
        <w:color w:val="FFFFFF"/>
        <w:sz w:val="22"/>
      </w:rPr>
      <w:tblPr/>
      <w:tcPr>
        <w:tcBorders>
          <w:top w:val="single" w:sz="4" w:space="0" w:color="FFFFFF" w:themeColor="light1"/>
        </w:tcBorders>
        <w:shd w:val="clear" w:color="34ABA2" w:themeColor="accent3" w:fill="34ABA2" w:themeFill="accent3"/>
      </w:tcPr>
    </w:tblStylePr>
    <w:tblStylePr w:type="firstCol">
      <w:rPr>
        <w:rFonts w:ascii="Arial" w:hAnsi="Arial"/>
        <w:b/>
        <w:color w:val="FFFFFF"/>
        <w:sz w:val="22"/>
      </w:rPr>
      <w:tblPr/>
      <w:tcPr>
        <w:shd w:val="clear" w:color="34ABA2" w:themeColor="accent3" w:fill="34ABA2" w:themeFill="accent3"/>
      </w:tcPr>
    </w:tblStylePr>
    <w:tblStylePr w:type="lastCol">
      <w:rPr>
        <w:rFonts w:ascii="Arial" w:hAnsi="Arial"/>
        <w:b/>
        <w:color w:val="FFFFFF"/>
        <w:sz w:val="22"/>
      </w:rPr>
      <w:tblPr/>
      <w:tcPr>
        <w:shd w:val="clear" w:color="34ABA2" w:themeColor="accent3" w:fill="34ABA2" w:themeFill="accent3"/>
      </w:tcPr>
    </w:tblStylePr>
    <w:tblStylePr w:type="band1Vert">
      <w:tblPr/>
      <w:tcPr>
        <w:shd w:val="clear" w:color="99E0DA" w:themeColor="accent3" w:themeTint="75" w:fill="99E0DA" w:themeFill="accent3" w:themeFillTint="75"/>
      </w:tcPr>
    </w:tblStylePr>
    <w:tblStylePr w:type="band1Horz">
      <w:tblPr/>
      <w:tcPr>
        <w:shd w:val="clear" w:color="99E0DA" w:themeColor="accent3" w:themeTint="75" w:fill="99E0DA" w:themeFill="accent3" w:themeFillTint="75"/>
      </w:tcPr>
    </w:tblStylePr>
  </w:style>
  <w:style w:type="table" w:customStyle="1" w:styleId="GridTable5Dark-Accent51">
    <w:name w:val="Grid Table 5 Dark - Accent 5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F7F4" w:themeColor="accent5" w:themeTint="34" w:fill="F2F7F4" w:themeFill="accent5" w:themeFillTint="34"/>
    </w:tblPr>
    <w:tblStylePr w:type="firstRow">
      <w:rPr>
        <w:rFonts w:ascii="Arial" w:hAnsi="Arial"/>
        <w:b/>
        <w:color w:val="FFFFFF"/>
        <w:sz w:val="22"/>
      </w:rPr>
      <w:tblPr/>
      <w:tcPr>
        <w:shd w:val="clear" w:color="C1D9CB" w:themeColor="accent5" w:fill="C1D9CB" w:themeFill="accent5"/>
      </w:tcPr>
    </w:tblStylePr>
    <w:tblStylePr w:type="lastRow">
      <w:rPr>
        <w:rFonts w:ascii="Arial" w:hAnsi="Arial"/>
        <w:b/>
        <w:color w:val="FFFFFF"/>
        <w:sz w:val="22"/>
      </w:rPr>
      <w:tblPr/>
      <w:tcPr>
        <w:tcBorders>
          <w:top w:val="single" w:sz="4" w:space="0" w:color="FFFFFF" w:themeColor="light1"/>
        </w:tcBorders>
        <w:shd w:val="clear" w:color="C1D9CB" w:themeColor="accent5" w:fill="C1D9CB" w:themeFill="accent5"/>
      </w:tcPr>
    </w:tblStylePr>
    <w:tblStylePr w:type="firstCol">
      <w:rPr>
        <w:rFonts w:ascii="Arial" w:hAnsi="Arial"/>
        <w:b/>
        <w:color w:val="FFFFFF"/>
        <w:sz w:val="22"/>
      </w:rPr>
      <w:tblPr/>
      <w:tcPr>
        <w:shd w:val="clear" w:color="C1D9CB" w:themeColor="accent5" w:fill="C1D9CB" w:themeFill="accent5"/>
      </w:tcPr>
    </w:tblStylePr>
    <w:tblStylePr w:type="lastCol">
      <w:rPr>
        <w:rFonts w:ascii="Arial" w:hAnsi="Arial"/>
        <w:b/>
        <w:color w:val="FFFFFF"/>
        <w:sz w:val="22"/>
      </w:rPr>
      <w:tblPr/>
      <w:tcPr>
        <w:shd w:val="clear" w:color="C1D9CB" w:themeColor="accent5" w:fill="C1D9CB" w:themeFill="accent5"/>
      </w:tcPr>
    </w:tblStylePr>
    <w:tblStylePr w:type="band1Vert">
      <w:tblPr/>
      <w:tcPr>
        <w:shd w:val="clear" w:color="E2EDE7" w:themeColor="accent5" w:themeTint="75" w:fill="E2EDE7" w:themeFill="accent5" w:themeFillTint="75"/>
      </w:tcPr>
    </w:tblStylePr>
    <w:tblStylePr w:type="band1Horz">
      <w:tblPr/>
      <w:tcPr>
        <w:shd w:val="clear" w:color="E2EDE7" w:themeColor="accent5" w:themeTint="75" w:fill="E2EDE7" w:themeFill="accent5" w:themeFillTint="75"/>
      </w:tcPr>
    </w:tblStylePr>
  </w:style>
  <w:style w:type="table" w:customStyle="1" w:styleId="GridTable5Dark-Accent61">
    <w:name w:val="Grid Table 5 Dark - Accent 6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2F1EE" w:themeColor="accent6" w:themeTint="34" w:fill="D2F1EE" w:themeFill="accent6" w:themeFillTint="34"/>
    </w:tblPr>
    <w:tblStylePr w:type="firstRow">
      <w:rPr>
        <w:rFonts w:ascii="Arial" w:hAnsi="Arial"/>
        <w:b/>
        <w:color w:val="FFFFFF"/>
        <w:sz w:val="22"/>
      </w:rPr>
      <w:tblPr/>
      <w:tcPr>
        <w:shd w:val="clear" w:color="34ABA2" w:themeColor="accent6" w:fill="34ABA2" w:themeFill="accent6"/>
      </w:tcPr>
    </w:tblStylePr>
    <w:tblStylePr w:type="lastRow">
      <w:rPr>
        <w:rFonts w:ascii="Arial" w:hAnsi="Arial"/>
        <w:b/>
        <w:color w:val="FFFFFF"/>
        <w:sz w:val="22"/>
      </w:rPr>
      <w:tblPr/>
      <w:tcPr>
        <w:tcBorders>
          <w:top w:val="single" w:sz="4" w:space="0" w:color="FFFFFF" w:themeColor="light1"/>
        </w:tcBorders>
        <w:shd w:val="clear" w:color="34ABA2" w:themeColor="accent6" w:fill="34ABA2" w:themeFill="accent6"/>
      </w:tcPr>
    </w:tblStylePr>
    <w:tblStylePr w:type="firstCol">
      <w:rPr>
        <w:rFonts w:ascii="Arial" w:hAnsi="Arial"/>
        <w:b/>
        <w:color w:val="FFFFFF"/>
        <w:sz w:val="22"/>
      </w:rPr>
      <w:tblPr/>
      <w:tcPr>
        <w:shd w:val="clear" w:color="34ABA2" w:themeColor="accent6" w:fill="34ABA2" w:themeFill="accent6"/>
      </w:tcPr>
    </w:tblStylePr>
    <w:tblStylePr w:type="lastCol">
      <w:rPr>
        <w:rFonts w:ascii="Arial" w:hAnsi="Arial"/>
        <w:b/>
        <w:color w:val="FFFFFF"/>
        <w:sz w:val="22"/>
      </w:rPr>
      <w:tblPr/>
      <w:tcPr>
        <w:shd w:val="clear" w:color="34ABA2" w:themeColor="accent6" w:fill="34ABA2" w:themeFill="accent6"/>
      </w:tcPr>
    </w:tblStylePr>
    <w:tblStylePr w:type="band1Vert">
      <w:tblPr/>
      <w:tcPr>
        <w:shd w:val="clear" w:color="99E0DA" w:themeColor="accent6" w:themeTint="75" w:fill="99E0DA" w:themeFill="accent6" w:themeFillTint="75"/>
      </w:tcPr>
    </w:tblStylePr>
    <w:tblStylePr w:type="band1Horz">
      <w:tblPr/>
      <w:tcPr>
        <w:shd w:val="clear" w:color="99E0DA" w:themeColor="accent6" w:themeTint="75" w:fill="99E0DA" w:themeFill="accent6" w:themeFillTint="75"/>
      </w:tcPr>
    </w:tblStylePr>
  </w:style>
  <w:style w:type="table" w:customStyle="1" w:styleId="ListTable1Light-Accent11">
    <w:name w:val="List Table 1 Light - Accent 1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Pr>
    <w:tblStylePr w:type="firstRow">
      <w:rPr>
        <w:b/>
        <w:color w:val="404040"/>
      </w:rPr>
      <w:tblPr/>
      <w:tcPr>
        <w:tcBorders>
          <w:top w:val="none" w:sz="4" w:space="0" w:color="000000"/>
          <w:left w:val="none" w:sz="4" w:space="0" w:color="000000"/>
          <w:bottom w:val="single" w:sz="4" w:space="0" w:color="024F75" w:themeColor="accent1"/>
          <w:right w:val="none" w:sz="4" w:space="0" w:color="000000"/>
        </w:tcBorders>
      </w:tcPr>
    </w:tblStylePr>
    <w:tblStylePr w:type="lastRow">
      <w:rPr>
        <w:b/>
        <w:color w:val="404040"/>
      </w:rPr>
      <w:tblPr/>
      <w:tcPr>
        <w:tcBorders>
          <w:top w:val="single" w:sz="4" w:space="0" w:color="024F7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9EDDFD" w:themeColor="accent1" w:themeTint="40" w:fill="9EDDFD" w:themeFill="accent1" w:themeFillTint="40"/>
      </w:tcPr>
    </w:tblStylePr>
    <w:tblStylePr w:type="band1Horz">
      <w:tblPr/>
      <w:tcPr>
        <w:shd w:val="clear" w:color="9EDDFD" w:themeColor="accent1" w:themeTint="40" w:fill="9EDDFD" w:themeFill="accent1" w:themeFillTint="40"/>
      </w:tcPr>
    </w:tblStylePr>
  </w:style>
  <w:style w:type="table" w:customStyle="1" w:styleId="ListTable1Light-Accent21">
    <w:name w:val="List Table 1 Light - Accent 2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Pr>
    <w:tblStylePr w:type="firstRow">
      <w:rPr>
        <w:b/>
        <w:color w:val="404040"/>
      </w:rPr>
      <w:tblPr/>
      <w:tcPr>
        <w:tcBorders>
          <w:top w:val="none" w:sz="4" w:space="0" w:color="000000"/>
          <w:left w:val="none" w:sz="4" w:space="0" w:color="000000"/>
          <w:bottom w:val="single" w:sz="4" w:space="0" w:color="3592CF" w:themeColor="accent2"/>
          <w:right w:val="none" w:sz="4" w:space="0" w:color="000000"/>
        </w:tcBorders>
      </w:tcPr>
    </w:tblStylePr>
    <w:tblStylePr w:type="lastRow">
      <w:rPr>
        <w:b/>
        <w:color w:val="404040"/>
      </w:rPr>
      <w:tblPr/>
      <w:tcPr>
        <w:tcBorders>
          <w:top w:val="single" w:sz="4" w:space="0" w:color="3592C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CE3F3" w:themeColor="accent2" w:themeTint="40" w:fill="CCE3F3" w:themeFill="accent2" w:themeFillTint="40"/>
      </w:tcPr>
    </w:tblStylePr>
    <w:tblStylePr w:type="band1Horz">
      <w:tblPr/>
      <w:tcPr>
        <w:shd w:val="clear" w:color="CCE3F3" w:themeColor="accent2" w:themeTint="40" w:fill="CCE3F3" w:themeFill="accent2" w:themeFillTint="40"/>
      </w:tcPr>
    </w:tblStylePr>
  </w:style>
  <w:style w:type="table" w:customStyle="1" w:styleId="ListTable1Light-Accent31">
    <w:name w:val="List Table 1 Light - Accent 3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Pr>
    <w:tblStylePr w:type="firstRow">
      <w:rPr>
        <w:b/>
        <w:color w:val="404040"/>
      </w:rPr>
      <w:tblPr/>
      <w:tcPr>
        <w:tcBorders>
          <w:top w:val="none" w:sz="4" w:space="0" w:color="000000"/>
          <w:left w:val="none" w:sz="4" w:space="0" w:color="000000"/>
          <w:bottom w:val="single" w:sz="4" w:space="0" w:color="34ABA2" w:themeColor="accent3"/>
          <w:right w:val="none" w:sz="4" w:space="0" w:color="000000"/>
        </w:tcBorders>
      </w:tcPr>
    </w:tblStylePr>
    <w:tblStylePr w:type="lastRow">
      <w:rPr>
        <w:b/>
        <w:color w:val="404040"/>
      </w:rPr>
      <w:tblPr/>
      <w:tcPr>
        <w:tcBorders>
          <w:top w:val="single" w:sz="4" w:space="0" w:color="34ABA2"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7EEEB" w:themeColor="accent3" w:themeTint="40" w:fill="C7EEEB" w:themeFill="accent3" w:themeFillTint="40"/>
      </w:tcPr>
    </w:tblStylePr>
    <w:tblStylePr w:type="band1Horz">
      <w:tblPr/>
      <w:tcPr>
        <w:shd w:val="clear" w:color="C7EEEB" w:themeColor="accent3" w:themeTint="40" w:fill="C7EEEB" w:themeFill="accent3" w:themeFillTint="40"/>
      </w:tcPr>
    </w:tblStylePr>
  </w:style>
  <w:style w:type="table" w:customStyle="1" w:styleId="ListTable1Light-Accent41">
    <w:name w:val="List Table 1 Light - Accent 4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Pr>
    <w:tblStylePr w:type="firstRow">
      <w:rPr>
        <w:b/>
        <w:color w:val="404040"/>
      </w:rPr>
      <w:tblPr/>
      <w:tcPr>
        <w:tcBorders>
          <w:top w:val="none" w:sz="4" w:space="0" w:color="000000"/>
          <w:left w:val="none" w:sz="4" w:space="0" w:color="000000"/>
          <w:bottom w:val="single" w:sz="4" w:space="0" w:color="66B2CA" w:themeColor="accent4"/>
          <w:right w:val="none" w:sz="4" w:space="0" w:color="000000"/>
        </w:tcBorders>
      </w:tcPr>
    </w:tblStylePr>
    <w:tblStylePr w:type="lastRow">
      <w:rPr>
        <w:b/>
        <w:color w:val="404040"/>
      </w:rPr>
      <w:tblPr/>
      <w:tcPr>
        <w:tcBorders>
          <w:top w:val="single" w:sz="4" w:space="0" w:color="66B2CA"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8EBF1" w:themeColor="accent4" w:themeTint="40" w:fill="D8EBF1" w:themeFill="accent4" w:themeFillTint="40"/>
      </w:tcPr>
    </w:tblStylePr>
    <w:tblStylePr w:type="band1Horz">
      <w:tblPr/>
      <w:tcPr>
        <w:shd w:val="clear" w:color="D8EBF1" w:themeColor="accent4" w:themeTint="40" w:fill="D8EBF1" w:themeFill="accent4" w:themeFillTint="40"/>
      </w:tcPr>
    </w:tblStylePr>
  </w:style>
  <w:style w:type="table" w:customStyle="1" w:styleId="ListTable1Light-Accent51">
    <w:name w:val="List Table 1 Light - Accent 5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Pr>
    <w:tblStylePr w:type="firstRow">
      <w:rPr>
        <w:b/>
        <w:color w:val="404040"/>
      </w:rPr>
      <w:tblPr/>
      <w:tcPr>
        <w:tcBorders>
          <w:top w:val="none" w:sz="4" w:space="0" w:color="000000"/>
          <w:left w:val="none" w:sz="4" w:space="0" w:color="000000"/>
          <w:bottom w:val="single" w:sz="4" w:space="0" w:color="C1D9CB" w:themeColor="accent5"/>
          <w:right w:val="none" w:sz="4" w:space="0" w:color="000000"/>
        </w:tcBorders>
      </w:tcPr>
    </w:tblStylePr>
    <w:tblStylePr w:type="lastRow">
      <w:rPr>
        <w:b/>
        <w:color w:val="404040"/>
      </w:rPr>
      <w:tblPr/>
      <w:tcPr>
        <w:tcBorders>
          <w:top w:val="single" w:sz="4" w:space="0" w:color="C1D9CB"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F5F1" w:themeColor="accent5" w:themeTint="40" w:fill="EFF5F1" w:themeFill="accent5" w:themeFillTint="40"/>
      </w:tcPr>
    </w:tblStylePr>
    <w:tblStylePr w:type="band1Horz">
      <w:tblPr/>
      <w:tcPr>
        <w:shd w:val="clear" w:color="EFF5F1" w:themeColor="accent5" w:themeTint="40" w:fill="EFF5F1" w:themeFill="accent5" w:themeFillTint="40"/>
      </w:tcPr>
    </w:tblStylePr>
  </w:style>
  <w:style w:type="table" w:customStyle="1" w:styleId="ListTable1Light-Accent61">
    <w:name w:val="List Table 1 Light - Accent 6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Pr>
    <w:tblStylePr w:type="firstRow">
      <w:rPr>
        <w:b/>
        <w:color w:val="404040"/>
      </w:rPr>
      <w:tblPr/>
      <w:tcPr>
        <w:tcBorders>
          <w:top w:val="none" w:sz="4" w:space="0" w:color="000000"/>
          <w:left w:val="none" w:sz="4" w:space="0" w:color="000000"/>
          <w:bottom w:val="single" w:sz="4" w:space="0" w:color="34ABA2" w:themeColor="accent6"/>
          <w:right w:val="none" w:sz="4" w:space="0" w:color="000000"/>
        </w:tcBorders>
      </w:tcPr>
    </w:tblStylePr>
    <w:tblStylePr w:type="lastRow">
      <w:rPr>
        <w:b/>
        <w:color w:val="404040"/>
      </w:rPr>
      <w:tblPr/>
      <w:tcPr>
        <w:tcBorders>
          <w:top w:val="single" w:sz="4" w:space="0" w:color="34ABA2"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7EEEB" w:themeColor="accent6" w:themeTint="40" w:fill="C7EEEB" w:themeFill="accent6" w:themeFillTint="40"/>
      </w:tcPr>
    </w:tblStylePr>
    <w:tblStylePr w:type="band1Horz">
      <w:tblPr/>
      <w:tcPr>
        <w:shd w:val="clear" w:color="C7EEEB" w:themeColor="accent6" w:themeTint="40" w:fill="C7EEEB" w:themeFill="accent6" w:themeFillTint="40"/>
      </w:tcPr>
    </w:tblStylePr>
  </w:style>
  <w:style w:type="table" w:customStyle="1" w:styleId="ListTable2-Accent11">
    <w:name w:val="List Table 2 - Accent 1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25B4FB" w:themeColor="accent1" w:themeTint="90"/>
        <w:bottom w:val="single" w:sz="4" w:space="0" w:color="25B4FB" w:themeColor="accent1" w:themeTint="90"/>
        <w:insideH w:val="single" w:sz="4" w:space="0" w:color="25B4FB" w:themeColor="accent1" w:themeTint="90"/>
      </w:tblBorders>
    </w:tblPr>
    <w:tblStylePr w:type="firstRow">
      <w:rPr>
        <w:rFonts w:ascii="Arial" w:hAnsi="Arial"/>
        <w:b/>
        <w:color w:val="404040"/>
        <w:sz w:val="22"/>
      </w:rPr>
      <w:tblPr/>
      <w:tcPr>
        <w:tcBorders>
          <w:top w:val="single" w:sz="4" w:space="0" w:color="25B4FB" w:themeColor="accent1" w:themeTint="90"/>
          <w:left w:val="none" w:sz="4" w:space="0" w:color="000000"/>
          <w:bottom w:val="single" w:sz="4" w:space="0" w:color="25B4FB" w:themeColor="accent1" w:themeTint="90"/>
          <w:right w:val="none" w:sz="4" w:space="0" w:color="000000"/>
        </w:tcBorders>
      </w:tcPr>
    </w:tblStylePr>
    <w:tblStylePr w:type="lastRow">
      <w:rPr>
        <w:rFonts w:ascii="Arial" w:hAnsi="Arial"/>
        <w:b/>
        <w:color w:val="404040"/>
        <w:sz w:val="22"/>
      </w:rPr>
      <w:tblPr/>
      <w:tcPr>
        <w:tcBorders>
          <w:top w:val="single" w:sz="4" w:space="0" w:color="25B4FB" w:themeColor="accent1" w:themeTint="90"/>
          <w:left w:val="none" w:sz="4" w:space="0" w:color="000000"/>
          <w:bottom w:val="single" w:sz="4" w:space="0" w:color="25B4FB"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9EDDFD" w:themeColor="accent1" w:themeTint="40" w:fill="9EDDFD" w:themeFill="accent1" w:themeFillTint="40"/>
      </w:tcPr>
    </w:tblStylePr>
    <w:tblStylePr w:type="band1Horz">
      <w:rPr>
        <w:rFonts w:ascii="Arial" w:hAnsi="Arial"/>
        <w:color w:val="404040"/>
        <w:sz w:val="22"/>
      </w:rPr>
      <w:tblPr/>
      <w:tcPr>
        <w:shd w:val="clear" w:color="9EDDFD" w:themeColor="accent1" w:themeTint="40" w:fill="9EDDFD" w:themeFill="accent1" w:themeFillTint="40"/>
      </w:tcPr>
    </w:tblStylePr>
  </w:style>
  <w:style w:type="table" w:customStyle="1" w:styleId="ListTable2-Accent21">
    <w:name w:val="List Table 2 - Accent 2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8CC1E4" w:themeColor="accent2" w:themeTint="90"/>
        <w:bottom w:val="single" w:sz="4" w:space="0" w:color="8CC1E4" w:themeColor="accent2" w:themeTint="90"/>
        <w:insideH w:val="single" w:sz="4" w:space="0" w:color="8CC1E4" w:themeColor="accent2" w:themeTint="90"/>
      </w:tblBorders>
    </w:tblPr>
    <w:tblStylePr w:type="firstRow">
      <w:rPr>
        <w:rFonts w:ascii="Arial" w:hAnsi="Arial"/>
        <w:b/>
        <w:color w:val="404040"/>
        <w:sz w:val="22"/>
      </w:rPr>
      <w:tblPr/>
      <w:tcPr>
        <w:tcBorders>
          <w:top w:val="single" w:sz="4" w:space="0" w:color="8CC1E4" w:themeColor="accent2" w:themeTint="90"/>
          <w:left w:val="none" w:sz="4" w:space="0" w:color="000000"/>
          <w:bottom w:val="single" w:sz="4" w:space="0" w:color="8CC1E4" w:themeColor="accent2" w:themeTint="90"/>
          <w:right w:val="none" w:sz="4" w:space="0" w:color="000000"/>
        </w:tcBorders>
      </w:tcPr>
    </w:tblStylePr>
    <w:tblStylePr w:type="lastRow">
      <w:rPr>
        <w:rFonts w:ascii="Arial" w:hAnsi="Arial"/>
        <w:b/>
        <w:color w:val="404040"/>
        <w:sz w:val="22"/>
      </w:rPr>
      <w:tblPr/>
      <w:tcPr>
        <w:tcBorders>
          <w:top w:val="single" w:sz="4" w:space="0" w:color="8CC1E4" w:themeColor="accent2" w:themeTint="90"/>
          <w:left w:val="none" w:sz="4" w:space="0" w:color="000000"/>
          <w:bottom w:val="single" w:sz="4" w:space="0" w:color="8CC1E4"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CE3F3" w:themeColor="accent2" w:themeTint="40" w:fill="CCE3F3" w:themeFill="accent2" w:themeFillTint="40"/>
      </w:tcPr>
    </w:tblStylePr>
    <w:tblStylePr w:type="band1Horz">
      <w:rPr>
        <w:rFonts w:ascii="Arial" w:hAnsi="Arial"/>
        <w:color w:val="404040"/>
        <w:sz w:val="22"/>
      </w:rPr>
      <w:tblPr/>
      <w:tcPr>
        <w:shd w:val="clear" w:color="CCE3F3" w:themeColor="accent2" w:themeTint="40" w:fill="CCE3F3" w:themeFill="accent2" w:themeFillTint="40"/>
      </w:tcPr>
    </w:tblStylePr>
  </w:style>
  <w:style w:type="table" w:customStyle="1" w:styleId="ListTable2-Accent31">
    <w:name w:val="List Table 2 - Accent 3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82D9D2" w:themeColor="accent3" w:themeTint="90"/>
        <w:bottom w:val="single" w:sz="4" w:space="0" w:color="82D9D2" w:themeColor="accent3" w:themeTint="90"/>
        <w:insideH w:val="single" w:sz="4" w:space="0" w:color="82D9D2" w:themeColor="accent3" w:themeTint="90"/>
      </w:tblBorders>
    </w:tblPr>
    <w:tblStylePr w:type="firstRow">
      <w:rPr>
        <w:rFonts w:ascii="Arial" w:hAnsi="Arial"/>
        <w:b/>
        <w:color w:val="404040"/>
        <w:sz w:val="22"/>
      </w:rPr>
      <w:tblPr/>
      <w:tcPr>
        <w:tcBorders>
          <w:top w:val="single" w:sz="4" w:space="0" w:color="82D9D2" w:themeColor="accent3" w:themeTint="90"/>
          <w:left w:val="none" w:sz="4" w:space="0" w:color="000000"/>
          <w:bottom w:val="single" w:sz="4" w:space="0" w:color="82D9D2" w:themeColor="accent3" w:themeTint="90"/>
          <w:right w:val="none" w:sz="4" w:space="0" w:color="000000"/>
        </w:tcBorders>
      </w:tcPr>
    </w:tblStylePr>
    <w:tblStylePr w:type="lastRow">
      <w:rPr>
        <w:rFonts w:ascii="Arial" w:hAnsi="Arial"/>
        <w:b/>
        <w:color w:val="404040"/>
        <w:sz w:val="22"/>
      </w:rPr>
      <w:tblPr/>
      <w:tcPr>
        <w:tcBorders>
          <w:top w:val="single" w:sz="4" w:space="0" w:color="82D9D2" w:themeColor="accent3" w:themeTint="90"/>
          <w:left w:val="none" w:sz="4" w:space="0" w:color="000000"/>
          <w:bottom w:val="single" w:sz="4" w:space="0" w:color="82D9D2"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7EEEB" w:themeColor="accent3" w:themeTint="40" w:fill="C7EEEB" w:themeFill="accent3" w:themeFillTint="40"/>
      </w:tcPr>
    </w:tblStylePr>
    <w:tblStylePr w:type="band1Horz">
      <w:rPr>
        <w:rFonts w:ascii="Arial" w:hAnsi="Arial"/>
        <w:color w:val="404040"/>
        <w:sz w:val="22"/>
      </w:rPr>
      <w:tblPr/>
      <w:tcPr>
        <w:shd w:val="clear" w:color="C7EEEB" w:themeColor="accent3" w:themeTint="40" w:fill="C7EEEB" w:themeFill="accent3" w:themeFillTint="40"/>
      </w:tcPr>
    </w:tblStylePr>
  </w:style>
  <w:style w:type="table" w:customStyle="1" w:styleId="ListTable2-Accent41">
    <w:name w:val="List Table 2 - Accent 4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A8D3E1" w:themeColor="accent4" w:themeTint="90"/>
        <w:bottom w:val="single" w:sz="4" w:space="0" w:color="A8D3E1" w:themeColor="accent4" w:themeTint="90"/>
        <w:insideH w:val="single" w:sz="4" w:space="0" w:color="A8D3E1" w:themeColor="accent4" w:themeTint="90"/>
      </w:tblBorders>
    </w:tblPr>
    <w:tblStylePr w:type="firstRow">
      <w:rPr>
        <w:rFonts w:ascii="Arial" w:hAnsi="Arial"/>
        <w:b/>
        <w:color w:val="404040"/>
        <w:sz w:val="22"/>
      </w:rPr>
      <w:tblPr/>
      <w:tcPr>
        <w:tcBorders>
          <w:top w:val="single" w:sz="4" w:space="0" w:color="A8D3E1" w:themeColor="accent4" w:themeTint="90"/>
          <w:left w:val="none" w:sz="4" w:space="0" w:color="000000"/>
          <w:bottom w:val="single" w:sz="4" w:space="0" w:color="A8D3E1" w:themeColor="accent4" w:themeTint="90"/>
          <w:right w:val="none" w:sz="4" w:space="0" w:color="000000"/>
        </w:tcBorders>
      </w:tcPr>
    </w:tblStylePr>
    <w:tblStylePr w:type="lastRow">
      <w:rPr>
        <w:rFonts w:ascii="Arial" w:hAnsi="Arial"/>
        <w:b/>
        <w:color w:val="404040"/>
        <w:sz w:val="22"/>
      </w:rPr>
      <w:tblPr/>
      <w:tcPr>
        <w:tcBorders>
          <w:top w:val="single" w:sz="4" w:space="0" w:color="A8D3E1" w:themeColor="accent4" w:themeTint="90"/>
          <w:left w:val="none" w:sz="4" w:space="0" w:color="000000"/>
          <w:bottom w:val="single" w:sz="4" w:space="0" w:color="A8D3E1"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8EBF1" w:themeColor="accent4" w:themeTint="40" w:fill="D8EBF1" w:themeFill="accent4" w:themeFillTint="40"/>
      </w:tcPr>
    </w:tblStylePr>
    <w:tblStylePr w:type="band1Horz">
      <w:rPr>
        <w:rFonts w:ascii="Arial" w:hAnsi="Arial"/>
        <w:color w:val="404040"/>
        <w:sz w:val="22"/>
      </w:rPr>
      <w:tblPr/>
      <w:tcPr>
        <w:shd w:val="clear" w:color="D8EBF1" w:themeColor="accent4" w:themeTint="40" w:fill="D8EBF1" w:themeFill="accent4" w:themeFillTint="40"/>
      </w:tcPr>
    </w:tblStylePr>
  </w:style>
  <w:style w:type="table" w:customStyle="1" w:styleId="ListTable2-Accent51">
    <w:name w:val="List Table 2 - Accent 5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DBE9E1" w:themeColor="accent5" w:themeTint="90"/>
        <w:bottom w:val="single" w:sz="4" w:space="0" w:color="DBE9E1" w:themeColor="accent5" w:themeTint="90"/>
        <w:insideH w:val="single" w:sz="4" w:space="0" w:color="DBE9E1" w:themeColor="accent5" w:themeTint="90"/>
      </w:tblBorders>
    </w:tblPr>
    <w:tblStylePr w:type="firstRow">
      <w:rPr>
        <w:rFonts w:ascii="Arial" w:hAnsi="Arial"/>
        <w:b/>
        <w:color w:val="404040"/>
        <w:sz w:val="22"/>
      </w:rPr>
      <w:tblPr/>
      <w:tcPr>
        <w:tcBorders>
          <w:top w:val="single" w:sz="4" w:space="0" w:color="DBE9E1" w:themeColor="accent5" w:themeTint="90"/>
          <w:left w:val="none" w:sz="4" w:space="0" w:color="000000"/>
          <w:bottom w:val="single" w:sz="4" w:space="0" w:color="DBE9E1" w:themeColor="accent5" w:themeTint="90"/>
          <w:right w:val="none" w:sz="4" w:space="0" w:color="000000"/>
        </w:tcBorders>
      </w:tcPr>
    </w:tblStylePr>
    <w:tblStylePr w:type="lastRow">
      <w:rPr>
        <w:rFonts w:ascii="Arial" w:hAnsi="Arial"/>
        <w:b/>
        <w:color w:val="404040"/>
        <w:sz w:val="22"/>
      </w:rPr>
      <w:tblPr/>
      <w:tcPr>
        <w:tcBorders>
          <w:top w:val="single" w:sz="4" w:space="0" w:color="DBE9E1" w:themeColor="accent5" w:themeTint="90"/>
          <w:left w:val="none" w:sz="4" w:space="0" w:color="000000"/>
          <w:bottom w:val="single" w:sz="4" w:space="0" w:color="DBE9E1"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F5F1" w:themeColor="accent5" w:themeTint="40" w:fill="EFF5F1" w:themeFill="accent5" w:themeFillTint="40"/>
      </w:tcPr>
    </w:tblStylePr>
    <w:tblStylePr w:type="band1Horz">
      <w:rPr>
        <w:rFonts w:ascii="Arial" w:hAnsi="Arial"/>
        <w:color w:val="404040"/>
        <w:sz w:val="22"/>
      </w:rPr>
      <w:tblPr/>
      <w:tcPr>
        <w:shd w:val="clear" w:color="EFF5F1" w:themeColor="accent5" w:themeTint="40" w:fill="EFF5F1" w:themeFill="accent5" w:themeFillTint="40"/>
      </w:tcPr>
    </w:tblStylePr>
  </w:style>
  <w:style w:type="table" w:customStyle="1" w:styleId="ListTable2-Accent61">
    <w:name w:val="List Table 2 - Accent 6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82D9D2" w:themeColor="accent6" w:themeTint="90"/>
        <w:bottom w:val="single" w:sz="4" w:space="0" w:color="82D9D2" w:themeColor="accent6" w:themeTint="90"/>
        <w:insideH w:val="single" w:sz="4" w:space="0" w:color="82D9D2" w:themeColor="accent6" w:themeTint="90"/>
      </w:tblBorders>
    </w:tblPr>
    <w:tblStylePr w:type="firstRow">
      <w:rPr>
        <w:rFonts w:ascii="Arial" w:hAnsi="Arial"/>
        <w:b/>
        <w:color w:val="404040"/>
        <w:sz w:val="22"/>
      </w:rPr>
      <w:tblPr/>
      <w:tcPr>
        <w:tcBorders>
          <w:top w:val="single" w:sz="4" w:space="0" w:color="82D9D2" w:themeColor="accent6" w:themeTint="90"/>
          <w:left w:val="none" w:sz="4" w:space="0" w:color="000000"/>
          <w:bottom w:val="single" w:sz="4" w:space="0" w:color="82D9D2" w:themeColor="accent6" w:themeTint="90"/>
          <w:right w:val="none" w:sz="4" w:space="0" w:color="000000"/>
        </w:tcBorders>
      </w:tcPr>
    </w:tblStylePr>
    <w:tblStylePr w:type="lastRow">
      <w:rPr>
        <w:rFonts w:ascii="Arial" w:hAnsi="Arial"/>
        <w:b/>
        <w:color w:val="404040"/>
        <w:sz w:val="22"/>
      </w:rPr>
      <w:tblPr/>
      <w:tcPr>
        <w:tcBorders>
          <w:top w:val="single" w:sz="4" w:space="0" w:color="82D9D2" w:themeColor="accent6" w:themeTint="90"/>
          <w:left w:val="none" w:sz="4" w:space="0" w:color="000000"/>
          <w:bottom w:val="single" w:sz="4" w:space="0" w:color="82D9D2"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7EEEB" w:themeColor="accent6" w:themeTint="40" w:fill="C7EEEB" w:themeFill="accent6" w:themeFillTint="40"/>
      </w:tcPr>
    </w:tblStylePr>
    <w:tblStylePr w:type="band1Horz">
      <w:rPr>
        <w:rFonts w:ascii="Arial" w:hAnsi="Arial"/>
        <w:color w:val="404040"/>
        <w:sz w:val="22"/>
      </w:rPr>
      <w:tblPr/>
      <w:tcPr>
        <w:shd w:val="clear" w:color="C7EEEB" w:themeColor="accent6" w:themeTint="40" w:fill="C7EEEB" w:themeFill="accent6" w:themeFillTint="40"/>
      </w:tcPr>
    </w:tblStylePr>
  </w:style>
  <w:style w:type="table" w:customStyle="1" w:styleId="ListTable3-Accent11">
    <w:name w:val="List Table 3 - Accent 1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024F75" w:themeColor="accent1"/>
        <w:left w:val="single" w:sz="4" w:space="0" w:color="024F75" w:themeColor="accent1"/>
        <w:bottom w:val="single" w:sz="4" w:space="0" w:color="024F75" w:themeColor="accent1"/>
        <w:right w:val="single" w:sz="4" w:space="0" w:color="024F75" w:themeColor="accent1"/>
      </w:tblBorders>
    </w:tblPr>
    <w:tblStylePr w:type="firstRow">
      <w:rPr>
        <w:rFonts w:ascii="Arial" w:hAnsi="Arial"/>
        <w:b/>
        <w:color w:val="FFFFFF"/>
        <w:sz w:val="22"/>
      </w:rPr>
      <w:tblPr/>
      <w:tcPr>
        <w:shd w:val="clear" w:color="024F75" w:themeColor="accent1" w:fill="024F7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24F75" w:themeColor="accent1"/>
          <w:right w:val="single" w:sz="4" w:space="0" w:color="024F75" w:themeColor="accent1"/>
        </w:tcBorders>
      </w:tcPr>
    </w:tblStylePr>
    <w:tblStylePr w:type="band1Horz">
      <w:rPr>
        <w:rFonts w:ascii="Arial" w:hAnsi="Arial"/>
        <w:color w:val="404040"/>
        <w:sz w:val="22"/>
      </w:rPr>
      <w:tblPr/>
      <w:tcPr>
        <w:tcBorders>
          <w:top w:val="single" w:sz="4" w:space="0" w:color="024F75" w:themeColor="accent1"/>
          <w:bottom w:val="single" w:sz="4" w:space="0" w:color="024F75" w:themeColor="accent1"/>
        </w:tcBorders>
      </w:tcPr>
    </w:tblStylePr>
  </w:style>
  <w:style w:type="table" w:customStyle="1" w:styleId="ListTable3-Accent21">
    <w:name w:val="List Table 3 - Accent 2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87BDE2" w:themeColor="accent2" w:themeTint="97"/>
        <w:left w:val="single" w:sz="4" w:space="0" w:color="87BDE2" w:themeColor="accent2" w:themeTint="97"/>
        <w:bottom w:val="single" w:sz="4" w:space="0" w:color="87BDE2" w:themeColor="accent2" w:themeTint="97"/>
        <w:right w:val="single" w:sz="4" w:space="0" w:color="87BDE2" w:themeColor="accent2" w:themeTint="97"/>
      </w:tblBorders>
    </w:tblPr>
    <w:tblStylePr w:type="firstRow">
      <w:rPr>
        <w:rFonts w:ascii="Arial" w:hAnsi="Arial"/>
        <w:b/>
        <w:color w:val="FFFFFF"/>
        <w:sz w:val="22"/>
      </w:rPr>
      <w:tblPr/>
      <w:tcPr>
        <w:shd w:val="clear" w:color="87BDE2" w:themeColor="accent2" w:themeTint="97" w:fill="87BDE2"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7BDE2" w:themeColor="accent2" w:themeTint="97"/>
          <w:right w:val="single" w:sz="4" w:space="0" w:color="87BDE2" w:themeColor="accent2" w:themeTint="97"/>
        </w:tcBorders>
      </w:tcPr>
    </w:tblStylePr>
    <w:tblStylePr w:type="band1Horz">
      <w:rPr>
        <w:rFonts w:ascii="Arial" w:hAnsi="Arial"/>
        <w:color w:val="404040"/>
        <w:sz w:val="22"/>
      </w:rPr>
      <w:tblPr/>
      <w:tcPr>
        <w:tcBorders>
          <w:top w:val="single" w:sz="4" w:space="0" w:color="87BDE2" w:themeColor="accent2" w:themeTint="97"/>
          <w:bottom w:val="single" w:sz="4" w:space="0" w:color="87BDE2" w:themeColor="accent2" w:themeTint="97"/>
        </w:tcBorders>
      </w:tcPr>
    </w:tblStylePr>
  </w:style>
  <w:style w:type="table" w:customStyle="1" w:styleId="ListTable3-Accent31">
    <w:name w:val="List Table 3 - Accent 3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7BD7CF" w:themeColor="accent3" w:themeTint="98"/>
        <w:left w:val="single" w:sz="4" w:space="0" w:color="7BD7CF" w:themeColor="accent3" w:themeTint="98"/>
        <w:bottom w:val="single" w:sz="4" w:space="0" w:color="7BD7CF" w:themeColor="accent3" w:themeTint="98"/>
        <w:right w:val="single" w:sz="4" w:space="0" w:color="7BD7CF" w:themeColor="accent3" w:themeTint="98"/>
      </w:tblBorders>
    </w:tblPr>
    <w:tblStylePr w:type="firstRow">
      <w:rPr>
        <w:rFonts w:ascii="Arial" w:hAnsi="Arial"/>
        <w:b/>
        <w:color w:val="FFFFFF"/>
        <w:sz w:val="22"/>
      </w:rPr>
      <w:tblPr/>
      <w:tcPr>
        <w:shd w:val="clear" w:color="7BD7CF" w:themeColor="accent3" w:themeTint="98" w:fill="7BD7CF"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7BD7CF" w:themeColor="accent3" w:themeTint="98"/>
          <w:right w:val="single" w:sz="4" w:space="0" w:color="7BD7CF" w:themeColor="accent3" w:themeTint="98"/>
        </w:tcBorders>
      </w:tcPr>
    </w:tblStylePr>
    <w:tblStylePr w:type="band1Horz">
      <w:rPr>
        <w:rFonts w:ascii="Arial" w:hAnsi="Arial"/>
        <w:color w:val="404040"/>
        <w:sz w:val="22"/>
      </w:rPr>
      <w:tblPr/>
      <w:tcPr>
        <w:tcBorders>
          <w:top w:val="single" w:sz="4" w:space="0" w:color="7BD7CF" w:themeColor="accent3" w:themeTint="98"/>
          <w:bottom w:val="single" w:sz="4" w:space="0" w:color="7BD7CF" w:themeColor="accent3" w:themeTint="98"/>
        </w:tcBorders>
      </w:tcPr>
    </w:tblStylePr>
  </w:style>
  <w:style w:type="table" w:customStyle="1" w:styleId="ListTable3-Accent41">
    <w:name w:val="List Table 3 - Accent 4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A2D0DF" w:themeColor="accent4" w:themeTint="9A"/>
        <w:left w:val="single" w:sz="4" w:space="0" w:color="A2D0DF" w:themeColor="accent4" w:themeTint="9A"/>
        <w:bottom w:val="single" w:sz="4" w:space="0" w:color="A2D0DF" w:themeColor="accent4" w:themeTint="9A"/>
        <w:right w:val="single" w:sz="4" w:space="0" w:color="A2D0DF" w:themeColor="accent4" w:themeTint="9A"/>
      </w:tblBorders>
    </w:tblPr>
    <w:tblStylePr w:type="firstRow">
      <w:rPr>
        <w:rFonts w:ascii="Arial" w:hAnsi="Arial"/>
        <w:b/>
        <w:color w:val="FFFFFF"/>
        <w:sz w:val="22"/>
      </w:rPr>
      <w:tblPr/>
      <w:tcPr>
        <w:shd w:val="clear" w:color="A2D0DF" w:themeColor="accent4" w:themeTint="9A" w:fill="A2D0DF"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2D0DF" w:themeColor="accent4" w:themeTint="9A"/>
          <w:right w:val="single" w:sz="4" w:space="0" w:color="A2D0DF" w:themeColor="accent4" w:themeTint="9A"/>
        </w:tcBorders>
      </w:tcPr>
    </w:tblStylePr>
    <w:tblStylePr w:type="band1Horz">
      <w:rPr>
        <w:rFonts w:ascii="Arial" w:hAnsi="Arial"/>
        <w:color w:val="404040"/>
        <w:sz w:val="22"/>
      </w:rPr>
      <w:tblPr/>
      <w:tcPr>
        <w:tcBorders>
          <w:top w:val="single" w:sz="4" w:space="0" w:color="A2D0DF" w:themeColor="accent4" w:themeTint="9A"/>
          <w:bottom w:val="single" w:sz="4" w:space="0" w:color="A2D0DF" w:themeColor="accent4" w:themeTint="9A"/>
        </w:tcBorders>
      </w:tcPr>
    </w:tblStylePr>
  </w:style>
  <w:style w:type="table" w:customStyle="1" w:styleId="ListTable3-Accent51">
    <w:name w:val="List Table 3 - Accent 5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D9E8DF" w:themeColor="accent5" w:themeTint="9A"/>
        <w:left w:val="single" w:sz="4" w:space="0" w:color="D9E8DF" w:themeColor="accent5" w:themeTint="9A"/>
        <w:bottom w:val="single" w:sz="4" w:space="0" w:color="D9E8DF" w:themeColor="accent5" w:themeTint="9A"/>
        <w:right w:val="single" w:sz="4" w:space="0" w:color="D9E8DF" w:themeColor="accent5" w:themeTint="9A"/>
      </w:tblBorders>
    </w:tblPr>
    <w:tblStylePr w:type="firstRow">
      <w:rPr>
        <w:rFonts w:ascii="Arial" w:hAnsi="Arial"/>
        <w:b/>
        <w:color w:val="FFFFFF"/>
        <w:sz w:val="22"/>
      </w:rPr>
      <w:tblPr/>
      <w:tcPr>
        <w:shd w:val="clear" w:color="D9E8DF" w:themeColor="accent5" w:themeTint="9A" w:fill="D9E8D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E8DF" w:themeColor="accent5" w:themeTint="9A"/>
          <w:right w:val="single" w:sz="4" w:space="0" w:color="D9E8DF" w:themeColor="accent5" w:themeTint="9A"/>
        </w:tcBorders>
      </w:tcPr>
    </w:tblStylePr>
    <w:tblStylePr w:type="band1Horz">
      <w:rPr>
        <w:rFonts w:ascii="Arial" w:hAnsi="Arial"/>
        <w:color w:val="404040"/>
        <w:sz w:val="22"/>
      </w:rPr>
      <w:tblPr/>
      <w:tcPr>
        <w:tcBorders>
          <w:top w:val="single" w:sz="4" w:space="0" w:color="D9E8DF" w:themeColor="accent5" w:themeTint="9A"/>
          <w:bottom w:val="single" w:sz="4" w:space="0" w:color="D9E8DF" w:themeColor="accent5" w:themeTint="9A"/>
        </w:tcBorders>
      </w:tcPr>
    </w:tblStylePr>
  </w:style>
  <w:style w:type="table" w:customStyle="1" w:styleId="ListTable3-Accent61">
    <w:name w:val="List Table 3 - Accent 6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7BD7CF" w:themeColor="accent6" w:themeTint="98"/>
        <w:left w:val="single" w:sz="4" w:space="0" w:color="7BD7CF" w:themeColor="accent6" w:themeTint="98"/>
        <w:bottom w:val="single" w:sz="4" w:space="0" w:color="7BD7CF" w:themeColor="accent6" w:themeTint="98"/>
        <w:right w:val="single" w:sz="4" w:space="0" w:color="7BD7CF" w:themeColor="accent6" w:themeTint="98"/>
      </w:tblBorders>
    </w:tblPr>
    <w:tblStylePr w:type="firstRow">
      <w:rPr>
        <w:rFonts w:ascii="Arial" w:hAnsi="Arial"/>
        <w:b/>
        <w:color w:val="FFFFFF"/>
        <w:sz w:val="22"/>
      </w:rPr>
      <w:tblPr/>
      <w:tcPr>
        <w:shd w:val="clear" w:color="7BD7CF" w:themeColor="accent6" w:themeTint="98" w:fill="7BD7C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7BD7CF" w:themeColor="accent6" w:themeTint="98"/>
          <w:right w:val="single" w:sz="4" w:space="0" w:color="7BD7CF" w:themeColor="accent6" w:themeTint="98"/>
        </w:tcBorders>
      </w:tcPr>
    </w:tblStylePr>
    <w:tblStylePr w:type="band1Horz">
      <w:rPr>
        <w:rFonts w:ascii="Arial" w:hAnsi="Arial"/>
        <w:color w:val="404040"/>
        <w:sz w:val="22"/>
      </w:rPr>
      <w:tblPr/>
      <w:tcPr>
        <w:tcBorders>
          <w:top w:val="single" w:sz="4" w:space="0" w:color="7BD7CF" w:themeColor="accent6" w:themeTint="98"/>
          <w:bottom w:val="single" w:sz="4" w:space="0" w:color="7BD7CF" w:themeColor="accent6" w:themeTint="98"/>
        </w:tcBorders>
      </w:tcPr>
    </w:tblStylePr>
  </w:style>
  <w:style w:type="table" w:customStyle="1" w:styleId="ListTable4-Accent11">
    <w:name w:val="List Table 4 - Accent 1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25B4FB" w:themeColor="accent1" w:themeTint="90"/>
        <w:left w:val="single" w:sz="4" w:space="0" w:color="25B4FB" w:themeColor="accent1" w:themeTint="90"/>
        <w:bottom w:val="single" w:sz="4" w:space="0" w:color="25B4FB" w:themeColor="accent1" w:themeTint="90"/>
        <w:right w:val="single" w:sz="4" w:space="0" w:color="25B4FB" w:themeColor="accent1" w:themeTint="90"/>
        <w:insideH w:val="single" w:sz="4" w:space="0" w:color="25B4FB" w:themeColor="accent1" w:themeTint="90"/>
      </w:tblBorders>
    </w:tblPr>
    <w:tblStylePr w:type="firstRow">
      <w:rPr>
        <w:rFonts w:ascii="Arial" w:hAnsi="Arial"/>
        <w:b/>
        <w:color w:val="FFFFFF"/>
        <w:sz w:val="22"/>
      </w:rPr>
      <w:tblPr/>
      <w:tcPr>
        <w:shd w:val="clear" w:color="024F75" w:themeColor="accent1" w:fill="024F7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9EDDFD" w:themeColor="accent1" w:themeTint="40" w:fill="9EDDFD" w:themeFill="accent1" w:themeFillTint="40"/>
      </w:tcPr>
    </w:tblStylePr>
    <w:tblStylePr w:type="band1Horz">
      <w:rPr>
        <w:rFonts w:ascii="Arial" w:hAnsi="Arial"/>
        <w:color w:val="404040"/>
        <w:sz w:val="22"/>
      </w:rPr>
      <w:tblPr/>
      <w:tcPr>
        <w:shd w:val="clear" w:color="9EDDFD" w:themeColor="accent1" w:themeTint="40" w:fill="9EDDFD" w:themeFill="accent1" w:themeFillTint="40"/>
      </w:tcPr>
    </w:tblStylePr>
  </w:style>
  <w:style w:type="table" w:customStyle="1" w:styleId="ListTable4-Accent21">
    <w:name w:val="List Table 4 - Accent 2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8CC1E4" w:themeColor="accent2" w:themeTint="90"/>
        <w:left w:val="single" w:sz="4" w:space="0" w:color="8CC1E4" w:themeColor="accent2" w:themeTint="90"/>
        <w:bottom w:val="single" w:sz="4" w:space="0" w:color="8CC1E4" w:themeColor="accent2" w:themeTint="90"/>
        <w:right w:val="single" w:sz="4" w:space="0" w:color="8CC1E4" w:themeColor="accent2" w:themeTint="90"/>
        <w:insideH w:val="single" w:sz="4" w:space="0" w:color="8CC1E4" w:themeColor="accent2" w:themeTint="90"/>
      </w:tblBorders>
    </w:tblPr>
    <w:tblStylePr w:type="firstRow">
      <w:rPr>
        <w:rFonts w:ascii="Arial" w:hAnsi="Arial"/>
        <w:b/>
        <w:color w:val="FFFFFF"/>
        <w:sz w:val="22"/>
      </w:rPr>
      <w:tblPr/>
      <w:tcPr>
        <w:shd w:val="clear" w:color="3592CF" w:themeColor="accent2" w:fill="3592C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E3F3" w:themeColor="accent2" w:themeTint="40" w:fill="CCE3F3" w:themeFill="accent2" w:themeFillTint="40"/>
      </w:tcPr>
    </w:tblStylePr>
    <w:tblStylePr w:type="band1Horz">
      <w:rPr>
        <w:rFonts w:ascii="Arial" w:hAnsi="Arial"/>
        <w:color w:val="404040"/>
        <w:sz w:val="22"/>
      </w:rPr>
      <w:tblPr/>
      <w:tcPr>
        <w:shd w:val="clear" w:color="CCE3F3" w:themeColor="accent2" w:themeTint="40" w:fill="CCE3F3" w:themeFill="accent2" w:themeFillTint="40"/>
      </w:tcPr>
    </w:tblStylePr>
  </w:style>
  <w:style w:type="table" w:customStyle="1" w:styleId="ListTable4-Accent31">
    <w:name w:val="List Table 4 - Accent 3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82D9D2" w:themeColor="accent3" w:themeTint="90"/>
        <w:left w:val="single" w:sz="4" w:space="0" w:color="82D9D2" w:themeColor="accent3" w:themeTint="90"/>
        <w:bottom w:val="single" w:sz="4" w:space="0" w:color="82D9D2" w:themeColor="accent3" w:themeTint="90"/>
        <w:right w:val="single" w:sz="4" w:space="0" w:color="82D9D2" w:themeColor="accent3" w:themeTint="90"/>
        <w:insideH w:val="single" w:sz="4" w:space="0" w:color="82D9D2" w:themeColor="accent3" w:themeTint="90"/>
      </w:tblBorders>
    </w:tblPr>
    <w:tblStylePr w:type="firstRow">
      <w:rPr>
        <w:rFonts w:ascii="Arial" w:hAnsi="Arial"/>
        <w:b/>
        <w:color w:val="FFFFFF"/>
        <w:sz w:val="22"/>
      </w:rPr>
      <w:tblPr/>
      <w:tcPr>
        <w:shd w:val="clear" w:color="34ABA2" w:themeColor="accent3" w:fill="34ABA2"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7EEEB" w:themeColor="accent3" w:themeTint="40" w:fill="C7EEEB" w:themeFill="accent3" w:themeFillTint="40"/>
      </w:tcPr>
    </w:tblStylePr>
    <w:tblStylePr w:type="band1Horz">
      <w:rPr>
        <w:rFonts w:ascii="Arial" w:hAnsi="Arial"/>
        <w:color w:val="404040"/>
        <w:sz w:val="22"/>
      </w:rPr>
      <w:tblPr/>
      <w:tcPr>
        <w:shd w:val="clear" w:color="C7EEEB" w:themeColor="accent3" w:themeTint="40" w:fill="C7EEEB" w:themeFill="accent3" w:themeFillTint="40"/>
      </w:tcPr>
    </w:tblStylePr>
  </w:style>
  <w:style w:type="table" w:customStyle="1" w:styleId="ListTable4-Accent41">
    <w:name w:val="List Table 4 - Accent 4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A8D3E1" w:themeColor="accent4" w:themeTint="90"/>
        <w:left w:val="single" w:sz="4" w:space="0" w:color="A8D3E1" w:themeColor="accent4" w:themeTint="90"/>
        <w:bottom w:val="single" w:sz="4" w:space="0" w:color="A8D3E1" w:themeColor="accent4" w:themeTint="90"/>
        <w:right w:val="single" w:sz="4" w:space="0" w:color="A8D3E1" w:themeColor="accent4" w:themeTint="90"/>
        <w:insideH w:val="single" w:sz="4" w:space="0" w:color="A8D3E1" w:themeColor="accent4" w:themeTint="90"/>
      </w:tblBorders>
    </w:tblPr>
    <w:tblStylePr w:type="firstRow">
      <w:rPr>
        <w:rFonts w:ascii="Arial" w:hAnsi="Arial"/>
        <w:b/>
        <w:color w:val="FFFFFF"/>
        <w:sz w:val="22"/>
      </w:rPr>
      <w:tblPr/>
      <w:tcPr>
        <w:shd w:val="clear" w:color="66B2CA" w:themeColor="accent4" w:fill="66B2CA"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BF1" w:themeColor="accent4" w:themeTint="40" w:fill="D8EBF1" w:themeFill="accent4" w:themeFillTint="40"/>
      </w:tcPr>
    </w:tblStylePr>
    <w:tblStylePr w:type="band1Horz">
      <w:rPr>
        <w:rFonts w:ascii="Arial" w:hAnsi="Arial"/>
        <w:color w:val="404040"/>
        <w:sz w:val="22"/>
      </w:rPr>
      <w:tblPr/>
      <w:tcPr>
        <w:shd w:val="clear" w:color="D8EBF1" w:themeColor="accent4" w:themeTint="40" w:fill="D8EBF1" w:themeFill="accent4" w:themeFillTint="40"/>
      </w:tcPr>
    </w:tblStylePr>
  </w:style>
  <w:style w:type="table" w:customStyle="1" w:styleId="ListTable4-Accent51">
    <w:name w:val="List Table 4 - Accent 5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DBE9E1" w:themeColor="accent5" w:themeTint="90"/>
        <w:left w:val="single" w:sz="4" w:space="0" w:color="DBE9E1" w:themeColor="accent5" w:themeTint="90"/>
        <w:bottom w:val="single" w:sz="4" w:space="0" w:color="DBE9E1" w:themeColor="accent5" w:themeTint="90"/>
        <w:right w:val="single" w:sz="4" w:space="0" w:color="DBE9E1" w:themeColor="accent5" w:themeTint="90"/>
        <w:insideH w:val="single" w:sz="4" w:space="0" w:color="DBE9E1" w:themeColor="accent5" w:themeTint="90"/>
      </w:tblBorders>
    </w:tblPr>
    <w:tblStylePr w:type="firstRow">
      <w:rPr>
        <w:rFonts w:ascii="Arial" w:hAnsi="Arial"/>
        <w:b/>
        <w:color w:val="FFFFFF"/>
        <w:sz w:val="22"/>
      </w:rPr>
      <w:tblPr/>
      <w:tcPr>
        <w:shd w:val="clear" w:color="C1D9CB" w:themeColor="accent5" w:fill="C1D9CB"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F5F1" w:themeColor="accent5" w:themeTint="40" w:fill="EFF5F1" w:themeFill="accent5" w:themeFillTint="40"/>
      </w:tcPr>
    </w:tblStylePr>
    <w:tblStylePr w:type="band1Horz">
      <w:rPr>
        <w:rFonts w:ascii="Arial" w:hAnsi="Arial"/>
        <w:color w:val="404040"/>
        <w:sz w:val="22"/>
      </w:rPr>
      <w:tblPr/>
      <w:tcPr>
        <w:shd w:val="clear" w:color="EFF5F1" w:themeColor="accent5" w:themeTint="40" w:fill="EFF5F1" w:themeFill="accent5" w:themeFillTint="40"/>
      </w:tcPr>
    </w:tblStylePr>
  </w:style>
  <w:style w:type="table" w:customStyle="1" w:styleId="ListTable4-Accent61">
    <w:name w:val="List Table 4 - Accent 6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82D9D2" w:themeColor="accent6" w:themeTint="90"/>
        <w:left w:val="single" w:sz="4" w:space="0" w:color="82D9D2" w:themeColor="accent6" w:themeTint="90"/>
        <w:bottom w:val="single" w:sz="4" w:space="0" w:color="82D9D2" w:themeColor="accent6" w:themeTint="90"/>
        <w:right w:val="single" w:sz="4" w:space="0" w:color="82D9D2" w:themeColor="accent6" w:themeTint="90"/>
        <w:insideH w:val="single" w:sz="4" w:space="0" w:color="82D9D2" w:themeColor="accent6" w:themeTint="90"/>
      </w:tblBorders>
    </w:tblPr>
    <w:tblStylePr w:type="firstRow">
      <w:rPr>
        <w:rFonts w:ascii="Arial" w:hAnsi="Arial"/>
        <w:b/>
        <w:color w:val="FFFFFF"/>
        <w:sz w:val="22"/>
      </w:rPr>
      <w:tblPr/>
      <w:tcPr>
        <w:shd w:val="clear" w:color="34ABA2" w:themeColor="accent6" w:fill="34ABA2"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7EEEB" w:themeColor="accent6" w:themeTint="40" w:fill="C7EEEB" w:themeFill="accent6" w:themeFillTint="40"/>
      </w:tcPr>
    </w:tblStylePr>
    <w:tblStylePr w:type="band1Horz">
      <w:rPr>
        <w:rFonts w:ascii="Arial" w:hAnsi="Arial"/>
        <w:color w:val="404040"/>
        <w:sz w:val="22"/>
      </w:rPr>
      <w:tblPr/>
      <w:tcPr>
        <w:shd w:val="clear" w:color="C7EEEB" w:themeColor="accent6" w:themeTint="40" w:fill="C7EEEB" w:themeFill="accent6" w:themeFillTint="40"/>
      </w:tcPr>
    </w:tblStylePr>
  </w:style>
  <w:style w:type="table" w:customStyle="1" w:styleId="ListTable5Dark-Accent11">
    <w:name w:val="List Table 5 Dark - Accent 1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32" w:space="0" w:color="024F75" w:themeColor="accent1"/>
        <w:left w:val="single" w:sz="32" w:space="0" w:color="024F75" w:themeColor="accent1"/>
        <w:bottom w:val="single" w:sz="32" w:space="0" w:color="024F75" w:themeColor="accent1"/>
        <w:right w:val="single" w:sz="32" w:space="0" w:color="024F75" w:themeColor="accent1"/>
      </w:tblBorders>
      <w:shd w:val="clear" w:color="024F75" w:themeColor="accent1" w:fill="024F75" w:themeFill="accent1"/>
    </w:tblPr>
    <w:tblStylePr w:type="firstRow">
      <w:rPr>
        <w:rFonts w:ascii="Arial" w:hAnsi="Arial"/>
        <w:b/>
        <w:color w:val="FFFFFF" w:themeColor="light1"/>
        <w:sz w:val="22"/>
      </w:rPr>
      <w:tblPr/>
      <w:tcPr>
        <w:tcBorders>
          <w:top w:val="single" w:sz="32" w:space="0" w:color="024F75" w:themeColor="accent1"/>
          <w:bottom w:val="single" w:sz="12" w:space="0" w:color="FFFFFF" w:themeColor="light1"/>
        </w:tcBorders>
        <w:shd w:val="clear" w:color="024F75" w:themeColor="accent1" w:fill="024F7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24F75" w:themeColor="accent1"/>
          <w:right w:val="single" w:sz="4" w:space="0" w:color="FFFFFF" w:themeColor="light1"/>
        </w:tcBorders>
      </w:tcPr>
    </w:tblStylePr>
    <w:tblStylePr w:type="lastCol">
      <w:tblPr/>
      <w:tcPr>
        <w:tcBorders>
          <w:left w:val="single" w:sz="4" w:space="0" w:color="FFFFFF" w:themeColor="light1"/>
          <w:right w:val="single" w:sz="32" w:space="0" w:color="024F75" w:themeColor="accent1"/>
        </w:tcBorders>
      </w:tcPr>
    </w:tblStylePr>
    <w:tblStylePr w:type="band1Vert">
      <w:tblPr/>
      <w:tcPr>
        <w:tcBorders>
          <w:left w:val="single" w:sz="4" w:space="0" w:color="FFFFFF" w:themeColor="light1"/>
          <w:right w:val="single" w:sz="4" w:space="0" w:color="FFFFFF" w:themeColor="light1"/>
        </w:tcBorders>
        <w:shd w:val="clear" w:color="024F75" w:themeColor="accent1" w:fill="024F7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24F75" w:themeColor="accent1" w:fill="024F75" w:themeFill="accent1"/>
      </w:tcPr>
    </w:tblStylePr>
    <w:tblStylePr w:type="band2Horz">
      <w:tblPr/>
      <w:tcPr>
        <w:tcBorders>
          <w:top w:val="single" w:sz="4" w:space="0" w:color="FFFFFF" w:themeColor="light1"/>
          <w:bottom w:val="single" w:sz="4" w:space="0" w:color="FFFFFF" w:themeColor="light1"/>
        </w:tcBorders>
        <w:shd w:val="clear" w:color="024F75" w:themeColor="accent1" w:fill="024F75" w:themeFill="accent1"/>
      </w:tcPr>
    </w:tblStylePr>
  </w:style>
  <w:style w:type="table" w:customStyle="1" w:styleId="ListTable5Dark-Accent21">
    <w:name w:val="List Table 5 Dark - Accent 2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32" w:space="0" w:color="87BDE2" w:themeColor="accent2" w:themeTint="97"/>
        <w:left w:val="single" w:sz="32" w:space="0" w:color="87BDE2" w:themeColor="accent2" w:themeTint="97"/>
        <w:bottom w:val="single" w:sz="32" w:space="0" w:color="87BDE2" w:themeColor="accent2" w:themeTint="97"/>
        <w:right w:val="single" w:sz="32" w:space="0" w:color="87BDE2" w:themeColor="accent2" w:themeTint="97"/>
      </w:tblBorders>
      <w:shd w:val="clear" w:color="87BDE2" w:themeColor="accent2" w:themeTint="97" w:fill="87BDE2" w:themeFill="accent2" w:themeFillTint="97"/>
    </w:tblPr>
    <w:tblStylePr w:type="firstRow">
      <w:rPr>
        <w:rFonts w:ascii="Arial" w:hAnsi="Arial"/>
        <w:b/>
        <w:color w:val="FFFFFF" w:themeColor="light1"/>
        <w:sz w:val="22"/>
      </w:rPr>
      <w:tblPr/>
      <w:tcPr>
        <w:tcBorders>
          <w:top w:val="single" w:sz="32" w:space="0" w:color="87BDE2" w:themeColor="accent2" w:themeTint="97"/>
          <w:bottom w:val="single" w:sz="12" w:space="0" w:color="FFFFFF" w:themeColor="light1"/>
        </w:tcBorders>
        <w:shd w:val="clear" w:color="87BDE2" w:themeColor="accent2" w:themeTint="97" w:fill="87BDE2"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7BDE2" w:themeColor="accent2" w:themeTint="97"/>
          <w:right w:val="single" w:sz="4" w:space="0" w:color="FFFFFF" w:themeColor="light1"/>
        </w:tcBorders>
      </w:tcPr>
    </w:tblStylePr>
    <w:tblStylePr w:type="lastCol">
      <w:tblPr/>
      <w:tcPr>
        <w:tcBorders>
          <w:left w:val="single" w:sz="4" w:space="0" w:color="FFFFFF" w:themeColor="light1"/>
          <w:right w:val="single" w:sz="32" w:space="0" w:color="87BDE2" w:themeColor="accent2" w:themeTint="97"/>
        </w:tcBorders>
      </w:tcPr>
    </w:tblStylePr>
    <w:tblStylePr w:type="band1Vert">
      <w:tblPr/>
      <w:tcPr>
        <w:tcBorders>
          <w:left w:val="single" w:sz="4" w:space="0" w:color="FFFFFF" w:themeColor="light1"/>
          <w:right w:val="single" w:sz="4" w:space="0" w:color="FFFFFF" w:themeColor="light1"/>
        </w:tcBorders>
        <w:shd w:val="clear" w:color="87BDE2" w:themeColor="accent2" w:themeTint="97" w:fill="87BDE2"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7BDE2" w:themeColor="accent2" w:themeTint="97" w:fill="87BDE2" w:themeFill="accent2" w:themeFillTint="97"/>
      </w:tcPr>
    </w:tblStylePr>
    <w:tblStylePr w:type="band2Horz">
      <w:tblPr/>
      <w:tcPr>
        <w:tcBorders>
          <w:top w:val="single" w:sz="4" w:space="0" w:color="FFFFFF" w:themeColor="light1"/>
          <w:bottom w:val="single" w:sz="4" w:space="0" w:color="FFFFFF" w:themeColor="light1"/>
        </w:tcBorders>
        <w:shd w:val="clear" w:color="87BDE2" w:themeColor="accent2" w:themeTint="97" w:fill="87BDE2" w:themeFill="accent2" w:themeFillTint="97"/>
      </w:tcPr>
    </w:tblStylePr>
  </w:style>
  <w:style w:type="table" w:customStyle="1" w:styleId="ListTable5Dark-Accent31">
    <w:name w:val="List Table 5 Dark - Accent 3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32" w:space="0" w:color="7BD7CF" w:themeColor="accent3" w:themeTint="98"/>
        <w:left w:val="single" w:sz="32" w:space="0" w:color="7BD7CF" w:themeColor="accent3" w:themeTint="98"/>
        <w:bottom w:val="single" w:sz="32" w:space="0" w:color="7BD7CF" w:themeColor="accent3" w:themeTint="98"/>
        <w:right w:val="single" w:sz="32" w:space="0" w:color="7BD7CF" w:themeColor="accent3" w:themeTint="98"/>
      </w:tblBorders>
      <w:shd w:val="clear" w:color="7BD7CF" w:themeColor="accent3" w:themeTint="98" w:fill="7BD7CF" w:themeFill="accent3" w:themeFillTint="98"/>
    </w:tblPr>
    <w:tblStylePr w:type="firstRow">
      <w:rPr>
        <w:rFonts w:ascii="Arial" w:hAnsi="Arial"/>
        <w:b/>
        <w:color w:val="FFFFFF" w:themeColor="light1"/>
        <w:sz w:val="22"/>
      </w:rPr>
      <w:tblPr/>
      <w:tcPr>
        <w:tcBorders>
          <w:top w:val="single" w:sz="32" w:space="0" w:color="7BD7CF" w:themeColor="accent3" w:themeTint="98"/>
          <w:bottom w:val="single" w:sz="12" w:space="0" w:color="FFFFFF" w:themeColor="light1"/>
        </w:tcBorders>
        <w:shd w:val="clear" w:color="7BD7CF" w:themeColor="accent3" w:themeTint="98" w:fill="7BD7CF"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BD7CF" w:themeColor="accent3" w:themeTint="98"/>
          <w:right w:val="single" w:sz="4" w:space="0" w:color="FFFFFF" w:themeColor="light1"/>
        </w:tcBorders>
      </w:tcPr>
    </w:tblStylePr>
    <w:tblStylePr w:type="lastCol">
      <w:tblPr/>
      <w:tcPr>
        <w:tcBorders>
          <w:left w:val="single" w:sz="4" w:space="0" w:color="FFFFFF" w:themeColor="light1"/>
          <w:right w:val="single" w:sz="32" w:space="0" w:color="7BD7CF" w:themeColor="accent3" w:themeTint="98"/>
        </w:tcBorders>
      </w:tcPr>
    </w:tblStylePr>
    <w:tblStylePr w:type="band1Vert">
      <w:tblPr/>
      <w:tcPr>
        <w:tcBorders>
          <w:left w:val="single" w:sz="4" w:space="0" w:color="FFFFFF" w:themeColor="light1"/>
          <w:right w:val="single" w:sz="4" w:space="0" w:color="FFFFFF" w:themeColor="light1"/>
        </w:tcBorders>
        <w:shd w:val="clear" w:color="7BD7CF" w:themeColor="accent3" w:themeTint="98" w:fill="7BD7CF"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BD7CF" w:themeColor="accent3" w:themeTint="98" w:fill="7BD7CF" w:themeFill="accent3" w:themeFillTint="98"/>
      </w:tcPr>
    </w:tblStylePr>
    <w:tblStylePr w:type="band2Horz">
      <w:tblPr/>
      <w:tcPr>
        <w:tcBorders>
          <w:top w:val="single" w:sz="4" w:space="0" w:color="FFFFFF" w:themeColor="light1"/>
          <w:bottom w:val="single" w:sz="4" w:space="0" w:color="FFFFFF" w:themeColor="light1"/>
        </w:tcBorders>
        <w:shd w:val="clear" w:color="7BD7CF" w:themeColor="accent3" w:themeTint="98" w:fill="7BD7CF" w:themeFill="accent3" w:themeFillTint="98"/>
      </w:tcPr>
    </w:tblStylePr>
  </w:style>
  <w:style w:type="table" w:customStyle="1" w:styleId="ListTable5Dark-Accent41">
    <w:name w:val="List Table 5 Dark - Accent 4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32" w:space="0" w:color="A2D0DF" w:themeColor="accent4" w:themeTint="9A"/>
        <w:left w:val="single" w:sz="32" w:space="0" w:color="A2D0DF" w:themeColor="accent4" w:themeTint="9A"/>
        <w:bottom w:val="single" w:sz="32" w:space="0" w:color="A2D0DF" w:themeColor="accent4" w:themeTint="9A"/>
        <w:right w:val="single" w:sz="32" w:space="0" w:color="A2D0DF" w:themeColor="accent4" w:themeTint="9A"/>
      </w:tblBorders>
      <w:shd w:val="clear" w:color="A2D0DF" w:themeColor="accent4" w:themeTint="9A" w:fill="A2D0DF" w:themeFill="accent4" w:themeFillTint="9A"/>
    </w:tblPr>
    <w:tblStylePr w:type="firstRow">
      <w:rPr>
        <w:rFonts w:ascii="Arial" w:hAnsi="Arial"/>
        <w:b/>
        <w:color w:val="FFFFFF" w:themeColor="light1"/>
        <w:sz w:val="22"/>
      </w:rPr>
      <w:tblPr/>
      <w:tcPr>
        <w:tcBorders>
          <w:top w:val="single" w:sz="32" w:space="0" w:color="A2D0DF" w:themeColor="accent4" w:themeTint="9A"/>
          <w:bottom w:val="single" w:sz="12" w:space="0" w:color="FFFFFF" w:themeColor="light1"/>
        </w:tcBorders>
        <w:shd w:val="clear" w:color="A2D0DF" w:themeColor="accent4" w:themeTint="9A" w:fill="A2D0DF"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2D0DF" w:themeColor="accent4" w:themeTint="9A"/>
          <w:right w:val="single" w:sz="4" w:space="0" w:color="FFFFFF" w:themeColor="light1"/>
        </w:tcBorders>
      </w:tcPr>
    </w:tblStylePr>
    <w:tblStylePr w:type="lastCol">
      <w:tblPr/>
      <w:tcPr>
        <w:tcBorders>
          <w:left w:val="single" w:sz="4" w:space="0" w:color="FFFFFF" w:themeColor="light1"/>
          <w:right w:val="single" w:sz="32" w:space="0" w:color="A2D0DF" w:themeColor="accent4" w:themeTint="9A"/>
        </w:tcBorders>
      </w:tcPr>
    </w:tblStylePr>
    <w:tblStylePr w:type="band1Vert">
      <w:tblPr/>
      <w:tcPr>
        <w:tcBorders>
          <w:left w:val="single" w:sz="4" w:space="0" w:color="FFFFFF" w:themeColor="light1"/>
          <w:right w:val="single" w:sz="4" w:space="0" w:color="FFFFFF" w:themeColor="light1"/>
        </w:tcBorders>
        <w:shd w:val="clear" w:color="A2D0DF" w:themeColor="accent4" w:themeTint="9A" w:fill="A2D0DF"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2D0DF" w:themeColor="accent4" w:themeTint="9A" w:fill="A2D0DF" w:themeFill="accent4" w:themeFillTint="9A"/>
      </w:tcPr>
    </w:tblStylePr>
    <w:tblStylePr w:type="band2Horz">
      <w:tblPr/>
      <w:tcPr>
        <w:tcBorders>
          <w:top w:val="single" w:sz="4" w:space="0" w:color="FFFFFF" w:themeColor="light1"/>
          <w:bottom w:val="single" w:sz="4" w:space="0" w:color="FFFFFF" w:themeColor="light1"/>
        </w:tcBorders>
        <w:shd w:val="clear" w:color="A2D0DF" w:themeColor="accent4" w:themeTint="9A" w:fill="A2D0DF" w:themeFill="accent4" w:themeFillTint="9A"/>
      </w:tcPr>
    </w:tblStylePr>
  </w:style>
  <w:style w:type="table" w:customStyle="1" w:styleId="ListTable5Dark-Accent51">
    <w:name w:val="List Table 5 Dark - Accent 5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32" w:space="0" w:color="D9E8DF" w:themeColor="accent5" w:themeTint="9A"/>
        <w:left w:val="single" w:sz="32" w:space="0" w:color="D9E8DF" w:themeColor="accent5" w:themeTint="9A"/>
        <w:bottom w:val="single" w:sz="32" w:space="0" w:color="D9E8DF" w:themeColor="accent5" w:themeTint="9A"/>
        <w:right w:val="single" w:sz="32" w:space="0" w:color="D9E8DF" w:themeColor="accent5" w:themeTint="9A"/>
      </w:tblBorders>
      <w:shd w:val="clear" w:color="D9E8DF" w:themeColor="accent5" w:themeTint="9A" w:fill="D9E8DF" w:themeFill="accent5" w:themeFillTint="9A"/>
    </w:tblPr>
    <w:tblStylePr w:type="firstRow">
      <w:rPr>
        <w:rFonts w:ascii="Arial" w:hAnsi="Arial"/>
        <w:b/>
        <w:color w:val="FFFFFF" w:themeColor="light1"/>
        <w:sz w:val="22"/>
      </w:rPr>
      <w:tblPr/>
      <w:tcPr>
        <w:tcBorders>
          <w:top w:val="single" w:sz="32" w:space="0" w:color="D9E8DF" w:themeColor="accent5" w:themeTint="9A"/>
          <w:bottom w:val="single" w:sz="12" w:space="0" w:color="FFFFFF" w:themeColor="light1"/>
        </w:tcBorders>
        <w:shd w:val="clear" w:color="D9E8DF" w:themeColor="accent5" w:themeTint="9A" w:fill="D9E8D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E8DF" w:themeColor="accent5" w:themeTint="9A"/>
          <w:right w:val="single" w:sz="4" w:space="0" w:color="FFFFFF" w:themeColor="light1"/>
        </w:tcBorders>
      </w:tcPr>
    </w:tblStylePr>
    <w:tblStylePr w:type="lastCol">
      <w:tblPr/>
      <w:tcPr>
        <w:tcBorders>
          <w:left w:val="single" w:sz="4" w:space="0" w:color="FFFFFF" w:themeColor="light1"/>
          <w:right w:val="single" w:sz="32" w:space="0" w:color="D9E8DF" w:themeColor="accent5" w:themeTint="9A"/>
        </w:tcBorders>
      </w:tcPr>
    </w:tblStylePr>
    <w:tblStylePr w:type="band1Vert">
      <w:tblPr/>
      <w:tcPr>
        <w:tcBorders>
          <w:left w:val="single" w:sz="4" w:space="0" w:color="FFFFFF" w:themeColor="light1"/>
          <w:right w:val="single" w:sz="4" w:space="0" w:color="FFFFFF" w:themeColor="light1"/>
        </w:tcBorders>
        <w:shd w:val="clear" w:color="D9E8DF" w:themeColor="accent5" w:themeTint="9A" w:fill="D9E8DF"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E8DF" w:themeColor="accent5" w:themeTint="9A" w:fill="D9E8DF" w:themeFill="accent5" w:themeFillTint="9A"/>
      </w:tcPr>
    </w:tblStylePr>
    <w:tblStylePr w:type="band2Horz">
      <w:tblPr/>
      <w:tcPr>
        <w:tcBorders>
          <w:top w:val="single" w:sz="4" w:space="0" w:color="FFFFFF" w:themeColor="light1"/>
          <w:bottom w:val="single" w:sz="4" w:space="0" w:color="FFFFFF" w:themeColor="light1"/>
        </w:tcBorders>
        <w:shd w:val="clear" w:color="D9E8DF" w:themeColor="accent5" w:themeTint="9A" w:fill="D9E8DF" w:themeFill="accent5" w:themeFillTint="9A"/>
      </w:tcPr>
    </w:tblStylePr>
  </w:style>
  <w:style w:type="table" w:customStyle="1" w:styleId="ListTable5Dark-Accent61">
    <w:name w:val="List Table 5 Dark - Accent 6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32" w:space="0" w:color="7BD7CF" w:themeColor="accent6" w:themeTint="98"/>
        <w:left w:val="single" w:sz="32" w:space="0" w:color="7BD7CF" w:themeColor="accent6" w:themeTint="98"/>
        <w:bottom w:val="single" w:sz="32" w:space="0" w:color="7BD7CF" w:themeColor="accent6" w:themeTint="98"/>
        <w:right w:val="single" w:sz="32" w:space="0" w:color="7BD7CF" w:themeColor="accent6" w:themeTint="98"/>
      </w:tblBorders>
      <w:shd w:val="clear" w:color="7BD7CF" w:themeColor="accent6" w:themeTint="98" w:fill="7BD7CF" w:themeFill="accent6" w:themeFillTint="98"/>
    </w:tblPr>
    <w:tblStylePr w:type="firstRow">
      <w:rPr>
        <w:rFonts w:ascii="Arial" w:hAnsi="Arial"/>
        <w:b/>
        <w:color w:val="FFFFFF" w:themeColor="light1"/>
        <w:sz w:val="22"/>
      </w:rPr>
      <w:tblPr/>
      <w:tcPr>
        <w:tcBorders>
          <w:top w:val="single" w:sz="32" w:space="0" w:color="7BD7CF" w:themeColor="accent6" w:themeTint="98"/>
          <w:bottom w:val="single" w:sz="12" w:space="0" w:color="FFFFFF" w:themeColor="light1"/>
        </w:tcBorders>
        <w:shd w:val="clear" w:color="7BD7CF" w:themeColor="accent6" w:themeTint="98" w:fill="7BD7C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BD7CF" w:themeColor="accent6" w:themeTint="98"/>
          <w:right w:val="single" w:sz="4" w:space="0" w:color="FFFFFF" w:themeColor="light1"/>
        </w:tcBorders>
      </w:tcPr>
    </w:tblStylePr>
    <w:tblStylePr w:type="lastCol">
      <w:tblPr/>
      <w:tcPr>
        <w:tcBorders>
          <w:left w:val="single" w:sz="4" w:space="0" w:color="FFFFFF" w:themeColor="light1"/>
          <w:right w:val="single" w:sz="32" w:space="0" w:color="7BD7CF" w:themeColor="accent6" w:themeTint="98"/>
        </w:tcBorders>
      </w:tcPr>
    </w:tblStylePr>
    <w:tblStylePr w:type="band1Vert">
      <w:tblPr/>
      <w:tcPr>
        <w:tcBorders>
          <w:left w:val="single" w:sz="4" w:space="0" w:color="FFFFFF" w:themeColor="light1"/>
          <w:right w:val="single" w:sz="4" w:space="0" w:color="FFFFFF" w:themeColor="light1"/>
        </w:tcBorders>
        <w:shd w:val="clear" w:color="7BD7CF" w:themeColor="accent6" w:themeTint="98" w:fill="7BD7C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BD7CF" w:themeColor="accent6" w:themeTint="98" w:fill="7BD7CF" w:themeFill="accent6" w:themeFillTint="98"/>
      </w:tcPr>
    </w:tblStylePr>
    <w:tblStylePr w:type="band2Horz">
      <w:tblPr/>
      <w:tcPr>
        <w:tcBorders>
          <w:top w:val="single" w:sz="4" w:space="0" w:color="FFFFFF" w:themeColor="light1"/>
          <w:bottom w:val="single" w:sz="4" w:space="0" w:color="FFFFFF" w:themeColor="light1"/>
        </w:tcBorders>
        <w:shd w:val="clear" w:color="7BD7CF" w:themeColor="accent6" w:themeTint="98" w:fill="7BD7CF" w:themeFill="accent6" w:themeFillTint="98"/>
      </w:tcPr>
    </w:tblStylePr>
  </w:style>
  <w:style w:type="table" w:customStyle="1" w:styleId="GridTable1Light-Accent21">
    <w:name w:val="Grid Table 1 Light - Accent 2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ADD2EB" w:themeColor="accent2" w:themeTint="67"/>
        <w:left w:val="single" w:sz="4" w:space="0" w:color="ADD2EB" w:themeColor="accent2" w:themeTint="67"/>
        <w:bottom w:val="single" w:sz="4" w:space="0" w:color="ADD2EB" w:themeColor="accent2" w:themeTint="67"/>
        <w:right w:val="single" w:sz="4" w:space="0" w:color="ADD2EB" w:themeColor="accent2" w:themeTint="67"/>
        <w:insideH w:val="single" w:sz="4" w:space="0" w:color="ADD2EB" w:themeColor="accent2" w:themeTint="67"/>
        <w:insideV w:val="single" w:sz="4" w:space="0" w:color="ADD2EB" w:themeColor="accent2" w:themeTint="67"/>
      </w:tblBorders>
    </w:tblPr>
    <w:tblStylePr w:type="firstRow">
      <w:rPr>
        <w:b/>
        <w:color w:val="404040"/>
      </w:rPr>
      <w:tblPr/>
      <w:tcPr>
        <w:tcBorders>
          <w:bottom w:val="single" w:sz="12" w:space="0" w:color="88BEE3"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ADD2EB" w:themeColor="accent2" w:themeTint="67"/>
          <w:left w:val="single" w:sz="4" w:space="0" w:color="ADD2EB" w:themeColor="accent2" w:themeTint="67"/>
          <w:bottom w:val="single" w:sz="4" w:space="0" w:color="ADD2EB" w:themeColor="accent2" w:themeTint="67"/>
          <w:right w:val="single" w:sz="4" w:space="0" w:color="ADD2EB" w:themeColor="accent2" w:themeTint="67"/>
        </w:tcBorders>
      </w:tcPr>
    </w:tblStylePr>
  </w:style>
  <w:style w:type="table" w:customStyle="1" w:styleId="GridTable6Colorful-Accent11">
    <w:name w:val="Grid Table 6 Colorful - Accent 1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3EBCFB" w:themeColor="accent1" w:themeTint="80"/>
        <w:left w:val="single" w:sz="4" w:space="0" w:color="3EBCFB" w:themeColor="accent1" w:themeTint="80"/>
        <w:bottom w:val="single" w:sz="4" w:space="0" w:color="3EBCFB" w:themeColor="accent1" w:themeTint="80"/>
        <w:right w:val="single" w:sz="4" w:space="0" w:color="3EBCFB" w:themeColor="accent1" w:themeTint="80"/>
        <w:insideH w:val="single" w:sz="4" w:space="0" w:color="3EBCFB" w:themeColor="accent1" w:themeTint="80"/>
        <w:insideV w:val="single" w:sz="4" w:space="0" w:color="3EBCFB" w:themeColor="accent1" w:themeTint="80"/>
      </w:tblBorders>
    </w:tblPr>
    <w:tblStylePr w:type="firstRow">
      <w:rPr>
        <w:b/>
        <w:color w:val="3EBCFB" w:themeColor="accent1" w:themeTint="80" w:themeShade="95"/>
      </w:rPr>
      <w:tblPr/>
      <w:tcPr>
        <w:tcBorders>
          <w:bottom w:val="single" w:sz="12" w:space="0" w:color="3EBCFB" w:themeColor="accent1" w:themeTint="80"/>
        </w:tcBorders>
      </w:tcPr>
    </w:tblStylePr>
    <w:tblStylePr w:type="lastRow">
      <w:rPr>
        <w:b/>
        <w:color w:val="3EBCFB" w:themeColor="accent1" w:themeTint="80" w:themeShade="95"/>
      </w:rPr>
    </w:tblStylePr>
    <w:tblStylePr w:type="firstCol">
      <w:rPr>
        <w:b/>
        <w:color w:val="3EBCFB" w:themeColor="accent1" w:themeTint="80" w:themeShade="95"/>
      </w:rPr>
    </w:tblStylePr>
    <w:tblStylePr w:type="lastCol">
      <w:rPr>
        <w:b/>
        <w:color w:val="3EBCFB" w:themeColor="accent1" w:themeTint="80" w:themeShade="95"/>
      </w:rPr>
    </w:tblStylePr>
    <w:tblStylePr w:type="band1Vert">
      <w:tblPr/>
      <w:tcPr>
        <w:shd w:val="clear" w:color="B0E3FD" w:themeColor="accent1" w:themeTint="34" w:fill="B0E3FD" w:themeFill="accent1" w:themeFillTint="34"/>
      </w:tcPr>
    </w:tblStylePr>
    <w:tblStylePr w:type="band1Horz">
      <w:rPr>
        <w:rFonts w:ascii="Arial" w:hAnsi="Arial"/>
        <w:color w:val="3EBCFB" w:themeColor="accent1" w:themeTint="80" w:themeShade="95"/>
        <w:sz w:val="22"/>
      </w:rPr>
      <w:tblPr/>
      <w:tcPr>
        <w:shd w:val="clear" w:color="B0E3FD" w:themeColor="accent1" w:themeTint="34" w:fill="B0E3FD" w:themeFill="accent1" w:themeFillTint="34"/>
      </w:tcPr>
    </w:tblStylePr>
    <w:tblStylePr w:type="band2Horz">
      <w:rPr>
        <w:rFonts w:ascii="Arial" w:hAnsi="Arial"/>
        <w:color w:val="3EBCFB" w:themeColor="accent1" w:themeTint="80" w:themeShade="95"/>
        <w:sz w:val="22"/>
      </w:rPr>
    </w:tblStylePr>
  </w:style>
  <w:style w:type="table" w:customStyle="1" w:styleId="GridTable6Colorful-Accent21">
    <w:name w:val="Grid Table 6 Colorful - Accent 2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87BDE2" w:themeColor="accent2" w:themeTint="97"/>
        <w:left w:val="single" w:sz="4" w:space="0" w:color="87BDE2" w:themeColor="accent2" w:themeTint="97"/>
        <w:bottom w:val="single" w:sz="4" w:space="0" w:color="87BDE2" w:themeColor="accent2" w:themeTint="97"/>
        <w:right w:val="single" w:sz="4" w:space="0" w:color="87BDE2" w:themeColor="accent2" w:themeTint="97"/>
        <w:insideH w:val="single" w:sz="4" w:space="0" w:color="87BDE2" w:themeColor="accent2" w:themeTint="97"/>
        <w:insideV w:val="single" w:sz="4" w:space="0" w:color="87BDE2" w:themeColor="accent2" w:themeTint="97"/>
      </w:tblBorders>
    </w:tblPr>
    <w:tblStylePr w:type="firstRow">
      <w:rPr>
        <w:b/>
        <w:color w:val="87BDE2" w:themeColor="accent2" w:themeTint="97" w:themeShade="95"/>
      </w:rPr>
      <w:tblPr/>
      <w:tcPr>
        <w:tcBorders>
          <w:bottom w:val="single" w:sz="12" w:space="0" w:color="87BDE2" w:themeColor="accent2" w:themeTint="97"/>
        </w:tcBorders>
      </w:tcPr>
    </w:tblStylePr>
    <w:tblStylePr w:type="lastRow">
      <w:rPr>
        <w:b/>
        <w:color w:val="87BDE2" w:themeColor="accent2" w:themeTint="97" w:themeShade="95"/>
      </w:rPr>
    </w:tblStylePr>
    <w:tblStylePr w:type="firstCol">
      <w:rPr>
        <w:b/>
        <w:color w:val="87BDE2" w:themeColor="accent2" w:themeTint="97" w:themeShade="95"/>
      </w:rPr>
    </w:tblStylePr>
    <w:tblStylePr w:type="lastCol">
      <w:rPr>
        <w:b/>
        <w:color w:val="87BDE2" w:themeColor="accent2" w:themeTint="97" w:themeShade="95"/>
      </w:rPr>
    </w:tblStylePr>
    <w:tblStylePr w:type="band1Vert">
      <w:tblPr/>
      <w:tcPr>
        <w:shd w:val="clear" w:color="D7E9F5" w:themeColor="accent2" w:themeTint="32" w:fill="D7E9F5" w:themeFill="accent2" w:themeFillTint="32"/>
      </w:tcPr>
    </w:tblStylePr>
    <w:tblStylePr w:type="band1Horz">
      <w:rPr>
        <w:rFonts w:ascii="Arial" w:hAnsi="Arial"/>
        <w:color w:val="87BDE2" w:themeColor="accent2" w:themeTint="97" w:themeShade="95"/>
        <w:sz w:val="22"/>
      </w:rPr>
      <w:tblPr/>
      <w:tcPr>
        <w:shd w:val="clear" w:color="D7E9F5" w:themeColor="accent2" w:themeTint="32" w:fill="D7E9F5" w:themeFill="accent2" w:themeFillTint="32"/>
      </w:tcPr>
    </w:tblStylePr>
    <w:tblStylePr w:type="band2Horz">
      <w:rPr>
        <w:rFonts w:ascii="Arial" w:hAnsi="Arial"/>
        <w:color w:val="87BDE2" w:themeColor="accent2" w:themeTint="97" w:themeShade="95"/>
        <w:sz w:val="22"/>
      </w:rPr>
    </w:tblStylePr>
  </w:style>
  <w:style w:type="table" w:customStyle="1" w:styleId="GridTable6Colorful-Accent31">
    <w:name w:val="Grid Table 6 Colorful - Accent 3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34ABA2" w:themeColor="accent3" w:themeTint="FE"/>
        <w:left w:val="single" w:sz="4" w:space="0" w:color="34ABA2" w:themeColor="accent3" w:themeTint="FE"/>
        <w:bottom w:val="single" w:sz="4" w:space="0" w:color="34ABA2" w:themeColor="accent3" w:themeTint="FE"/>
        <w:right w:val="single" w:sz="4" w:space="0" w:color="34ABA2" w:themeColor="accent3" w:themeTint="FE"/>
        <w:insideH w:val="single" w:sz="4" w:space="0" w:color="34ABA2" w:themeColor="accent3" w:themeTint="FE"/>
        <w:insideV w:val="single" w:sz="4" w:space="0" w:color="34ABA2" w:themeColor="accent3" w:themeTint="FE"/>
      </w:tblBorders>
    </w:tblPr>
    <w:tblStylePr w:type="firstRow">
      <w:rPr>
        <w:b/>
        <w:color w:val="34ABA2" w:themeColor="accent3" w:themeTint="FE" w:themeShade="95"/>
      </w:rPr>
      <w:tblPr/>
      <w:tcPr>
        <w:tcBorders>
          <w:bottom w:val="single" w:sz="12" w:space="0" w:color="34ABA2" w:themeColor="accent3" w:themeTint="FE"/>
        </w:tcBorders>
      </w:tcPr>
    </w:tblStylePr>
    <w:tblStylePr w:type="lastRow">
      <w:rPr>
        <w:b/>
        <w:color w:val="34ABA2" w:themeColor="accent3" w:themeTint="FE" w:themeShade="95"/>
      </w:rPr>
    </w:tblStylePr>
    <w:tblStylePr w:type="firstCol">
      <w:rPr>
        <w:b/>
        <w:color w:val="34ABA2" w:themeColor="accent3" w:themeTint="FE" w:themeShade="95"/>
      </w:rPr>
    </w:tblStylePr>
    <w:tblStylePr w:type="lastCol">
      <w:rPr>
        <w:b/>
        <w:color w:val="34ABA2" w:themeColor="accent3" w:themeTint="FE" w:themeShade="95"/>
      </w:rPr>
    </w:tblStylePr>
    <w:tblStylePr w:type="band1Vert">
      <w:tblPr/>
      <w:tcPr>
        <w:shd w:val="clear" w:color="D2F1EE" w:themeColor="accent3" w:themeTint="34" w:fill="D2F1EE" w:themeFill="accent3" w:themeFillTint="34"/>
      </w:tcPr>
    </w:tblStylePr>
    <w:tblStylePr w:type="band1Horz">
      <w:rPr>
        <w:rFonts w:ascii="Arial" w:hAnsi="Arial"/>
        <w:color w:val="34ABA2" w:themeColor="accent3" w:themeTint="FE" w:themeShade="95"/>
        <w:sz w:val="22"/>
      </w:rPr>
      <w:tblPr/>
      <w:tcPr>
        <w:shd w:val="clear" w:color="D2F1EE" w:themeColor="accent3" w:themeTint="34" w:fill="D2F1EE" w:themeFill="accent3" w:themeFillTint="34"/>
      </w:tcPr>
    </w:tblStylePr>
    <w:tblStylePr w:type="band2Horz">
      <w:rPr>
        <w:rFonts w:ascii="Arial" w:hAnsi="Arial"/>
        <w:color w:val="34ABA2" w:themeColor="accent3" w:themeTint="FE" w:themeShade="95"/>
        <w:sz w:val="22"/>
      </w:rPr>
    </w:tblStylePr>
  </w:style>
  <w:style w:type="table" w:customStyle="1" w:styleId="GridTable6Colorful-Accent41">
    <w:name w:val="Grid Table 6 Colorful - Accent 4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A2D0DF" w:themeColor="accent4" w:themeTint="9A"/>
        <w:left w:val="single" w:sz="4" w:space="0" w:color="A2D0DF" w:themeColor="accent4" w:themeTint="9A"/>
        <w:bottom w:val="single" w:sz="4" w:space="0" w:color="A2D0DF" w:themeColor="accent4" w:themeTint="9A"/>
        <w:right w:val="single" w:sz="4" w:space="0" w:color="A2D0DF" w:themeColor="accent4" w:themeTint="9A"/>
        <w:insideH w:val="single" w:sz="4" w:space="0" w:color="A2D0DF" w:themeColor="accent4" w:themeTint="9A"/>
        <w:insideV w:val="single" w:sz="4" w:space="0" w:color="A2D0DF" w:themeColor="accent4" w:themeTint="9A"/>
      </w:tblBorders>
    </w:tblPr>
    <w:tblStylePr w:type="firstRow">
      <w:rPr>
        <w:b/>
        <w:color w:val="A2D0DF" w:themeColor="accent4" w:themeTint="9A" w:themeShade="95"/>
      </w:rPr>
      <w:tblPr/>
      <w:tcPr>
        <w:tcBorders>
          <w:bottom w:val="single" w:sz="12" w:space="0" w:color="A2D0DF" w:themeColor="accent4" w:themeTint="9A"/>
        </w:tcBorders>
      </w:tcPr>
    </w:tblStylePr>
    <w:tblStylePr w:type="lastRow">
      <w:rPr>
        <w:b/>
        <w:color w:val="A2D0DF" w:themeColor="accent4" w:themeTint="9A" w:themeShade="95"/>
      </w:rPr>
    </w:tblStylePr>
    <w:tblStylePr w:type="firstCol">
      <w:rPr>
        <w:b/>
        <w:color w:val="A2D0DF" w:themeColor="accent4" w:themeTint="9A" w:themeShade="95"/>
      </w:rPr>
    </w:tblStylePr>
    <w:tblStylePr w:type="lastCol">
      <w:rPr>
        <w:b/>
        <w:color w:val="A2D0DF" w:themeColor="accent4" w:themeTint="9A" w:themeShade="95"/>
      </w:rPr>
    </w:tblStylePr>
    <w:tblStylePr w:type="band1Vert">
      <w:tblPr/>
      <w:tcPr>
        <w:shd w:val="clear" w:color="DFEFF4" w:themeColor="accent4" w:themeTint="34" w:fill="DFEFF4" w:themeFill="accent4" w:themeFillTint="34"/>
      </w:tcPr>
    </w:tblStylePr>
    <w:tblStylePr w:type="band1Horz">
      <w:rPr>
        <w:rFonts w:ascii="Arial" w:hAnsi="Arial"/>
        <w:color w:val="A2D0DF" w:themeColor="accent4" w:themeTint="9A" w:themeShade="95"/>
        <w:sz w:val="22"/>
      </w:rPr>
      <w:tblPr/>
      <w:tcPr>
        <w:shd w:val="clear" w:color="DFEFF4" w:themeColor="accent4" w:themeTint="34" w:fill="DFEFF4" w:themeFill="accent4" w:themeFillTint="34"/>
      </w:tcPr>
    </w:tblStylePr>
    <w:tblStylePr w:type="band2Horz">
      <w:rPr>
        <w:rFonts w:ascii="Arial" w:hAnsi="Arial"/>
        <w:color w:val="A2D0DF" w:themeColor="accent4" w:themeTint="9A" w:themeShade="95"/>
        <w:sz w:val="22"/>
      </w:rPr>
    </w:tblStylePr>
  </w:style>
  <w:style w:type="table" w:customStyle="1" w:styleId="GridTable6Colorful-Accent51">
    <w:name w:val="Grid Table 6 Colorful - Accent 5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C1D9CB" w:themeColor="accent5"/>
        <w:left w:val="single" w:sz="4" w:space="0" w:color="C1D9CB" w:themeColor="accent5"/>
        <w:bottom w:val="single" w:sz="4" w:space="0" w:color="C1D9CB" w:themeColor="accent5"/>
        <w:right w:val="single" w:sz="4" w:space="0" w:color="C1D9CB" w:themeColor="accent5"/>
        <w:insideH w:val="single" w:sz="4" w:space="0" w:color="C1D9CB" w:themeColor="accent5"/>
        <w:insideV w:val="single" w:sz="4" w:space="0" w:color="C1D9CB" w:themeColor="accent5"/>
      </w:tblBorders>
    </w:tblPr>
    <w:tblStylePr w:type="firstRow">
      <w:rPr>
        <w:b/>
        <w:color w:val="5B9472" w:themeColor="accent5" w:themeShade="95"/>
      </w:rPr>
      <w:tblPr/>
      <w:tcPr>
        <w:tcBorders>
          <w:bottom w:val="single" w:sz="12" w:space="0" w:color="C1D9CB" w:themeColor="accent5"/>
        </w:tcBorders>
      </w:tcPr>
    </w:tblStylePr>
    <w:tblStylePr w:type="lastRow">
      <w:rPr>
        <w:b/>
        <w:color w:val="5B9472" w:themeColor="accent5" w:themeShade="95"/>
      </w:rPr>
    </w:tblStylePr>
    <w:tblStylePr w:type="firstCol">
      <w:rPr>
        <w:b/>
        <w:color w:val="5B9472" w:themeColor="accent5" w:themeShade="95"/>
      </w:rPr>
    </w:tblStylePr>
    <w:tblStylePr w:type="lastCol">
      <w:rPr>
        <w:b/>
        <w:color w:val="5B9472" w:themeColor="accent5" w:themeShade="95"/>
      </w:rPr>
    </w:tblStylePr>
    <w:tblStylePr w:type="band1Vert">
      <w:tblPr/>
      <w:tcPr>
        <w:shd w:val="clear" w:color="F2F7F4" w:themeColor="accent5" w:themeTint="34" w:fill="F2F7F4" w:themeFill="accent5" w:themeFillTint="34"/>
      </w:tcPr>
    </w:tblStylePr>
    <w:tblStylePr w:type="band1Horz">
      <w:rPr>
        <w:rFonts w:ascii="Arial" w:hAnsi="Arial"/>
        <w:color w:val="5B9472" w:themeColor="accent5" w:themeShade="95"/>
        <w:sz w:val="22"/>
      </w:rPr>
      <w:tblPr/>
      <w:tcPr>
        <w:shd w:val="clear" w:color="F2F7F4" w:themeColor="accent5" w:themeTint="34" w:fill="F2F7F4" w:themeFill="accent5" w:themeFillTint="34"/>
      </w:tcPr>
    </w:tblStylePr>
    <w:tblStylePr w:type="band2Horz">
      <w:rPr>
        <w:rFonts w:ascii="Arial" w:hAnsi="Arial"/>
        <w:color w:val="5B9472" w:themeColor="accent5" w:themeShade="95"/>
        <w:sz w:val="22"/>
      </w:rPr>
    </w:tblStylePr>
  </w:style>
  <w:style w:type="table" w:customStyle="1" w:styleId="GridTable6Colorful-Accent61">
    <w:name w:val="Grid Table 6 Colorful - Accent 6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34ABA2" w:themeColor="accent6"/>
        <w:left w:val="single" w:sz="4" w:space="0" w:color="34ABA2" w:themeColor="accent6"/>
        <w:bottom w:val="single" w:sz="4" w:space="0" w:color="34ABA2" w:themeColor="accent6"/>
        <w:right w:val="single" w:sz="4" w:space="0" w:color="34ABA2" w:themeColor="accent6"/>
        <w:insideH w:val="single" w:sz="4" w:space="0" w:color="34ABA2" w:themeColor="accent6"/>
        <w:insideV w:val="single" w:sz="4" w:space="0" w:color="34ABA2" w:themeColor="accent6"/>
      </w:tblBorders>
    </w:tblPr>
    <w:tblStylePr w:type="firstRow">
      <w:rPr>
        <w:b/>
        <w:color w:val="5B9472" w:themeColor="accent5" w:themeShade="95"/>
      </w:rPr>
      <w:tblPr/>
      <w:tcPr>
        <w:tcBorders>
          <w:bottom w:val="single" w:sz="12" w:space="0" w:color="34ABA2" w:themeColor="accent6"/>
        </w:tcBorders>
      </w:tcPr>
    </w:tblStylePr>
    <w:tblStylePr w:type="lastRow">
      <w:rPr>
        <w:b/>
        <w:color w:val="5B9472" w:themeColor="accent5" w:themeShade="95"/>
      </w:rPr>
    </w:tblStylePr>
    <w:tblStylePr w:type="firstCol">
      <w:rPr>
        <w:b/>
        <w:color w:val="5B9472" w:themeColor="accent5" w:themeShade="95"/>
      </w:rPr>
    </w:tblStylePr>
    <w:tblStylePr w:type="lastCol">
      <w:rPr>
        <w:b/>
        <w:color w:val="5B9472" w:themeColor="accent5" w:themeShade="95"/>
      </w:rPr>
    </w:tblStylePr>
    <w:tblStylePr w:type="band1Vert">
      <w:tblPr/>
      <w:tcPr>
        <w:shd w:val="clear" w:color="D2F1EE" w:themeColor="accent6" w:themeTint="34" w:fill="D2F1EE" w:themeFill="accent6" w:themeFillTint="34"/>
      </w:tcPr>
    </w:tblStylePr>
    <w:tblStylePr w:type="band1Horz">
      <w:rPr>
        <w:rFonts w:ascii="Arial" w:hAnsi="Arial"/>
        <w:color w:val="5B9472" w:themeColor="accent5" w:themeShade="95"/>
        <w:sz w:val="22"/>
      </w:rPr>
      <w:tblPr/>
      <w:tcPr>
        <w:shd w:val="clear" w:color="D2F1EE" w:themeColor="accent6" w:themeTint="34" w:fill="D2F1EE" w:themeFill="accent6" w:themeFillTint="34"/>
      </w:tcPr>
    </w:tblStylePr>
    <w:tblStylePr w:type="band2Horz">
      <w:rPr>
        <w:rFonts w:ascii="Arial" w:hAnsi="Arial"/>
        <w:color w:val="5B9472" w:themeColor="accent5" w:themeShade="95"/>
        <w:sz w:val="22"/>
      </w:rPr>
    </w:tblStylePr>
  </w:style>
  <w:style w:type="table" w:customStyle="1" w:styleId="GridTable7Colorful-Accent11">
    <w:name w:val="Grid Table 7 Colorful - Accent 1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bottom w:val="single" w:sz="4" w:space="0" w:color="3EBCFB" w:themeColor="accent1" w:themeTint="80"/>
        <w:right w:val="single" w:sz="4" w:space="0" w:color="3EBCFB" w:themeColor="accent1" w:themeTint="80"/>
        <w:insideH w:val="single" w:sz="4" w:space="0" w:color="3EBCFB" w:themeColor="accent1" w:themeTint="80"/>
        <w:insideV w:val="single" w:sz="4" w:space="0" w:color="3EBCFB" w:themeColor="accent1" w:themeTint="80"/>
      </w:tblBorders>
    </w:tblPr>
    <w:tblStylePr w:type="firstRow">
      <w:rPr>
        <w:rFonts w:ascii="Arial" w:hAnsi="Arial"/>
        <w:b/>
        <w:color w:val="3EBCFB" w:themeColor="accent1" w:themeTint="80" w:themeShade="95"/>
        <w:sz w:val="22"/>
      </w:rPr>
      <w:tblPr/>
      <w:tcPr>
        <w:tcBorders>
          <w:top w:val="none" w:sz="0" w:space="0" w:color="auto"/>
          <w:left w:val="none" w:sz="0" w:space="0" w:color="auto"/>
          <w:bottom w:val="single" w:sz="4" w:space="0" w:color="3EBCFB" w:themeColor="accent1" w:themeTint="80"/>
          <w:right w:val="none" w:sz="0" w:space="0" w:color="auto"/>
        </w:tcBorders>
        <w:shd w:val="clear" w:color="FFFFFF" w:themeColor="light1" w:fill="FFFFFF" w:themeFill="light1"/>
      </w:tcPr>
    </w:tblStylePr>
    <w:tblStylePr w:type="lastRow">
      <w:rPr>
        <w:rFonts w:ascii="Arial" w:hAnsi="Arial"/>
        <w:b/>
        <w:color w:val="3EBCFB" w:themeColor="accent1" w:themeTint="80" w:themeShade="95"/>
        <w:sz w:val="22"/>
      </w:rPr>
      <w:tblPr/>
      <w:tcPr>
        <w:tcBorders>
          <w:top w:val="single" w:sz="4" w:space="0" w:color="3EBCFB"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3EBCFB" w:themeColor="accent1" w:themeTint="80" w:themeShade="95"/>
        <w:sz w:val="22"/>
      </w:rPr>
      <w:tblPr/>
      <w:tcPr>
        <w:tcBorders>
          <w:top w:val="none" w:sz="0" w:space="0" w:color="auto"/>
          <w:left w:val="none" w:sz="0" w:space="0" w:color="auto"/>
          <w:bottom w:val="none" w:sz="0" w:space="0" w:color="auto"/>
          <w:right w:val="single" w:sz="4" w:space="0" w:color="3EBCFB" w:themeColor="accent1" w:themeTint="80"/>
        </w:tcBorders>
        <w:shd w:val="clear" w:color="FFFFFF" w:fill="auto"/>
      </w:tcPr>
    </w:tblStylePr>
    <w:tblStylePr w:type="lastCol">
      <w:rPr>
        <w:rFonts w:ascii="Arial" w:hAnsi="Arial"/>
        <w:i/>
        <w:color w:val="3EBCFB" w:themeColor="accent1" w:themeTint="80" w:themeShade="95"/>
        <w:sz w:val="22"/>
      </w:rPr>
      <w:tblPr/>
      <w:tcPr>
        <w:tcBorders>
          <w:top w:val="none" w:sz="0" w:space="0" w:color="auto"/>
          <w:left w:val="single" w:sz="4" w:space="0" w:color="3EBCFB" w:themeColor="accent1" w:themeTint="80"/>
          <w:bottom w:val="none" w:sz="0" w:space="0" w:color="auto"/>
          <w:right w:val="none" w:sz="0" w:space="0" w:color="auto"/>
        </w:tcBorders>
        <w:shd w:val="clear" w:color="FFFFFF" w:fill="auto"/>
      </w:tcPr>
    </w:tblStylePr>
    <w:tblStylePr w:type="band1Vert">
      <w:tblPr/>
      <w:tcPr>
        <w:shd w:val="clear" w:color="B0E3FD" w:themeColor="accent1" w:themeTint="34" w:fill="B0E3FD" w:themeFill="accent1" w:themeFillTint="34"/>
      </w:tcPr>
    </w:tblStylePr>
    <w:tblStylePr w:type="band1Horz">
      <w:rPr>
        <w:rFonts w:ascii="Arial" w:hAnsi="Arial"/>
        <w:color w:val="3EBCFB" w:themeColor="accent1" w:themeTint="80" w:themeShade="95"/>
        <w:sz w:val="22"/>
      </w:rPr>
      <w:tblPr/>
      <w:tcPr>
        <w:shd w:val="clear" w:color="B0E3FD" w:themeColor="accent1" w:themeTint="34" w:fill="B0E3FD" w:themeFill="accent1" w:themeFillTint="34"/>
      </w:tcPr>
    </w:tblStylePr>
    <w:tblStylePr w:type="band2Horz">
      <w:rPr>
        <w:rFonts w:ascii="Arial" w:hAnsi="Arial"/>
        <w:color w:val="3EBCFB" w:themeColor="accent1" w:themeTint="80" w:themeShade="95"/>
        <w:sz w:val="22"/>
      </w:rPr>
    </w:tblStylePr>
  </w:style>
  <w:style w:type="table" w:customStyle="1" w:styleId="GridTable7Colorful-Accent21">
    <w:name w:val="Grid Table 7 Colorful - Accent 2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bottom w:val="single" w:sz="4" w:space="0" w:color="87BDE2" w:themeColor="accent2" w:themeTint="97"/>
        <w:right w:val="single" w:sz="4" w:space="0" w:color="87BDE2" w:themeColor="accent2" w:themeTint="97"/>
        <w:insideH w:val="single" w:sz="4" w:space="0" w:color="87BDE2" w:themeColor="accent2" w:themeTint="97"/>
        <w:insideV w:val="single" w:sz="4" w:space="0" w:color="87BDE2" w:themeColor="accent2" w:themeTint="97"/>
      </w:tblBorders>
    </w:tblPr>
    <w:tblStylePr w:type="firstRow">
      <w:rPr>
        <w:rFonts w:ascii="Arial" w:hAnsi="Arial"/>
        <w:b/>
        <w:color w:val="87BDE2" w:themeColor="accent2" w:themeTint="97" w:themeShade="95"/>
        <w:sz w:val="22"/>
      </w:rPr>
      <w:tblPr/>
      <w:tcPr>
        <w:tcBorders>
          <w:top w:val="none" w:sz="0" w:space="0" w:color="auto"/>
          <w:left w:val="none" w:sz="0" w:space="0" w:color="auto"/>
          <w:bottom w:val="single" w:sz="4" w:space="0" w:color="87BDE2" w:themeColor="accent2" w:themeTint="97"/>
          <w:right w:val="none" w:sz="0" w:space="0" w:color="auto"/>
        </w:tcBorders>
        <w:shd w:val="clear" w:color="FFFFFF" w:themeColor="light1" w:fill="FFFFFF" w:themeFill="light1"/>
      </w:tcPr>
    </w:tblStylePr>
    <w:tblStylePr w:type="lastRow">
      <w:rPr>
        <w:rFonts w:ascii="Arial" w:hAnsi="Arial"/>
        <w:b/>
        <w:color w:val="87BDE2" w:themeColor="accent2" w:themeTint="97" w:themeShade="95"/>
        <w:sz w:val="22"/>
      </w:rPr>
      <w:tblPr/>
      <w:tcPr>
        <w:tcBorders>
          <w:top w:val="single" w:sz="4" w:space="0" w:color="87BDE2"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7BDE2" w:themeColor="accent2" w:themeTint="97" w:themeShade="95"/>
        <w:sz w:val="22"/>
      </w:rPr>
      <w:tblPr/>
      <w:tcPr>
        <w:tcBorders>
          <w:top w:val="none" w:sz="0" w:space="0" w:color="auto"/>
          <w:left w:val="none" w:sz="0" w:space="0" w:color="auto"/>
          <w:bottom w:val="none" w:sz="0" w:space="0" w:color="auto"/>
          <w:right w:val="single" w:sz="4" w:space="0" w:color="87BDE2" w:themeColor="accent2" w:themeTint="97"/>
        </w:tcBorders>
        <w:shd w:val="clear" w:color="FFFFFF" w:fill="auto"/>
      </w:tcPr>
    </w:tblStylePr>
    <w:tblStylePr w:type="lastCol">
      <w:rPr>
        <w:rFonts w:ascii="Arial" w:hAnsi="Arial"/>
        <w:i/>
        <w:color w:val="87BDE2" w:themeColor="accent2" w:themeTint="97" w:themeShade="95"/>
        <w:sz w:val="22"/>
      </w:rPr>
      <w:tblPr/>
      <w:tcPr>
        <w:tcBorders>
          <w:top w:val="none" w:sz="0" w:space="0" w:color="auto"/>
          <w:left w:val="single" w:sz="4" w:space="0" w:color="87BDE2" w:themeColor="accent2" w:themeTint="97"/>
          <w:bottom w:val="none" w:sz="0" w:space="0" w:color="auto"/>
          <w:right w:val="none" w:sz="0" w:space="0" w:color="auto"/>
        </w:tcBorders>
        <w:shd w:val="clear" w:color="FFFFFF" w:fill="auto"/>
      </w:tcPr>
    </w:tblStylePr>
    <w:tblStylePr w:type="band1Vert">
      <w:tblPr/>
      <w:tcPr>
        <w:shd w:val="clear" w:color="D7E9F5" w:themeColor="accent2" w:themeTint="32" w:fill="D7E9F5" w:themeFill="accent2" w:themeFillTint="32"/>
      </w:tcPr>
    </w:tblStylePr>
    <w:tblStylePr w:type="band1Horz">
      <w:rPr>
        <w:rFonts w:ascii="Arial" w:hAnsi="Arial"/>
        <w:color w:val="87BDE2" w:themeColor="accent2" w:themeTint="97" w:themeShade="95"/>
        <w:sz w:val="22"/>
      </w:rPr>
      <w:tblPr/>
      <w:tcPr>
        <w:shd w:val="clear" w:color="D7E9F5" w:themeColor="accent2" w:themeTint="32" w:fill="D7E9F5" w:themeFill="accent2" w:themeFillTint="32"/>
      </w:tcPr>
    </w:tblStylePr>
    <w:tblStylePr w:type="band2Horz">
      <w:rPr>
        <w:rFonts w:ascii="Arial" w:hAnsi="Arial"/>
        <w:color w:val="87BDE2" w:themeColor="accent2" w:themeTint="97" w:themeShade="95"/>
        <w:sz w:val="22"/>
      </w:rPr>
    </w:tblStylePr>
  </w:style>
  <w:style w:type="table" w:customStyle="1" w:styleId="GridTable7Colorful-Accent31">
    <w:name w:val="Grid Table 7 Colorful - Accent 3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bottom w:val="single" w:sz="4" w:space="0" w:color="34ABA2" w:themeColor="accent3" w:themeTint="FE"/>
        <w:right w:val="single" w:sz="4" w:space="0" w:color="34ABA2" w:themeColor="accent3" w:themeTint="FE"/>
        <w:insideH w:val="single" w:sz="4" w:space="0" w:color="34ABA2" w:themeColor="accent3" w:themeTint="FE"/>
        <w:insideV w:val="single" w:sz="4" w:space="0" w:color="34ABA2" w:themeColor="accent3" w:themeTint="FE"/>
      </w:tblBorders>
    </w:tblPr>
    <w:tblStylePr w:type="firstRow">
      <w:rPr>
        <w:rFonts w:ascii="Arial" w:hAnsi="Arial"/>
        <w:b/>
        <w:color w:val="34ABA2" w:themeColor="accent3" w:themeTint="FE" w:themeShade="95"/>
        <w:sz w:val="22"/>
      </w:rPr>
      <w:tblPr/>
      <w:tcPr>
        <w:tcBorders>
          <w:top w:val="none" w:sz="0" w:space="0" w:color="auto"/>
          <w:left w:val="none" w:sz="0" w:space="0" w:color="auto"/>
          <w:bottom w:val="single" w:sz="4" w:space="0" w:color="34ABA2" w:themeColor="accent3" w:themeTint="FE"/>
          <w:right w:val="none" w:sz="0" w:space="0" w:color="auto"/>
        </w:tcBorders>
        <w:shd w:val="clear" w:color="FFFFFF" w:themeColor="light1" w:fill="FFFFFF" w:themeFill="light1"/>
      </w:tcPr>
    </w:tblStylePr>
    <w:tblStylePr w:type="lastRow">
      <w:rPr>
        <w:rFonts w:ascii="Arial" w:hAnsi="Arial"/>
        <w:b/>
        <w:color w:val="34ABA2" w:themeColor="accent3" w:themeTint="FE" w:themeShade="95"/>
        <w:sz w:val="22"/>
      </w:rPr>
      <w:tblPr/>
      <w:tcPr>
        <w:tcBorders>
          <w:top w:val="single" w:sz="4" w:space="0" w:color="34ABA2"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34ABA2" w:themeColor="accent3" w:themeTint="FE" w:themeShade="95"/>
        <w:sz w:val="22"/>
      </w:rPr>
      <w:tblPr/>
      <w:tcPr>
        <w:tcBorders>
          <w:top w:val="none" w:sz="0" w:space="0" w:color="auto"/>
          <w:left w:val="none" w:sz="0" w:space="0" w:color="auto"/>
          <w:bottom w:val="none" w:sz="0" w:space="0" w:color="auto"/>
          <w:right w:val="single" w:sz="4" w:space="0" w:color="34ABA2" w:themeColor="accent3" w:themeTint="FE"/>
        </w:tcBorders>
        <w:shd w:val="clear" w:color="FFFFFF" w:fill="auto"/>
      </w:tcPr>
    </w:tblStylePr>
    <w:tblStylePr w:type="lastCol">
      <w:rPr>
        <w:rFonts w:ascii="Arial" w:hAnsi="Arial"/>
        <w:i/>
        <w:color w:val="34ABA2" w:themeColor="accent3" w:themeTint="FE" w:themeShade="95"/>
        <w:sz w:val="22"/>
      </w:rPr>
      <w:tblPr/>
      <w:tcPr>
        <w:tcBorders>
          <w:top w:val="none" w:sz="0" w:space="0" w:color="auto"/>
          <w:left w:val="single" w:sz="4" w:space="0" w:color="34ABA2" w:themeColor="accent3" w:themeTint="FE"/>
          <w:bottom w:val="none" w:sz="0" w:space="0" w:color="auto"/>
          <w:right w:val="none" w:sz="0" w:space="0" w:color="auto"/>
        </w:tcBorders>
        <w:shd w:val="clear" w:color="FFFFFF" w:fill="auto"/>
      </w:tcPr>
    </w:tblStylePr>
    <w:tblStylePr w:type="band1Vert">
      <w:tblPr/>
      <w:tcPr>
        <w:shd w:val="clear" w:color="D2F1EE" w:themeColor="accent3" w:themeTint="34" w:fill="D2F1EE" w:themeFill="accent3" w:themeFillTint="34"/>
      </w:tcPr>
    </w:tblStylePr>
    <w:tblStylePr w:type="band1Horz">
      <w:rPr>
        <w:rFonts w:ascii="Arial" w:hAnsi="Arial"/>
        <w:color w:val="34ABA2" w:themeColor="accent3" w:themeTint="FE" w:themeShade="95"/>
        <w:sz w:val="22"/>
      </w:rPr>
      <w:tblPr/>
      <w:tcPr>
        <w:shd w:val="clear" w:color="D2F1EE" w:themeColor="accent3" w:themeTint="34" w:fill="D2F1EE" w:themeFill="accent3" w:themeFillTint="34"/>
      </w:tcPr>
    </w:tblStylePr>
    <w:tblStylePr w:type="band2Horz">
      <w:rPr>
        <w:rFonts w:ascii="Arial" w:hAnsi="Arial"/>
        <w:color w:val="34ABA2" w:themeColor="accent3" w:themeTint="FE" w:themeShade="95"/>
        <w:sz w:val="22"/>
      </w:rPr>
    </w:tblStylePr>
  </w:style>
  <w:style w:type="table" w:customStyle="1" w:styleId="GridTable7Colorful-Accent41">
    <w:name w:val="Grid Table 7 Colorful - Accent 4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bottom w:val="single" w:sz="4" w:space="0" w:color="A2D0DF" w:themeColor="accent4" w:themeTint="9A"/>
        <w:right w:val="single" w:sz="4" w:space="0" w:color="A2D0DF" w:themeColor="accent4" w:themeTint="9A"/>
        <w:insideH w:val="single" w:sz="4" w:space="0" w:color="A2D0DF" w:themeColor="accent4" w:themeTint="9A"/>
        <w:insideV w:val="single" w:sz="4" w:space="0" w:color="A2D0DF" w:themeColor="accent4" w:themeTint="9A"/>
      </w:tblBorders>
    </w:tblPr>
    <w:tblStylePr w:type="firstRow">
      <w:rPr>
        <w:rFonts w:ascii="Arial" w:hAnsi="Arial"/>
        <w:b/>
        <w:color w:val="A2D0DF" w:themeColor="accent4" w:themeTint="9A" w:themeShade="95"/>
        <w:sz w:val="22"/>
      </w:rPr>
      <w:tblPr/>
      <w:tcPr>
        <w:tcBorders>
          <w:top w:val="none" w:sz="0" w:space="0" w:color="auto"/>
          <w:left w:val="none" w:sz="0" w:space="0" w:color="auto"/>
          <w:bottom w:val="single" w:sz="4" w:space="0" w:color="A2D0DF" w:themeColor="accent4" w:themeTint="9A"/>
          <w:right w:val="none" w:sz="0" w:space="0" w:color="auto"/>
        </w:tcBorders>
        <w:shd w:val="clear" w:color="FFFFFF" w:themeColor="light1" w:fill="FFFFFF" w:themeFill="light1"/>
      </w:tcPr>
    </w:tblStylePr>
    <w:tblStylePr w:type="lastRow">
      <w:rPr>
        <w:rFonts w:ascii="Arial" w:hAnsi="Arial"/>
        <w:b/>
        <w:color w:val="A2D0DF" w:themeColor="accent4" w:themeTint="9A" w:themeShade="95"/>
        <w:sz w:val="22"/>
      </w:rPr>
      <w:tblPr/>
      <w:tcPr>
        <w:tcBorders>
          <w:top w:val="single" w:sz="4" w:space="0" w:color="A2D0DF"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2D0DF" w:themeColor="accent4" w:themeTint="9A" w:themeShade="95"/>
        <w:sz w:val="22"/>
      </w:rPr>
      <w:tblPr/>
      <w:tcPr>
        <w:tcBorders>
          <w:top w:val="none" w:sz="0" w:space="0" w:color="auto"/>
          <w:left w:val="none" w:sz="0" w:space="0" w:color="auto"/>
          <w:bottom w:val="none" w:sz="0" w:space="0" w:color="auto"/>
          <w:right w:val="single" w:sz="4" w:space="0" w:color="A2D0DF" w:themeColor="accent4" w:themeTint="9A"/>
        </w:tcBorders>
        <w:shd w:val="clear" w:color="FFFFFF" w:fill="auto"/>
      </w:tcPr>
    </w:tblStylePr>
    <w:tblStylePr w:type="lastCol">
      <w:rPr>
        <w:rFonts w:ascii="Arial" w:hAnsi="Arial"/>
        <w:i/>
        <w:color w:val="A2D0DF" w:themeColor="accent4" w:themeTint="9A" w:themeShade="95"/>
        <w:sz w:val="22"/>
      </w:rPr>
      <w:tblPr/>
      <w:tcPr>
        <w:tcBorders>
          <w:top w:val="none" w:sz="0" w:space="0" w:color="auto"/>
          <w:left w:val="single" w:sz="4" w:space="0" w:color="A2D0DF" w:themeColor="accent4" w:themeTint="9A"/>
          <w:bottom w:val="none" w:sz="0" w:space="0" w:color="auto"/>
          <w:right w:val="none" w:sz="0" w:space="0" w:color="auto"/>
        </w:tcBorders>
        <w:shd w:val="clear" w:color="FFFFFF" w:fill="auto"/>
      </w:tcPr>
    </w:tblStylePr>
    <w:tblStylePr w:type="band1Vert">
      <w:tblPr/>
      <w:tcPr>
        <w:shd w:val="clear" w:color="DFEFF4" w:themeColor="accent4" w:themeTint="34" w:fill="DFEFF4" w:themeFill="accent4" w:themeFillTint="34"/>
      </w:tcPr>
    </w:tblStylePr>
    <w:tblStylePr w:type="band1Horz">
      <w:rPr>
        <w:rFonts w:ascii="Arial" w:hAnsi="Arial"/>
        <w:color w:val="A2D0DF" w:themeColor="accent4" w:themeTint="9A" w:themeShade="95"/>
        <w:sz w:val="22"/>
      </w:rPr>
      <w:tblPr/>
      <w:tcPr>
        <w:shd w:val="clear" w:color="DFEFF4" w:themeColor="accent4" w:themeTint="34" w:fill="DFEFF4" w:themeFill="accent4" w:themeFillTint="34"/>
      </w:tcPr>
    </w:tblStylePr>
    <w:tblStylePr w:type="band2Horz">
      <w:rPr>
        <w:rFonts w:ascii="Arial" w:hAnsi="Arial"/>
        <w:color w:val="A2D0DF" w:themeColor="accent4" w:themeTint="9A" w:themeShade="95"/>
        <w:sz w:val="22"/>
      </w:rPr>
    </w:tblStylePr>
  </w:style>
  <w:style w:type="table" w:customStyle="1" w:styleId="GridTable7Colorful-Accent51">
    <w:name w:val="Grid Table 7 Colorful - Accent 5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bottom w:val="single" w:sz="4" w:space="0" w:color="DBE9E1" w:themeColor="accent5" w:themeTint="90"/>
        <w:right w:val="single" w:sz="4" w:space="0" w:color="DBE9E1" w:themeColor="accent5" w:themeTint="90"/>
        <w:insideH w:val="single" w:sz="4" w:space="0" w:color="DBE9E1" w:themeColor="accent5" w:themeTint="90"/>
        <w:insideV w:val="single" w:sz="4" w:space="0" w:color="DBE9E1" w:themeColor="accent5" w:themeTint="90"/>
      </w:tblBorders>
    </w:tblPr>
    <w:tblStylePr w:type="firstRow">
      <w:rPr>
        <w:rFonts w:ascii="Arial" w:hAnsi="Arial"/>
        <w:b/>
        <w:color w:val="5B9472" w:themeColor="accent5" w:themeShade="95"/>
        <w:sz w:val="22"/>
      </w:rPr>
      <w:tblPr/>
      <w:tcPr>
        <w:tcBorders>
          <w:top w:val="none" w:sz="0" w:space="0" w:color="auto"/>
          <w:left w:val="none" w:sz="0" w:space="0" w:color="auto"/>
          <w:bottom w:val="single" w:sz="4" w:space="0" w:color="DBE9E1" w:themeColor="accent5" w:themeTint="90"/>
          <w:right w:val="none" w:sz="0" w:space="0" w:color="auto"/>
        </w:tcBorders>
        <w:shd w:val="clear" w:color="FFFFFF" w:themeColor="light1" w:fill="FFFFFF" w:themeFill="light1"/>
      </w:tcPr>
    </w:tblStylePr>
    <w:tblStylePr w:type="lastRow">
      <w:rPr>
        <w:rFonts w:ascii="Arial" w:hAnsi="Arial"/>
        <w:b/>
        <w:color w:val="5B9472" w:themeColor="accent5" w:themeShade="95"/>
        <w:sz w:val="22"/>
      </w:rPr>
      <w:tblPr/>
      <w:tcPr>
        <w:tcBorders>
          <w:top w:val="single" w:sz="4" w:space="0" w:color="DBE9E1"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B9472" w:themeColor="accent5" w:themeShade="95"/>
        <w:sz w:val="22"/>
      </w:rPr>
      <w:tblPr/>
      <w:tcPr>
        <w:tcBorders>
          <w:top w:val="none" w:sz="0" w:space="0" w:color="auto"/>
          <w:left w:val="none" w:sz="0" w:space="0" w:color="auto"/>
          <w:bottom w:val="none" w:sz="0" w:space="0" w:color="auto"/>
          <w:right w:val="single" w:sz="4" w:space="0" w:color="DBE9E1" w:themeColor="accent5" w:themeTint="90"/>
        </w:tcBorders>
        <w:shd w:val="clear" w:color="FFFFFF" w:fill="auto"/>
      </w:tcPr>
    </w:tblStylePr>
    <w:tblStylePr w:type="lastCol">
      <w:rPr>
        <w:rFonts w:ascii="Arial" w:hAnsi="Arial"/>
        <w:i/>
        <w:color w:val="5B9472" w:themeColor="accent5" w:themeShade="95"/>
        <w:sz w:val="22"/>
      </w:rPr>
      <w:tblPr/>
      <w:tcPr>
        <w:tcBorders>
          <w:top w:val="none" w:sz="0" w:space="0" w:color="auto"/>
          <w:left w:val="single" w:sz="4" w:space="0" w:color="DBE9E1" w:themeColor="accent5" w:themeTint="90"/>
          <w:bottom w:val="none" w:sz="0" w:space="0" w:color="auto"/>
          <w:right w:val="none" w:sz="0" w:space="0" w:color="auto"/>
        </w:tcBorders>
        <w:shd w:val="clear" w:color="FFFFFF" w:fill="auto"/>
      </w:tcPr>
    </w:tblStylePr>
    <w:tblStylePr w:type="band1Vert">
      <w:tblPr/>
      <w:tcPr>
        <w:shd w:val="clear" w:color="F2F7F4" w:themeColor="accent5" w:themeTint="34" w:fill="F2F7F4" w:themeFill="accent5" w:themeFillTint="34"/>
      </w:tcPr>
    </w:tblStylePr>
    <w:tblStylePr w:type="band1Horz">
      <w:rPr>
        <w:rFonts w:ascii="Arial" w:hAnsi="Arial"/>
        <w:color w:val="5B9472" w:themeColor="accent5" w:themeShade="95"/>
        <w:sz w:val="22"/>
      </w:rPr>
      <w:tblPr/>
      <w:tcPr>
        <w:shd w:val="clear" w:color="F2F7F4" w:themeColor="accent5" w:themeTint="34" w:fill="F2F7F4" w:themeFill="accent5" w:themeFillTint="34"/>
      </w:tcPr>
    </w:tblStylePr>
    <w:tblStylePr w:type="band2Horz">
      <w:rPr>
        <w:rFonts w:ascii="Arial" w:hAnsi="Arial"/>
        <w:color w:val="5B9472" w:themeColor="accent5" w:themeShade="95"/>
        <w:sz w:val="22"/>
      </w:rPr>
    </w:tblStylePr>
  </w:style>
  <w:style w:type="table" w:customStyle="1" w:styleId="GridTable7Colorful-Accent61">
    <w:name w:val="Grid Table 7 Colorful - Accent 6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bottom w:val="single" w:sz="4" w:space="0" w:color="82D9D2" w:themeColor="accent6" w:themeTint="90"/>
        <w:right w:val="single" w:sz="4" w:space="0" w:color="82D9D2" w:themeColor="accent6" w:themeTint="90"/>
        <w:insideH w:val="single" w:sz="4" w:space="0" w:color="82D9D2" w:themeColor="accent6" w:themeTint="90"/>
        <w:insideV w:val="single" w:sz="4" w:space="0" w:color="82D9D2" w:themeColor="accent6" w:themeTint="90"/>
      </w:tblBorders>
    </w:tblPr>
    <w:tblStylePr w:type="firstRow">
      <w:rPr>
        <w:rFonts w:ascii="Arial" w:hAnsi="Arial"/>
        <w:b/>
        <w:color w:val="1E635E" w:themeColor="accent6" w:themeShade="95"/>
        <w:sz w:val="22"/>
      </w:rPr>
      <w:tblPr/>
      <w:tcPr>
        <w:tcBorders>
          <w:top w:val="none" w:sz="0" w:space="0" w:color="auto"/>
          <w:left w:val="none" w:sz="0" w:space="0" w:color="auto"/>
          <w:bottom w:val="single" w:sz="4" w:space="0" w:color="82D9D2" w:themeColor="accent6" w:themeTint="90"/>
          <w:right w:val="none" w:sz="0" w:space="0" w:color="auto"/>
        </w:tcBorders>
        <w:shd w:val="clear" w:color="FFFFFF" w:themeColor="light1" w:fill="FFFFFF" w:themeFill="light1"/>
      </w:tcPr>
    </w:tblStylePr>
    <w:tblStylePr w:type="lastRow">
      <w:rPr>
        <w:rFonts w:ascii="Arial" w:hAnsi="Arial"/>
        <w:b/>
        <w:color w:val="1E635E" w:themeColor="accent6" w:themeShade="95"/>
        <w:sz w:val="22"/>
      </w:rPr>
      <w:tblPr/>
      <w:tcPr>
        <w:tcBorders>
          <w:top w:val="single" w:sz="4" w:space="0" w:color="82D9D2"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1E635E" w:themeColor="accent6" w:themeShade="95"/>
        <w:sz w:val="22"/>
      </w:rPr>
      <w:tblPr/>
      <w:tcPr>
        <w:tcBorders>
          <w:top w:val="none" w:sz="0" w:space="0" w:color="auto"/>
          <w:left w:val="none" w:sz="0" w:space="0" w:color="auto"/>
          <w:bottom w:val="none" w:sz="0" w:space="0" w:color="auto"/>
          <w:right w:val="single" w:sz="4" w:space="0" w:color="82D9D2" w:themeColor="accent6" w:themeTint="90"/>
        </w:tcBorders>
        <w:shd w:val="clear" w:color="FFFFFF" w:fill="auto"/>
      </w:tcPr>
    </w:tblStylePr>
    <w:tblStylePr w:type="lastCol">
      <w:rPr>
        <w:rFonts w:ascii="Arial" w:hAnsi="Arial"/>
        <w:i/>
        <w:color w:val="1E635E" w:themeColor="accent6" w:themeShade="95"/>
        <w:sz w:val="22"/>
      </w:rPr>
      <w:tblPr/>
      <w:tcPr>
        <w:tcBorders>
          <w:top w:val="none" w:sz="0" w:space="0" w:color="auto"/>
          <w:left w:val="single" w:sz="4" w:space="0" w:color="82D9D2" w:themeColor="accent6" w:themeTint="90"/>
          <w:bottom w:val="none" w:sz="0" w:space="0" w:color="auto"/>
          <w:right w:val="none" w:sz="0" w:space="0" w:color="auto"/>
        </w:tcBorders>
        <w:shd w:val="clear" w:color="FFFFFF" w:fill="auto"/>
      </w:tcPr>
    </w:tblStylePr>
    <w:tblStylePr w:type="band1Vert">
      <w:tblPr/>
      <w:tcPr>
        <w:shd w:val="clear" w:color="D2F1EE" w:themeColor="accent6" w:themeTint="34" w:fill="D2F1EE" w:themeFill="accent6" w:themeFillTint="34"/>
      </w:tcPr>
    </w:tblStylePr>
    <w:tblStylePr w:type="band1Horz">
      <w:rPr>
        <w:rFonts w:ascii="Arial" w:hAnsi="Arial"/>
        <w:color w:val="1E635E" w:themeColor="accent6" w:themeShade="95"/>
        <w:sz w:val="22"/>
      </w:rPr>
      <w:tblPr/>
      <w:tcPr>
        <w:shd w:val="clear" w:color="D2F1EE" w:themeColor="accent6" w:themeTint="34" w:fill="D2F1EE" w:themeFill="accent6" w:themeFillTint="34"/>
      </w:tcPr>
    </w:tblStylePr>
    <w:tblStylePr w:type="band2Horz">
      <w:rPr>
        <w:rFonts w:ascii="Arial" w:hAnsi="Arial"/>
        <w:color w:val="1E635E" w:themeColor="accent6" w:themeShade="95"/>
        <w:sz w:val="22"/>
      </w:rPr>
    </w:tblStylePr>
  </w:style>
  <w:style w:type="table" w:customStyle="1" w:styleId="ListTable6Colorful-Accent11">
    <w:name w:val="List Table 6 Colorful - Accent 1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024F75" w:themeColor="accent1"/>
        <w:bottom w:val="single" w:sz="4" w:space="0" w:color="024F75" w:themeColor="accent1"/>
      </w:tblBorders>
    </w:tblPr>
    <w:tblStylePr w:type="firstRow">
      <w:rPr>
        <w:b/>
        <w:color w:val="012D44" w:themeColor="accent1" w:themeShade="95"/>
      </w:rPr>
      <w:tblPr/>
      <w:tcPr>
        <w:tcBorders>
          <w:bottom w:val="single" w:sz="4" w:space="0" w:color="024F75" w:themeColor="accent1"/>
        </w:tcBorders>
      </w:tcPr>
    </w:tblStylePr>
    <w:tblStylePr w:type="lastRow">
      <w:rPr>
        <w:b/>
        <w:color w:val="012D44" w:themeColor="accent1" w:themeShade="95"/>
      </w:rPr>
      <w:tblPr/>
      <w:tcPr>
        <w:tcBorders>
          <w:top w:val="single" w:sz="4" w:space="0" w:color="024F75" w:themeColor="accent1"/>
        </w:tcBorders>
      </w:tcPr>
    </w:tblStylePr>
    <w:tblStylePr w:type="firstCol">
      <w:rPr>
        <w:b/>
        <w:color w:val="012D44" w:themeColor="accent1" w:themeShade="95"/>
      </w:rPr>
    </w:tblStylePr>
    <w:tblStylePr w:type="lastCol">
      <w:rPr>
        <w:b/>
        <w:color w:val="012D44" w:themeColor="accent1" w:themeShade="95"/>
      </w:rPr>
    </w:tblStylePr>
    <w:tblStylePr w:type="band1Vert">
      <w:tblPr/>
      <w:tcPr>
        <w:shd w:val="clear" w:color="9EDDFD" w:themeColor="accent1" w:themeTint="40" w:fill="9EDDFD" w:themeFill="accent1" w:themeFillTint="40"/>
      </w:tcPr>
    </w:tblStylePr>
    <w:tblStylePr w:type="band1Horz">
      <w:rPr>
        <w:rFonts w:ascii="Arial" w:hAnsi="Arial"/>
        <w:color w:val="012D44" w:themeColor="accent1" w:themeShade="95"/>
        <w:sz w:val="22"/>
      </w:rPr>
      <w:tblPr/>
      <w:tcPr>
        <w:shd w:val="clear" w:color="9EDDFD" w:themeColor="accent1" w:themeTint="40" w:fill="9EDDFD" w:themeFill="accent1" w:themeFillTint="40"/>
      </w:tcPr>
    </w:tblStylePr>
    <w:tblStylePr w:type="band2Horz">
      <w:rPr>
        <w:rFonts w:ascii="Arial" w:hAnsi="Arial"/>
        <w:color w:val="012D44" w:themeColor="accent1" w:themeShade="95"/>
        <w:sz w:val="22"/>
      </w:rPr>
    </w:tblStylePr>
  </w:style>
  <w:style w:type="table" w:customStyle="1" w:styleId="ListTable6Colorful-Accent21">
    <w:name w:val="List Table 6 Colorful - Accent 2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87BDE2" w:themeColor="accent2" w:themeTint="97"/>
        <w:bottom w:val="single" w:sz="4" w:space="0" w:color="87BDE2" w:themeColor="accent2" w:themeTint="97"/>
      </w:tblBorders>
    </w:tblPr>
    <w:tblStylePr w:type="firstRow">
      <w:rPr>
        <w:b/>
        <w:color w:val="87BDE2" w:themeColor="accent2" w:themeTint="97" w:themeShade="95"/>
      </w:rPr>
      <w:tblPr/>
      <w:tcPr>
        <w:tcBorders>
          <w:bottom w:val="single" w:sz="4" w:space="0" w:color="87BDE2" w:themeColor="accent2" w:themeTint="97"/>
        </w:tcBorders>
      </w:tcPr>
    </w:tblStylePr>
    <w:tblStylePr w:type="lastRow">
      <w:rPr>
        <w:b/>
        <w:color w:val="87BDE2" w:themeColor="accent2" w:themeTint="97" w:themeShade="95"/>
      </w:rPr>
      <w:tblPr/>
      <w:tcPr>
        <w:tcBorders>
          <w:top w:val="single" w:sz="4" w:space="0" w:color="87BDE2" w:themeColor="accent2" w:themeTint="97"/>
        </w:tcBorders>
      </w:tcPr>
    </w:tblStylePr>
    <w:tblStylePr w:type="firstCol">
      <w:rPr>
        <w:b/>
        <w:color w:val="87BDE2" w:themeColor="accent2" w:themeTint="97" w:themeShade="95"/>
      </w:rPr>
    </w:tblStylePr>
    <w:tblStylePr w:type="lastCol">
      <w:rPr>
        <w:b/>
        <w:color w:val="87BDE2" w:themeColor="accent2" w:themeTint="97" w:themeShade="95"/>
      </w:rPr>
    </w:tblStylePr>
    <w:tblStylePr w:type="band1Vert">
      <w:tblPr/>
      <w:tcPr>
        <w:shd w:val="clear" w:color="CCE3F3" w:themeColor="accent2" w:themeTint="40" w:fill="CCE3F3" w:themeFill="accent2" w:themeFillTint="40"/>
      </w:tcPr>
    </w:tblStylePr>
    <w:tblStylePr w:type="band1Horz">
      <w:rPr>
        <w:rFonts w:ascii="Arial" w:hAnsi="Arial"/>
        <w:color w:val="87BDE2" w:themeColor="accent2" w:themeTint="97" w:themeShade="95"/>
        <w:sz w:val="22"/>
      </w:rPr>
      <w:tblPr/>
      <w:tcPr>
        <w:shd w:val="clear" w:color="CCE3F3" w:themeColor="accent2" w:themeTint="40" w:fill="CCE3F3" w:themeFill="accent2" w:themeFillTint="40"/>
      </w:tcPr>
    </w:tblStylePr>
    <w:tblStylePr w:type="band2Horz">
      <w:rPr>
        <w:rFonts w:ascii="Arial" w:hAnsi="Arial"/>
        <w:color w:val="87BDE2" w:themeColor="accent2" w:themeTint="97" w:themeShade="95"/>
        <w:sz w:val="22"/>
      </w:rPr>
    </w:tblStylePr>
  </w:style>
  <w:style w:type="table" w:customStyle="1" w:styleId="ListTable6Colorful-Accent31">
    <w:name w:val="List Table 6 Colorful - Accent 3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7BD7CF" w:themeColor="accent3" w:themeTint="98"/>
        <w:bottom w:val="single" w:sz="4" w:space="0" w:color="7BD7CF" w:themeColor="accent3" w:themeTint="98"/>
      </w:tblBorders>
    </w:tblPr>
    <w:tblStylePr w:type="firstRow">
      <w:rPr>
        <w:b/>
        <w:color w:val="7BD7CF" w:themeColor="accent3" w:themeTint="98" w:themeShade="95"/>
      </w:rPr>
      <w:tblPr/>
      <w:tcPr>
        <w:tcBorders>
          <w:bottom w:val="single" w:sz="4" w:space="0" w:color="7BD7CF" w:themeColor="accent3" w:themeTint="98"/>
        </w:tcBorders>
      </w:tcPr>
    </w:tblStylePr>
    <w:tblStylePr w:type="lastRow">
      <w:rPr>
        <w:b/>
        <w:color w:val="7BD7CF" w:themeColor="accent3" w:themeTint="98" w:themeShade="95"/>
      </w:rPr>
      <w:tblPr/>
      <w:tcPr>
        <w:tcBorders>
          <w:top w:val="single" w:sz="4" w:space="0" w:color="7BD7CF" w:themeColor="accent3" w:themeTint="98"/>
        </w:tcBorders>
      </w:tcPr>
    </w:tblStylePr>
    <w:tblStylePr w:type="firstCol">
      <w:rPr>
        <w:b/>
        <w:color w:val="7BD7CF" w:themeColor="accent3" w:themeTint="98" w:themeShade="95"/>
      </w:rPr>
    </w:tblStylePr>
    <w:tblStylePr w:type="lastCol">
      <w:rPr>
        <w:b/>
        <w:color w:val="7BD7CF" w:themeColor="accent3" w:themeTint="98" w:themeShade="95"/>
      </w:rPr>
    </w:tblStylePr>
    <w:tblStylePr w:type="band1Vert">
      <w:tblPr/>
      <w:tcPr>
        <w:shd w:val="clear" w:color="C7EEEB" w:themeColor="accent3" w:themeTint="40" w:fill="C7EEEB" w:themeFill="accent3" w:themeFillTint="40"/>
      </w:tcPr>
    </w:tblStylePr>
    <w:tblStylePr w:type="band1Horz">
      <w:rPr>
        <w:rFonts w:ascii="Arial" w:hAnsi="Arial"/>
        <w:color w:val="7BD7CF" w:themeColor="accent3" w:themeTint="98" w:themeShade="95"/>
        <w:sz w:val="22"/>
      </w:rPr>
      <w:tblPr/>
      <w:tcPr>
        <w:shd w:val="clear" w:color="C7EEEB" w:themeColor="accent3" w:themeTint="40" w:fill="C7EEEB" w:themeFill="accent3" w:themeFillTint="40"/>
      </w:tcPr>
    </w:tblStylePr>
    <w:tblStylePr w:type="band2Horz">
      <w:rPr>
        <w:rFonts w:ascii="Arial" w:hAnsi="Arial"/>
        <w:color w:val="7BD7CF" w:themeColor="accent3" w:themeTint="98" w:themeShade="95"/>
        <w:sz w:val="22"/>
      </w:rPr>
    </w:tblStylePr>
  </w:style>
  <w:style w:type="table" w:customStyle="1" w:styleId="ListTable6Colorful-Accent41">
    <w:name w:val="List Table 6 Colorful - Accent 4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A2D0DF" w:themeColor="accent4" w:themeTint="9A"/>
        <w:bottom w:val="single" w:sz="4" w:space="0" w:color="A2D0DF" w:themeColor="accent4" w:themeTint="9A"/>
      </w:tblBorders>
    </w:tblPr>
    <w:tblStylePr w:type="firstRow">
      <w:rPr>
        <w:b/>
        <w:color w:val="A2D0DF" w:themeColor="accent4" w:themeTint="9A" w:themeShade="95"/>
      </w:rPr>
      <w:tblPr/>
      <w:tcPr>
        <w:tcBorders>
          <w:bottom w:val="single" w:sz="4" w:space="0" w:color="A2D0DF" w:themeColor="accent4" w:themeTint="9A"/>
        </w:tcBorders>
      </w:tcPr>
    </w:tblStylePr>
    <w:tblStylePr w:type="lastRow">
      <w:rPr>
        <w:b/>
        <w:color w:val="A2D0DF" w:themeColor="accent4" w:themeTint="9A" w:themeShade="95"/>
      </w:rPr>
      <w:tblPr/>
      <w:tcPr>
        <w:tcBorders>
          <w:top w:val="single" w:sz="4" w:space="0" w:color="A2D0DF" w:themeColor="accent4" w:themeTint="9A"/>
        </w:tcBorders>
      </w:tcPr>
    </w:tblStylePr>
    <w:tblStylePr w:type="firstCol">
      <w:rPr>
        <w:b/>
        <w:color w:val="A2D0DF" w:themeColor="accent4" w:themeTint="9A" w:themeShade="95"/>
      </w:rPr>
    </w:tblStylePr>
    <w:tblStylePr w:type="lastCol">
      <w:rPr>
        <w:b/>
        <w:color w:val="A2D0DF" w:themeColor="accent4" w:themeTint="9A" w:themeShade="95"/>
      </w:rPr>
    </w:tblStylePr>
    <w:tblStylePr w:type="band1Vert">
      <w:tblPr/>
      <w:tcPr>
        <w:shd w:val="clear" w:color="D8EBF1" w:themeColor="accent4" w:themeTint="40" w:fill="D8EBF1" w:themeFill="accent4" w:themeFillTint="40"/>
      </w:tcPr>
    </w:tblStylePr>
    <w:tblStylePr w:type="band1Horz">
      <w:rPr>
        <w:rFonts w:ascii="Arial" w:hAnsi="Arial"/>
        <w:color w:val="A2D0DF" w:themeColor="accent4" w:themeTint="9A" w:themeShade="95"/>
        <w:sz w:val="22"/>
      </w:rPr>
      <w:tblPr/>
      <w:tcPr>
        <w:shd w:val="clear" w:color="D8EBF1" w:themeColor="accent4" w:themeTint="40" w:fill="D8EBF1" w:themeFill="accent4" w:themeFillTint="40"/>
      </w:tcPr>
    </w:tblStylePr>
    <w:tblStylePr w:type="band2Horz">
      <w:rPr>
        <w:rFonts w:ascii="Arial" w:hAnsi="Arial"/>
        <w:color w:val="A2D0DF" w:themeColor="accent4" w:themeTint="9A" w:themeShade="95"/>
        <w:sz w:val="22"/>
      </w:rPr>
    </w:tblStylePr>
  </w:style>
  <w:style w:type="table" w:customStyle="1" w:styleId="ListTable6Colorful-Accent51">
    <w:name w:val="List Table 6 Colorful - Accent 5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D9E8DF" w:themeColor="accent5" w:themeTint="9A"/>
        <w:bottom w:val="single" w:sz="4" w:space="0" w:color="D9E8DF" w:themeColor="accent5" w:themeTint="9A"/>
      </w:tblBorders>
    </w:tblPr>
    <w:tblStylePr w:type="firstRow">
      <w:rPr>
        <w:b/>
        <w:color w:val="D9E8DF" w:themeColor="accent5" w:themeTint="9A" w:themeShade="95"/>
      </w:rPr>
      <w:tblPr/>
      <w:tcPr>
        <w:tcBorders>
          <w:bottom w:val="single" w:sz="4" w:space="0" w:color="D9E8DF" w:themeColor="accent5" w:themeTint="9A"/>
        </w:tcBorders>
      </w:tcPr>
    </w:tblStylePr>
    <w:tblStylePr w:type="lastRow">
      <w:rPr>
        <w:b/>
        <w:color w:val="D9E8DF" w:themeColor="accent5" w:themeTint="9A" w:themeShade="95"/>
      </w:rPr>
      <w:tblPr/>
      <w:tcPr>
        <w:tcBorders>
          <w:top w:val="single" w:sz="4" w:space="0" w:color="D9E8DF" w:themeColor="accent5" w:themeTint="9A"/>
        </w:tcBorders>
      </w:tcPr>
    </w:tblStylePr>
    <w:tblStylePr w:type="firstCol">
      <w:rPr>
        <w:b/>
        <w:color w:val="D9E8DF" w:themeColor="accent5" w:themeTint="9A" w:themeShade="95"/>
      </w:rPr>
    </w:tblStylePr>
    <w:tblStylePr w:type="lastCol">
      <w:rPr>
        <w:b/>
        <w:color w:val="D9E8DF" w:themeColor="accent5" w:themeTint="9A" w:themeShade="95"/>
      </w:rPr>
    </w:tblStylePr>
    <w:tblStylePr w:type="band1Vert">
      <w:tblPr/>
      <w:tcPr>
        <w:shd w:val="clear" w:color="EFF5F1" w:themeColor="accent5" w:themeTint="40" w:fill="EFF5F1" w:themeFill="accent5" w:themeFillTint="40"/>
      </w:tcPr>
    </w:tblStylePr>
    <w:tblStylePr w:type="band1Horz">
      <w:rPr>
        <w:rFonts w:ascii="Arial" w:hAnsi="Arial"/>
        <w:color w:val="D9E8DF" w:themeColor="accent5" w:themeTint="9A" w:themeShade="95"/>
        <w:sz w:val="22"/>
      </w:rPr>
      <w:tblPr/>
      <w:tcPr>
        <w:shd w:val="clear" w:color="EFF5F1" w:themeColor="accent5" w:themeTint="40" w:fill="EFF5F1" w:themeFill="accent5" w:themeFillTint="40"/>
      </w:tcPr>
    </w:tblStylePr>
    <w:tblStylePr w:type="band2Horz">
      <w:rPr>
        <w:rFonts w:ascii="Arial" w:hAnsi="Arial"/>
        <w:color w:val="D9E8DF" w:themeColor="accent5" w:themeTint="9A" w:themeShade="95"/>
        <w:sz w:val="22"/>
      </w:rPr>
    </w:tblStylePr>
  </w:style>
  <w:style w:type="table" w:customStyle="1" w:styleId="ListTable6Colorful-Accent61">
    <w:name w:val="List Table 6 Colorful - Accent 6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7BD7CF" w:themeColor="accent6" w:themeTint="98"/>
        <w:bottom w:val="single" w:sz="4" w:space="0" w:color="7BD7CF" w:themeColor="accent6" w:themeTint="98"/>
      </w:tblBorders>
    </w:tblPr>
    <w:tblStylePr w:type="firstRow">
      <w:rPr>
        <w:b/>
        <w:color w:val="7BD7CF" w:themeColor="accent6" w:themeTint="98" w:themeShade="95"/>
      </w:rPr>
      <w:tblPr/>
      <w:tcPr>
        <w:tcBorders>
          <w:bottom w:val="single" w:sz="4" w:space="0" w:color="7BD7CF" w:themeColor="accent6" w:themeTint="98"/>
        </w:tcBorders>
      </w:tcPr>
    </w:tblStylePr>
    <w:tblStylePr w:type="lastRow">
      <w:rPr>
        <w:b/>
        <w:color w:val="7BD7CF" w:themeColor="accent6" w:themeTint="98" w:themeShade="95"/>
      </w:rPr>
      <w:tblPr/>
      <w:tcPr>
        <w:tcBorders>
          <w:top w:val="single" w:sz="4" w:space="0" w:color="7BD7CF" w:themeColor="accent6" w:themeTint="98"/>
        </w:tcBorders>
      </w:tcPr>
    </w:tblStylePr>
    <w:tblStylePr w:type="firstCol">
      <w:rPr>
        <w:b/>
        <w:color w:val="7BD7CF" w:themeColor="accent6" w:themeTint="98" w:themeShade="95"/>
      </w:rPr>
    </w:tblStylePr>
    <w:tblStylePr w:type="lastCol">
      <w:rPr>
        <w:b/>
        <w:color w:val="7BD7CF" w:themeColor="accent6" w:themeTint="98" w:themeShade="95"/>
      </w:rPr>
    </w:tblStylePr>
    <w:tblStylePr w:type="band1Vert">
      <w:tblPr/>
      <w:tcPr>
        <w:shd w:val="clear" w:color="C7EEEB" w:themeColor="accent6" w:themeTint="40" w:fill="C7EEEB" w:themeFill="accent6" w:themeFillTint="40"/>
      </w:tcPr>
    </w:tblStylePr>
    <w:tblStylePr w:type="band1Horz">
      <w:rPr>
        <w:rFonts w:ascii="Arial" w:hAnsi="Arial"/>
        <w:color w:val="7BD7CF" w:themeColor="accent6" w:themeTint="98" w:themeShade="95"/>
        <w:sz w:val="22"/>
      </w:rPr>
      <w:tblPr/>
      <w:tcPr>
        <w:shd w:val="clear" w:color="C7EEEB" w:themeColor="accent6" w:themeTint="40" w:fill="C7EEEB" w:themeFill="accent6" w:themeFillTint="40"/>
      </w:tcPr>
    </w:tblStylePr>
    <w:tblStylePr w:type="band2Horz">
      <w:rPr>
        <w:rFonts w:ascii="Arial" w:hAnsi="Arial"/>
        <w:color w:val="7BD7CF" w:themeColor="accent6" w:themeTint="98" w:themeShade="95"/>
        <w:sz w:val="22"/>
      </w:rPr>
    </w:tblStylePr>
  </w:style>
  <w:style w:type="table" w:customStyle="1" w:styleId="ListTable7Colorful-Accent11">
    <w:name w:val="List Table 7 Colorful - Accent 1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right w:val="single" w:sz="4" w:space="0" w:color="024F75" w:themeColor="accent1"/>
      </w:tblBorders>
    </w:tblPr>
    <w:tblStylePr w:type="firstRow">
      <w:rPr>
        <w:rFonts w:ascii="Arial" w:hAnsi="Arial"/>
        <w:i/>
        <w:color w:val="012D44" w:themeColor="accent1" w:themeShade="95"/>
        <w:sz w:val="22"/>
      </w:rPr>
      <w:tblPr/>
      <w:tcPr>
        <w:tcBorders>
          <w:top w:val="none" w:sz="0" w:space="0" w:color="auto"/>
          <w:left w:val="none" w:sz="0" w:space="0" w:color="auto"/>
          <w:bottom w:val="single" w:sz="4" w:space="0" w:color="024F75" w:themeColor="accent1"/>
          <w:right w:val="none" w:sz="0" w:space="0" w:color="auto"/>
        </w:tcBorders>
        <w:shd w:val="clear" w:color="FFFFFF" w:themeColor="light1" w:fill="FFFFFF" w:themeFill="light1"/>
      </w:tcPr>
    </w:tblStylePr>
    <w:tblStylePr w:type="lastRow">
      <w:rPr>
        <w:rFonts w:ascii="Arial" w:hAnsi="Arial"/>
        <w:i/>
        <w:color w:val="012D44" w:themeColor="accent1" w:themeShade="95"/>
        <w:sz w:val="22"/>
      </w:rPr>
      <w:tblPr/>
      <w:tcPr>
        <w:tcBorders>
          <w:top w:val="single" w:sz="4" w:space="0" w:color="024F7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12D44" w:themeColor="accent1" w:themeShade="95"/>
        <w:sz w:val="22"/>
      </w:rPr>
      <w:tblPr/>
      <w:tcPr>
        <w:tcBorders>
          <w:top w:val="none" w:sz="0" w:space="0" w:color="auto"/>
          <w:left w:val="none" w:sz="0" w:space="0" w:color="auto"/>
          <w:bottom w:val="none" w:sz="0" w:space="0" w:color="auto"/>
          <w:right w:val="single" w:sz="4" w:space="0" w:color="024F75" w:themeColor="accent1"/>
        </w:tcBorders>
        <w:shd w:val="clear" w:color="FFFFFF" w:fill="auto"/>
      </w:tcPr>
    </w:tblStylePr>
    <w:tblStylePr w:type="lastCol">
      <w:rPr>
        <w:rFonts w:ascii="Arial" w:hAnsi="Arial"/>
        <w:i/>
        <w:color w:val="012D44" w:themeColor="accent1" w:themeShade="95"/>
        <w:sz w:val="22"/>
      </w:rPr>
      <w:tblPr/>
      <w:tcPr>
        <w:tcBorders>
          <w:top w:val="none" w:sz="0" w:space="0" w:color="auto"/>
          <w:left w:val="single" w:sz="4" w:space="0" w:color="024F75" w:themeColor="accent1"/>
          <w:bottom w:val="none" w:sz="0" w:space="0" w:color="auto"/>
          <w:right w:val="none" w:sz="0" w:space="0" w:color="auto"/>
        </w:tcBorders>
        <w:shd w:val="clear" w:color="FFFFFF" w:fill="auto"/>
      </w:tcPr>
    </w:tblStylePr>
    <w:tblStylePr w:type="band1Vert">
      <w:tblPr/>
      <w:tcPr>
        <w:shd w:val="clear" w:color="9EDDFD" w:themeColor="accent1" w:themeTint="40" w:fill="9EDDFD" w:themeFill="accent1" w:themeFillTint="40"/>
      </w:tcPr>
    </w:tblStylePr>
    <w:tblStylePr w:type="band1Horz">
      <w:rPr>
        <w:rFonts w:ascii="Arial" w:hAnsi="Arial"/>
        <w:color w:val="012D44" w:themeColor="accent1" w:themeShade="95"/>
        <w:sz w:val="22"/>
      </w:rPr>
      <w:tblPr/>
      <w:tcPr>
        <w:shd w:val="clear" w:color="9EDDFD" w:themeColor="accent1" w:themeTint="40" w:fill="9EDDFD" w:themeFill="accent1" w:themeFillTint="40"/>
      </w:tcPr>
    </w:tblStylePr>
    <w:tblStylePr w:type="band2Horz">
      <w:rPr>
        <w:rFonts w:ascii="Arial" w:hAnsi="Arial"/>
        <w:color w:val="012D44" w:themeColor="accent1" w:themeShade="95"/>
        <w:sz w:val="22"/>
      </w:rPr>
    </w:tblStylePr>
  </w:style>
  <w:style w:type="table" w:customStyle="1" w:styleId="ListTable7Colorful-Accent21">
    <w:name w:val="List Table 7 Colorful - Accent 2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right w:val="single" w:sz="4" w:space="0" w:color="87BDE2" w:themeColor="accent2" w:themeTint="97"/>
      </w:tblBorders>
    </w:tblPr>
    <w:tblStylePr w:type="firstRow">
      <w:rPr>
        <w:rFonts w:ascii="Arial" w:hAnsi="Arial"/>
        <w:i/>
        <w:color w:val="87BDE2" w:themeColor="accent2" w:themeTint="97" w:themeShade="95"/>
        <w:sz w:val="22"/>
      </w:rPr>
      <w:tblPr/>
      <w:tcPr>
        <w:tcBorders>
          <w:top w:val="none" w:sz="0" w:space="0" w:color="auto"/>
          <w:left w:val="none" w:sz="0" w:space="0" w:color="auto"/>
          <w:bottom w:val="single" w:sz="4" w:space="0" w:color="87BDE2" w:themeColor="accent2" w:themeTint="97"/>
          <w:right w:val="none" w:sz="0" w:space="0" w:color="auto"/>
        </w:tcBorders>
        <w:shd w:val="clear" w:color="FFFFFF" w:themeColor="light1" w:fill="FFFFFF" w:themeFill="light1"/>
      </w:tcPr>
    </w:tblStylePr>
    <w:tblStylePr w:type="lastRow">
      <w:rPr>
        <w:rFonts w:ascii="Arial" w:hAnsi="Arial"/>
        <w:i/>
        <w:color w:val="87BDE2" w:themeColor="accent2" w:themeTint="97" w:themeShade="95"/>
        <w:sz w:val="22"/>
      </w:rPr>
      <w:tblPr/>
      <w:tcPr>
        <w:tcBorders>
          <w:top w:val="single" w:sz="4" w:space="0" w:color="87BDE2"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7BDE2" w:themeColor="accent2" w:themeTint="97" w:themeShade="95"/>
        <w:sz w:val="22"/>
      </w:rPr>
      <w:tblPr/>
      <w:tcPr>
        <w:tcBorders>
          <w:top w:val="none" w:sz="0" w:space="0" w:color="auto"/>
          <w:left w:val="none" w:sz="0" w:space="0" w:color="auto"/>
          <w:bottom w:val="none" w:sz="0" w:space="0" w:color="auto"/>
          <w:right w:val="single" w:sz="4" w:space="0" w:color="87BDE2" w:themeColor="accent2" w:themeTint="97"/>
        </w:tcBorders>
        <w:shd w:val="clear" w:color="FFFFFF" w:fill="auto"/>
      </w:tcPr>
    </w:tblStylePr>
    <w:tblStylePr w:type="lastCol">
      <w:rPr>
        <w:rFonts w:ascii="Arial" w:hAnsi="Arial"/>
        <w:i/>
        <w:color w:val="87BDE2" w:themeColor="accent2" w:themeTint="97" w:themeShade="95"/>
        <w:sz w:val="22"/>
      </w:rPr>
      <w:tblPr/>
      <w:tcPr>
        <w:tcBorders>
          <w:top w:val="none" w:sz="0" w:space="0" w:color="auto"/>
          <w:left w:val="single" w:sz="4" w:space="0" w:color="87BDE2" w:themeColor="accent2" w:themeTint="97"/>
          <w:bottom w:val="none" w:sz="0" w:space="0" w:color="auto"/>
          <w:right w:val="none" w:sz="0" w:space="0" w:color="auto"/>
        </w:tcBorders>
        <w:shd w:val="clear" w:color="FFFFFF" w:fill="auto"/>
      </w:tcPr>
    </w:tblStylePr>
    <w:tblStylePr w:type="band1Vert">
      <w:tblPr/>
      <w:tcPr>
        <w:shd w:val="clear" w:color="CCE3F3" w:themeColor="accent2" w:themeTint="40" w:fill="CCE3F3" w:themeFill="accent2" w:themeFillTint="40"/>
      </w:tcPr>
    </w:tblStylePr>
    <w:tblStylePr w:type="band1Horz">
      <w:rPr>
        <w:rFonts w:ascii="Arial" w:hAnsi="Arial"/>
        <w:color w:val="87BDE2" w:themeColor="accent2" w:themeTint="97" w:themeShade="95"/>
        <w:sz w:val="22"/>
      </w:rPr>
      <w:tblPr/>
      <w:tcPr>
        <w:shd w:val="clear" w:color="CCE3F3" w:themeColor="accent2" w:themeTint="40" w:fill="CCE3F3" w:themeFill="accent2" w:themeFillTint="40"/>
      </w:tcPr>
    </w:tblStylePr>
    <w:tblStylePr w:type="band2Horz">
      <w:rPr>
        <w:rFonts w:ascii="Arial" w:hAnsi="Arial"/>
        <w:color w:val="87BDE2" w:themeColor="accent2" w:themeTint="97" w:themeShade="95"/>
        <w:sz w:val="22"/>
      </w:rPr>
    </w:tblStylePr>
  </w:style>
  <w:style w:type="table" w:customStyle="1" w:styleId="ListTable7Colorful-Accent31">
    <w:name w:val="List Table 7 Colorful - Accent 3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right w:val="single" w:sz="4" w:space="0" w:color="7BD7CF" w:themeColor="accent3" w:themeTint="98"/>
      </w:tblBorders>
    </w:tblPr>
    <w:tblStylePr w:type="firstRow">
      <w:rPr>
        <w:rFonts w:ascii="Arial" w:hAnsi="Arial"/>
        <w:i/>
        <w:color w:val="7BD7CF" w:themeColor="accent3" w:themeTint="98" w:themeShade="95"/>
        <w:sz w:val="22"/>
      </w:rPr>
      <w:tblPr/>
      <w:tcPr>
        <w:tcBorders>
          <w:top w:val="none" w:sz="0" w:space="0" w:color="auto"/>
          <w:left w:val="none" w:sz="0" w:space="0" w:color="auto"/>
          <w:bottom w:val="single" w:sz="4" w:space="0" w:color="7BD7CF" w:themeColor="accent3" w:themeTint="98"/>
          <w:right w:val="none" w:sz="0" w:space="0" w:color="auto"/>
        </w:tcBorders>
        <w:shd w:val="clear" w:color="FFFFFF" w:themeColor="light1" w:fill="FFFFFF" w:themeFill="light1"/>
      </w:tcPr>
    </w:tblStylePr>
    <w:tblStylePr w:type="lastRow">
      <w:rPr>
        <w:rFonts w:ascii="Arial" w:hAnsi="Arial"/>
        <w:i/>
        <w:color w:val="7BD7CF" w:themeColor="accent3" w:themeTint="98" w:themeShade="95"/>
        <w:sz w:val="22"/>
      </w:rPr>
      <w:tblPr/>
      <w:tcPr>
        <w:tcBorders>
          <w:top w:val="single" w:sz="4" w:space="0" w:color="7BD7CF"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BD7CF" w:themeColor="accent3" w:themeTint="98" w:themeShade="95"/>
        <w:sz w:val="22"/>
      </w:rPr>
      <w:tblPr/>
      <w:tcPr>
        <w:tcBorders>
          <w:top w:val="none" w:sz="0" w:space="0" w:color="auto"/>
          <w:left w:val="none" w:sz="0" w:space="0" w:color="auto"/>
          <w:bottom w:val="none" w:sz="0" w:space="0" w:color="auto"/>
          <w:right w:val="single" w:sz="4" w:space="0" w:color="7BD7CF" w:themeColor="accent3" w:themeTint="98"/>
        </w:tcBorders>
        <w:shd w:val="clear" w:color="FFFFFF" w:fill="auto"/>
      </w:tcPr>
    </w:tblStylePr>
    <w:tblStylePr w:type="lastCol">
      <w:rPr>
        <w:rFonts w:ascii="Arial" w:hAnsi="Arial"/>
        <w:i/>
        <w:color w:val="7BD7CF" w:themeColor="accent3" w:themeTint="98" w:themeShade="95"/>
        <w:sz w:val="22"/>
      </w:rPr>
      <w:tblPr/>
      <w:tcPr>
        <w:tcBorders>
          <w:top w:val="none" w:sz="0" w:space="0" w:color="auto"/>
          <w:left w:val="single" w:sz="4" w:space="0" w:color="7BD7CF" w:themeColor="accent3" w:themeTint="98"/>
          <w:bottom w:val="none" w:sz="0" w:space="0" w:color="auto"/>
          <w:right w:val="none" w:sz="0" w:space="0" w:color="auto"/>
        </w:tcBorders>
        <w:shd w:val="clear" w:color="FFFFFF" w:fill="auto"/>
      </w:tcPr>
    </w:tblStylePr>
    <w:tblStylePr w:type="band1Vert">
      <w:tblPr/>
      <w:tcPr>
        <w:shd w:val="clear" w:color="C7EEEB" w:themeColor="accent3" w:themeTint="40" w:fill="C7EEEB" w:themeFill="accent3" w:themeFillTint="40"/>
      </w:tcPr>
    </w:tblStylePr>
    <w:tblStylePr w:type="band1Horz">
      <w:rPr>
        <w:rFonts w:ascii="Arial" w:hAnsi="Arial"/>
        <w:color w:val="7BD7CF" w:themeColor="accent3" w:themeTint="98" w:themeShade="95"/>
        <w:sz w:val="22"/>
      </w:rPr>
      <w:tblPr/>
      <w:tcPr>
        <w:shd w:val="clear" w:color="C7EEEB" w:themeColor="accent3" w:themeTint="40" w:fill="C7EEEB" w:themeFill="accent3" w:themeFillTint="40"/>
      </w:tcPr>
    </w:tblStylePr>
    <w:tblStylePr w:type="band2Horz">
      <w:rPr>
        <w:rFonts w:ascii="Arial" w:hAnsi="Arial"/>
        <w:color w:val="7BD7CF" w:themeColor="accent3" w:themeTint="98" w:themeShade="95"/>
        <w:sz w:val="22"/>
      </w:rPr>
    </w:tblStylePr>
  </w:style>
  <w:style w:type="table" w:customStyle="1" w:styleId="ListTable7Colorful-Accent41">
    <w:name w:val="List Table 7 Colorful - Accent 4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right w:val="single" w:sz="4" w:space="0" w:color="A2D0DF" w:themeColor="accent4" w:themeTint="9A"/>
      </w:tblBorders>
    </w:tblPr>
    <w:tblStylePr w:type="firstRow">
      <w:rPr>
        <w:rFonts w:ascii="Arial" w:hAnsi="Arial"/>
        <w:i/>
        <w:color w:val="A2D0DF" w:themeColor="accent4" w:themeTint="9A" w:themeShade="95"/>
        <w:sz w:val="22"/>
      </w:rPr>
      <w:tblPr/>
      <w:tcPr>
        <w:tcBorders>
          <w:top w:val="none" w:sz="0" w:space="0" w:color="auto"/>
          <w:left w:val="none" w:sz="0" w:space="0" w:color="auto"/>
          <w:bottom w:val="single" w:sz="4" w:space="0" w:color="A2D0DF" w:themeColor="accent4" w:themeTint="9A"/>
          <w:right w:val="none" w:sz="0" w:space="0" w:color="auto"/>
        </w:tcBorders>
        <w:shd w:val="clear" w:color="FFFFFF" w:themeColor="light1" w:fill="FFFFFF" w:themeFill="light1"/>
      </w:tcPr>
    </w:tblStylePr>
    <w:tblStylePr w:type="lastRow">
      <w:rPr>
        <w:rFonts w:ascii="Arial" w:hAnsi="Arial"/>
        <w:i/>
        <w:color w:val="A2D0DF" w:themeColor="accent4" w:themeTint="9A" w:themeShade="95"/>
        <w:sz w:val="22"/>
      </w:rPr>
      <w:tblPr/>
      <w:tcPr>
        <w:tcBorders>
          <w:top w:val="single" w:sz="4" w:space="0" w:color="A2D0DF"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2D0DF" w:themeColor="accent4" w:themeTint="9A" w:themeShade="95"/>
        <w:sz w:val="22"/>
      </w:rPr>
      <w:tblPr/>
      <w:tcPr>
        <w:tcBorders>
          <w:top w:val="none" w:sz="0" w:space="0" w:color="auto"/>
          <w:left w:val="none" w:sz="0" w:space="0" w:color="auto"/>
          <w:bottom w:val="none" w:sz="0" w:space="0" w:color="auto"/>
          <w:right w:val="single" w:sz="4" w:space="0" w:color="A2D0DF" w:themeColor="accent4" w:themeTint="9A"/>
        </w:tcBorders>
        <w:shd w:val="clear" w:color="FFFFFF" w:fill="auto"/>
      </w:tcPr>
    </w:tblStylePr>
    <w:tblStylePr w:type="lastCol">
      <w:rPr>
        <w:rFonts w:ascii="Arial" w:hAnsi="Arial"/>
        <w:i/>
        <w:color w:val="A2D0DF" w:themeColor="accent4" w:themeTint="9A" w:themeShade="95"/>
        <w:sz w:val="22"/>
      </w:rPr>
      <w:tblPr/>
      <w:tcPr>
        <w:tcBorders>
          <w:top w:val="none" w:sz="0" w:space="0" w:color="auto"/>
          <w:left w:val="single" w:sz="4" w:space="0" w:color="A2D0DF" w:themeColor="accent4" w:themeTint="9A"/>
          <w:bottom w:val="none" w:sz="0" w:space="0" w:color="auto"/>
          <w:right w:val="none" w:sz="0" w:space="0" w:color="auto"/>
        </w:tcBorders>
        <w:shd w:val="clear" w:color="FFFFFF" w:fill="auto"/>
      </w:tcPr>
    </w:tblStylePr>
    <w:tblStylePr w:type="band1Vert">
      <w:tblPr/>
      <w:tcPr>
        <w:shd w:val="clear" w:color="D8EBF1" w:themeColor="accent4" w:themeTint="40" w:fill="D8EBF1" w:themeFill="accent4" w:themeFillTint="40"/>
      </w:tcPr>
    </w:tblStylePr>
    <w:tblStylePr w:type="band1Horz">
      <w:rPr>
        <w:rFonts w:ascii="Arial" w:hAnsi="Arial"/>
        <w:color w:val="A2D0DF" w:themeColor="accent4" w:themeTint="9A" w:themeShade="95"/>
        <w:sz w:val="22"/>
      </w:rPr>
      <w:tblPr/>
      <w:tcPr>
        <w:shd w:val="clear" w:color="D8EBF1" w:themeColor="accent4" w:themeTint="40" w:fill="D8EBF1" w:themeFill="accent4" w:themeFillTint="40"/>
      </w:tcPr>
    </w:tblStylePr>
    <w:tblStylePr w:type="band2Horz">
      <w:rPr>
        <w:rFonts w:ascii="Arial" w:hAnsi="Arial"/>
        <w:color w:val="A2D0DF" w:themeColor="accent4" w:themeTint="9A" w:themeShade="95"/>
        <w:sz w:val="22"/>
      </w:rPr>
    </w:tblStylePr>
  </w:style>
  <w:style w:type="table" w:customStyle="1" w:styleId="ListTable7Colorful-Accent51">
    <w:name w:val="List Table 7 Colorful - Accent 5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right w:val="single" w:sz="4" w:space="0" w:color="D9E8DF" w:themeColor="accent5" w:themeTint="9A"/>
      </w:tblBorders>
    </w:tblPr>
    <w:tblStylePr w:type="firstRow">
      <w:rPr>
        <w:rFonts w:ascii="Arial" w:hAnsi="Arial"/>
        <w:i/>
        <w:color w:val="D9E8DF" w:themeColor="accent5" w:themeTint="9A" w:themeShade="95"/>
        <w:sz w:val="22"/>
      </w:rPr>
      <w:tblPr/>
      <w:tcPr>
        <w:tcBorders>
          <w:top w:val="none" w:sz="0" w:space="0" w:color="auto"/>
          <w:left w:val="none" w:sz="0" w:space="0" w:color="auto"/>
          <w:bottom w:val="single" w:sz="4" w:space="0" w:color="D9E8DF" w:themeColor="accent5" w:themeTint="9A"/>
          <w:right w:val="none" w:sz="0" w:space="0" w:color="auto"/>
        </w:tcBorders>
        <w:shd w:val="clear" w:color="FFFFFF" w:themeColor="light1" w:fill="FFFFFF" w:themeFill="light1"/>
      </w:tcPr>
    </w:tblStylePr>
    <w:tblStylePr w:type="lastRow">
      <w:rPr>
        <w:rFonts w:ascii="Arial" w:hAnsi="Arial"/>
        <w:i/>
        <w:color w:val="D9E8DF" w:themeColor="accent5" w:themeTint="9A" w:themeShade="95"/>
        <w:sz w:val="22"/>
      </w:rPr>
      <w:tblPr/>
      <w:tcPr>
        <w:tcBorders>
          <w:top w:val="single" w:sz="4" w:space="0" w:color="D9E8DF"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E8DF" w:themeColor="accent5" w:themeTint="9A" w:themeShade="95"/>
        <w:sz w:val="22"/>
      </w:rPr>
      <w:tblPr/>
      <w:tcPr>
        <w:tcBorders>
          <w:top w:val="none" w:sz="0" w:space="0" w:color="auto"/>
          <w:left w:val="none" w:sz="0" w:space="0" w:color="auto"/>
          <w:bottom w:val="none" w:sz="0" w:space="0" w:color="auto"/>
          <w:right w:val="single" w:sz="4" w:space="0" w:color="D9E8DF" w:themeColor="accent5" w:themeTint="9A"/>
        </w:tcBorders>
        <w:shd w:val="clear" w:color="FFFFFF" w:fill="auto"/>
      </w:tcPr>
    </w:tblStylePr>
    <w:tblStylePr w:type="lastCol">
      <w:rPr>
        <w:rFonts w:ascii="Arial" w:hAnsi="Arial"/>
        <w:i/>
        <w:color w:val="D9E8DF" w:themeColor="accent5" w:themeTint="9A" w:themeShade="95"/>
        <w:sz w:val="22"/>
      </w:rPr>
      <w:tblPr/>
      <w:tcPr>
        <w:tcBorders>
          <w:top w:val="none" w:sz="0" w:space="0" w:color="auto"/>
          <w:left w:val="single" w:sz="4" w:space="0" w:color="D9E8DF" w:themeColor="accent5" w:themeTint="9A"/>
          <w:bottom w:val="none" w:sz="0" w:space="0" w:color="auto"/>
          <w:right w:val="none" w:sz="0" w:space="0" w:color="auto"/>
        </w:tcBorders>
        <w:shd w:val="clear" w:color="FFFFFF" w:fill="auto"/>
      </w:tcPr>
    </w:tblStylePr>
    <w:tblStylePr w:type="band1Vert">
      <w:tblPr/>
      <w:tcPr>
        <w:shd w:val="clear" w:color="EFF5F1" w:themeColor="accent5" w:themeTint="40" w:fill="EFF5F1" w:themeFill="accent5" w:themeFillTint="40"/>
      </w:tcPr>
    </w:tblStylePr>
    <w:tblStylePr w:type="band1Horz">
      <w:rPr>
        <w:rFonts w:ascii="Arial" w:hAnsi="Arial"/>
        <w:color w:val="D9E8DF" w:themeColor="accent5" w:themeTint="9A" w:themeShade="95"/>
        <w:sz w:val="22"/>
      </w:rPr>
      <w:tblPr/>
      <w:tcPr>
        <w:shd w:val="clear" w:color="EFF5F1" w:themeColor="accent5" w:themeTint="40" w:fill="EFF5F1" w:themeFill="accent5" w:themeFillTint="40"/>
      </w:tcPr>
    </w:tblStylePr>
    <w:tblStylePr w:type="band2Horz">
      <w:rPr>
        <w:rFonts w:ascii="Arial" w:hAnsi="Arial"/>
        <w:color w:val="D9E8DF" w:themeColor="accent5" w:themeTint="9A" w:themeShade="95"/>
        <w:sz w:val="22"/>
      </w:rPr>
    </w:tblStylePr>
  </w:style>
  <w:style w:type="table" w:customStyle="1" w:styleId="ListTable7Colorful-Accent61">
    <w:name w:val="List Table 7 Colorful - Accent 6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right w:val="single" w:sz="4" w:space="0" w:color="7BD7CF" w:themeColor="accent6" w:themeTint="98"/>
      </w:tblBorders>
    </w:tblPr>
    <w:tblStylePr w:type="firstRow">
      <w:rPr>
        <w:rFonts w:ascii="Arial" w:hAnsi="Arial"/>
        <w:i/>
        <w:color w:val="7BD7CF" w:themeColor="accent6" w:themeTint="98" w:themeShade="95"/>
        <w:sz w:val="22"/>
      </w:rPr>
      <w:tblPr/>
      <w:tcPr>
        <w:tcBorders>
          <w:top w:val="none" w:sz="0" w:space="0" w:color="auto"/>
          <w:left w:val="none" w:sz="0" w:space="0" w:color="auto"/>
          <w:bottom w:val="single" w:sz="4" w:space="0" w:color="7BD7CF" w:themeColor="accent6" w:themeTint="98"/>
          <w:right w:val="none" w:sz="0" w:space="0" w:color="auto"/>
        </w:tcBorders>
        <w:shd w:val="clear" w:color="FFFFFF" w:themeColor="light1" w:fill="FFFFFF" w:themeFill="light1"/>
      </w:tcPr>
    </w:tblStylePr>
    <w:tblStylePr w:type="lastRow">
      <w:rPr>
        <w:rFonts w:ascii="Arial" w:hAnsi="Arial"/>
        <w:i/>
        <w:color w:val="7BD7CF" w:themeColor="accent6" w:themeTint="98" w:themeShade="95"/>
        <w:sz w:val="22"/>
      </w:rPr>
      <w:tblPr/>
      <w:tcPr>
        <w:tcBorders>
          <w:top w:val="single" w:sz="4" w:space="0" w:color="7BD7CF"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BD7CF" w:themeColor="accent6" w:themeTint="98" w:themeShade="95"/>
        <w:sz w:val="22"/>
      </w:rPr>
      <w:tblPr/>
      <w:tcPr>
        <w:tcBorders>
          <w:top w:val="none" w:sz="0" w:space="0" w:color="auto"/>
          <w:left w:val="none" w:sz="0" w:space="0" w:color="auto"/>
          <w:bottom w:val="none" w:sz="0" w:space="0" w:color="auto"/>
          <w:right w:val="single" w:sz="4" w:space="0" w:color="7BD7CF" w:themeColor="accent6" w:themeTint="98"/>
        </w:tcBorders>
        <w:shd w:val="clear" w:color="FFFFFF" w:fill="auto"/>
      </w:tcPr>
    </w:tblStylePr>
    <w:tblStylePr w:type="lastCol">
      <w:rPr>
        <w:rFonts w:ascii="Arial" w:hAnsi="Arial"/>
        <w:i/>
        <w:color w:val="7BD7CF" w:themeColor="accent6" w:themeTint="98" w:themeShade="95"/>
        <w:sz w:val="22"/>
      </w:rPr>
      <w:tblPr/>
      <w:tcPr>
        <w:tcBorders>
          <w:top w:val="none" w:sz="0" w:space="0" w:color="auto"/>
          <w:left w:val="single" w:sz="4" w:space="0" w:color="7BD7CF" w:themeColor="accent6" w:themeTint="98"/>
          <w:bottom w:val="none" w:sz="0" w:space="0" w:color="auto"/>
          <w:right w:val="none" w:sz="0" w:space="0" w:color="auto"/>
        </w:tcBorders>
        <w:shd w:val="clear" w:color="FFFFFF" w:fill="auto"/>
      </w:tcPr>
    </w:tblStylePr>
    <w:tblStylePr w:type="band1Vert">
      <w:tblPr/>
      <w:tcPr>
        <w:shd w:val="clear" w:color="C7EEEB" w:themeColor="accent6" w:themeTint="40" w:fill="C7EEEB" w:themeFill="accent6" w:themeFillTint="40"/>
      </w:tcPr>
    </w:tblStylePr>
    <w:tblStylePr w:type="band1Horz">
      <w:rPr>
        <w:rFonts w:ascii="Arial" w:hAnsi="Arial"/>
        <w:color w:val="7BD7CF" w:themeColor="accent6" w:themeTint="98" w:themeShade="95"/>
        <w:sz w:val="22"/>
      </w:rPr>
      <w:tblPr/>
      <w:tcPr>
        <w:shd w:val="clear" w:color="C7EEEB" w:themeColor="accent6" w:themeTint="40" w:fill="C7EEEB" w:themeFill="accent6" w:themeFillTint="40"/>
      </w:tcPr>
    </w:tblStylePr>
    <w:tblStylePr w:type="band2Horz">
      <w:rPr>
        <w:rFonts w:ascii="Arial" w:hAnsi="Arial"/>
        <w:color w:val="7BD7CF" w:themeColor="accent6" w:themeTint="98" w:themeShade="95"/>
        <w:sz w:val="22"/>
      </w:rPr>
    </w:tblStylePr>
  </w:style>
  <w:style w:type="paragraph" w:styleId="ListBullet">
    <w:name w:val="List Bullet"/>
    <w:basedOn w:val="Normal"/>
    <w:uiPriority w:val="99"/>
    <w:unhideWhenUsed/>
    <w:rsid w:val="009F4DDD"/>
    <w:pPr>
      <w:numPr>
        <w:numId w:val="54"/>
      </w:numPr>
      <w:spacing w:before="200" w:after="0" w:line="260" w:lineRule="atLeast"/>
      <w:contextualSpacing/>
      <w:jc w:val="left"/>
    </w:pPr>
    <w:rPr>
      <w:rFonts w:ascii="Calibri" w:eastAsia="MS Mincho" w:hAnsi="Calibri" w:cs="Times New Roman"/>
      <w:color w:val="auto"/>
      <w:sz w:val="22"/>
      <w:szCs w:val="18"/>
    </w:rPr>
  </w:style>
  <w:style w:type="paragraph" w:styleId="PlainText">
    <w:name w:val="Plain Text"/>
    <w:basedOn w:val="Normal"/>
    <w:link w:val="PlainTextChar"/>
    <w:uiPriority w:val="99"/>
    <w:semiHidden/>
    <w:unhideWhenUsed/>
    <w:rsid w:val="009F4DDD"/>
    <w:pPr>
      <w:spacing w:after="0" w:line="240" w:lineRule="auto"/>
      <w:jc w:val="left"/>
    </w:pPr>
    <w:rPr>
      <w:rFonts w:ascii="Calibri" w:eastAsiaTheme="minorHAnsi" w:hAnsi="Calibri"/>
      <w:color w:val="auto"/>
      <w:sz w:val="22"/>
      <w:szCs w:val="21"/>
    </w:rPr>
  </w:style>
  <w:style w:type="character" w:customStyle="1" w:styleId="PlainTextChar">
    <w:name w:val="Plain Text Char"/>
    <w:basedOn w:val="DefaultParagraphFont"/>
    <w:link w:val="PlainText"/>
    <w:uiPriority w:val="99"/>
    <w:semiHidden/>
    <w:rsid w:val="009F4DDD"/>
    <w:rPr>
      <w:rFonts w:ascii="Calibri" w:hAnsi="Calibri"/>
      <w:sz w:val="22"/>
      <w:szCs w:val="21"/>
      <w:lang w:val="sq-AL"/>
    </w:rPr>
  </w:style>
  <w:style w:type="character" w:customStyle="1" w:styleId="Mention1">
    <w:name w:val="Mention1"/>
    <w:basedOn w:val="DefaultParagraphFont"/>
    <w:uiPriority w:val="99"/>
    <w:unhideWhenUsed/>
    <w:rsid w:val="009F4DDD"/>
    <w:rPr>
      <w:color w:val="2B579A"/>
      <w:shd w:val="clear" w:color="auto" w:fill="E1DFDD"/>
    </w:rPr>
  </w:style>
  <w:style w:type="table" w:customStyle="1" w:styleId="Style1">
    <w:name w:val="Style1"/>
    <w:basedOn w:val="PlainTable2"/>
    <w:uiPriority w:val="99"/>
    <w:rsid w:val="009F4DDD"/>
    <w:pPr>
      <w:spacing w:before="0" w:line="240" w:lineRule="auto"/>
    </w:pPr>
    <w:tblPr/>
    <w:tblStylePr w:type="firstRow">
      <w:rPr>
        <w:rFonts w:ascii="Arial" w:hAnsi="Arial"/>
        <w:b/>
        <w:color w:val="404040"/>
        <w:sz w:val="22"/>
      </w:rPr>
      <w:tblPr/>
      <w:tcPr>
        <w:tcBorders>
          <w:top w:val="single" w:sz="4" w:space="0" w:color="0F0D29" w:themeColor="text1"/>
          <w:bottom w:val="single" w:sz="4" w:space="0" w:color="0F0D29"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F0D29" w:themeColor="text1"/>
          <w:right w:val="single" w:sz="4" w:space="0" w:color="0F0D29" w:themeColor="text1"/>
        </w:tcBorders>
      </w:tcPr>
    </w:tblStylePr>
    <w:tblStylePr w:type="band2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tcBorders>
      </w:tcPr>
    </w:tblStylePr>
  </w:style>
  <w:style w:type="character" w:styleId="FollowedHyperlink">
    <w:name w:val="FollowedHyperlink"/>
    <w:basedOn w:val="DefaultParagraphFont"/>
    <w:uiPriority w:val="99"/>
    <w:semiHidden/>
    <w:unhideWhenUsed/>
    <w:rsid w:val="009F4DDD"/>
    <w:rPr>
      <w:color w:val="3592CF" w:themeColor="followedHyperlink"/>
      <w:u w:val="single"/>
    </w:rPr>
  </w:style>
  <w:style w:type="table" w:customStyle="1" w:styleId="GridTable5Dark-Accent11">
    <w:name w:val="Grid Table 5 Dark - Accent 1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0E3FD" w:themeColor="accent1" w:themeTint="34" w:fill="B0E3FD" w:themeFill="accent1" w:themeFillTint="34"/>
    </w:tblPr>
    <w:tblStylePr w:type="firstRow">
      <w:rPr>
        <w:rFonts w:ascii="Arial" w:hAnsi="Arial"/>
        <w:b/>
        <w:color w:val="FFFFFF"/>
        <w:sz w:val="22"/>
      </w:rPr>
      <w:tblPr/>
      <w:tcPr>
        <w:shd w:val="clear" w:color="024F75" w:themeColor="accent1" w:fill="024F75" w:themeFill="accent1"/>
      </w:tcPr>
    </w:tblStylePr>
    <w:tblStylePr w:type="lastRow">
      <w:rPr>
        <w:rFonts w:ascii="Arial" w:hAnsi="Arial"/>
        <w:b/>
        <w:color w:val="FFFFFF"/>
        <w:sz w:val="22"/>
      </w:rPr>
      <w:tblPr/>
      <w:tcPr>
        <w:tcBorders>
          <w:top w:val="single" w:sz="4" w:space="0" w:color="FFFFFF" w:themeColor="light1"/>
        </w:tcBorders>
        <w:shd w:val="clear" w:color="024F75" w:themeColor="accent1" w:fill="024F75" w:themeFill="accent1"/>
      </w:tcPr>
    </w:tblStylePr>
    <w:tblStylePr w:type="firstCol">
      <w:rPr>
        <w:rFonts w:ascii="Arial" w:hAnsi="Arial"/>
        <w:b/>
        <w:color w:val="FFFFFF"/>
        <w:sz w:val="22"/>
      </w:rPr>
      <w:tblPr/>
      <w:tcPr>
        <w:shd w:val="clear" w:color="024F75" w:themeColor="accent1" w:fill="024F75" w:themeFill="accent1"/>
      </w:tcPr>
    </w:tblStylePr>
    <w:tblStylePr w:type="lastCol">
      <w:rPr>
        <w:rFonts w:ascii="Arial" w:hAnsi="Arial"/>
        <w:b/>
        <w:color w:val="FFFFFF"/>
        <w:sz w:val="22"/>
      </w:rPr>
      <w:tblPr/>
      <w:tcPr>
        <w:shd w:val="clear" w:color="024F75" w:themeColor="accent1" w:fill="024F75" w:themeFill="accent1"/>
      </w:tcPr>
    </w:tblStylePr>
    <w:tblStylePr w:type="band1Vert">
      <w:tblPr/>
      <w:tcPr>
        <w:shd w:val="clear" w:color="4EC2FC" w:themeColor="accent1" w:themeTint="75" w:fill="4EC2FC" w:themeFill="accent1" w:themeFillTint="75"/>
      </w:tcPr>
    </w:tblStylePr>
    <w:tblStylePr w:type="band1Horz">
      <w:tblPr/>
      <w:tcPr>
        <w:shd w:val="clear" w:color="4EC2FC" w:themeColor="accent1" w:themeTint="75" w:fill="4EC2FC" w:themeFill="accent1" w:themeFillTint="75"/>
      </w:tcPr>
    </w:tblStylePr>
  </w:style>
  <w:style w:type="table" w:customStyle="1" w:styleId="GridTable5Dark-Accent41">
    <w:name w:val="Grid Table 5 Dark - Accent 41"/>
    <w:basedOn w:val="TableNormal"/>
    <w:uiPriority w:val="9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FEFF4" w:themeColor="accent4" w:themeTint="34" w:fill="DFEFF4" w:themeFill="accent4" w:themeFillTint="34"/>
    </w:tblPr>
    <w:tblStylePr w:type="firstRow">
      <w:rPr>
        <w:rFonts w:ascii="Arial" w:hAnsi="Arial"/>
        <w:b/>
        <w:color w:val="FFFFFF"/>
        <w:sz w:val="22"/>
      </w:rPr>
      <w:tblPr/>
      <w:tcPr>
        <w:shd w:val="clear" w:color="66B2CA" w:themeColor="accent4" w:fill="66B2CA" w:themeFill="accent4"/>
      </w:tcPr>
    </w:tblStylePr>
    <w:tblStylePr w:type="lastRow">
      <w:rPr>
        <w:rFonts w:ascii="Arial" w:hAnsi="Arial"/>
        <w:b/>
        <w:color w:val="FFFFFF"/>
        <w:sz w:val="22"/>
      </w:rPr>
      <w:tblPr/>
      <w:tcPr>
        <w:tcBorders>
          <w:top w:val="single" w:sz="4" w:space="0" w:color="FFFFFF" w:themeColor="light1"/>
        </w:tcBorders>
        <w:shd w:val="clear" w:color="66B2CA" w:themeColor="accent4" w:fill="66B2CA" w:themeFill="accent4"/>
      </w:tcPr>
    </w:tblStylePr>
    <w:tblStylePr w:type="firstCol">
      <w:rPr>
        <w:rFonts w:ascii="Arial" w:hAnsi="Arial"/>
        <w:b/>
        <w:color w:val="FFFFFF"/>
        <w:sz w:val="22"/>
      </w:rPr>
      <w:tblPr/>
      <w:tcPr>
        <w:shd w:val="clear" w:color="66B2CA" w:themeColor="accent4" w:fill="66B2CA" w:themeFill="accent4"/>
      </w:tcPr>
    </w:tblStylePr>
    <w:tblStylePr w:type="lastCol">
      <w:rPr>
        <w:rFonts w:ascii="Arial" w:hAnsi="Arial"/>
        <w:b/>
        <w:color w:val="FFFFFF"/>
        <w:sz w:val="22"/>
      </w:rPr>
      <w:tblPr/>
      <w:tcPr>
        <w:shd w:val="clear" w:color="66B2CA" w:themeColor="accent4" w:fill="66B2CA" w:themeFill="accent4"/>
      </w:tcPr>
    </w:tblStylePr>
    <w:tblStylePr w:type="band1Vert">
      <w:tblPr/>
      <w:tcPr>
        <w:shd w:val="clear" w:color="B8DBE6" w:themeColor="accent4" w:themeTint="75" w:fill="B8DBE6" w:themeFill="accent4" w:themeFillTint="75"/>
      </w:tcPr>
    </w:tblStylePr>
    <w:tblStylePr w:type="band1Horz">
      <w:tblPr/>
      <w:tcPr>
        <w:shd w:val="clear" w:color="B8DBE6" w:themeColor="accent4" w:themeTint="75" w:fill="B8DBE6" w:themeFill="accent4" w:themeFillTint="75"/>
      </w:tcPr>
    </w:tblStylePr>
  </w:style>
  <w:style w:type="table" w:customStyle="1" w:styleId="GridTable5DarkAccent10">
    <w:name w:val="Grid Table 5 Dark Accent 10"/>
    <w:basedOn w:val="TableNormal"/>
    <w:uiPriority w:val="50"/>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paragraph" w:customStyle="1" w:styleId="hcp5">
    <w:name w:val="hcp5"/>
    <w:basedOn w:val="Normal"/>
    <w:rsid w:val="009F4DDD"/>
    <w:pPr>
      <w:spacing w:beforeAutospacing="1" w:after="120" w:line="240" w:lineRule="auto"/>
      <w:jc w:val="left"/>
    </w:pPr>
    <w:rPr>
      <w:rFonts w:ascii="Calibri" w:eastAsia="Times New Roman" w:hAnsi="Calibri" w:cs="Calibri"/>
      <w:color w:val="auto"/>
      <w:sz w:val="24"/>
      <w:szCs w:val="24"/>
      <w:lang w:eastAsia="en-GB"/>
    </w:rPr>
  </w:style>
  <w:style w:type="character" w:customStyle="1" w:styleId="hcp6">
    <w:name w:val="hcp6"/>
    <w:basedOn w:val="DefaultParagraphFont"/>
    <w:rsid w:val="009F4DDD"/>
    <w:rPr>
      <w:b/>
      <w:bCs/>
    </w:rPr>
  </w:style>
  <w:style w:type="table" w:customStyle="1" w:styleId="Gitternetztabelle5dunkelAkzent11">
    <w:name w:val="Gitternetztabelle 5 dunkel  – Akzent 11"/>
    <w:basedOn w:val="TableNormal"/>
    <w:next w:val="TableNormal"/>
    <w:uiPriority w:val="50"/>
    <w:rsid w:val="009F4DDD"/>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itternetztabelle5dunkelAkzent12">
    <w:name w:val="Gitternetztabelle 5 dunkel  – Akzent 12"/>
    <w:basedOn w:val="TableNormal"/>
    <w:next w:val="TableNormal"/>
    <w:uiPriority w:val="50"/>
    <w:rsid w:val="009F4DDD"/>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itternetztabelle5dunkelAkzent13">
    <w:name w:val="Gitternetztabelle 5 dunkel  – Akzent 13"/>
    <w:basedOn w:val="TableNormal"/>
    <w:next w:val="TableNormal"/>
    <w:uiPriority w:val="50"/>
    <w:rsid w:val="009F4DDD"/>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itternetztabelle5dunkelAkzent14">
    <w:name w:val="Gitternetztabelle 5 dunkel  – Akzent 14"/>
    <w:basedOn w:val="TableNormal"/>
    <w:next w:val="TableNormal"/>
    <w:uiPriority w:val="50"/>
    <w:rsid w:val="009F4DDD"/>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itternetztabelle5dunkelAkzent15">
    <w:name w:val="Gitternetztabelle 5 dunkel  – Akzent 15"/>
    <w:basedOn w:val="TableNormal"/>
    <w:next w:val="TableNormal"/>
    <w:uiPriority w:val="50"/>
    <w:rsid w:val="009F4DDD"/>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20">
    <w:name w:val="Grid Table 5 Dark Accent 20"/>
    <w:basedOn w:val="TableNormal"/>
    <w:uiPriority w:val="50"/>
    <w:rsid w:val="009F4DDD"/>
    <w:pPr>
      <w:spacing w:before="200" w:after="0" w:line="260" w:lineRule="atLeast"/>
    </w:pPr>
    <w:rPr>
      <w:rFonts w:ascii="Times New Roman" w:eastAsia="Times New Roman" w:hAnsi="Times New Roman" w:cs="Times New Roman"/>
      <w:sz w:val="20"/>
      <w:szCs w:val="20"/>
      <w:lang w:eastAsia="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GridTable4Accent10">
    <w:name w:val="Grid Table 4 Accent 10"/>
    <w:basedOn w:val="TableNormal"/>
    <w:uiPriority w:val="49"/>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one" w:sz="4" w:space="0" w:color="000000"/>
          <w:insideV w:val="none" w:sz="4" w:space="0" w:color="000000"/>
        </w:tcBorders>
        <w:shd w:val="clear" w:color="auto" w:fill="024F75" w:themeFill="accent1"/>
      </w:tcPr>
    </w:tblStylePr>
    <w:tblStylePr w:type="lastRow">
      <w:rPr>
        <w:b/>
        <w:bCs/>
      </w:rPr>
      <w:tblPr/>
      <w:tcPr>
        <w:tcBorders>
          <w:top w:val="sing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1LightAccent50">
    <w:name w:val="Grid Table 1 Light Accent 50"/>
    <w:basedOn w:val="TableNormal"/>
    <w:uiPriority w:val="46"/>
    <w:rsid w:val="009F4DDD"/>
    <w:pPr>
      <w:spacing w:before="200" w:after="0" w:line="240" w:lineRule="auto"/>
    </w:pPr>
    <w:rPr>
      <w:rFonts w:ascii="Times New Roman" w:eastAsia="MS Mincho" w:hAnsi="Times New Roman" w:cs="Times New Roman"/>
      <w:sz w:val="20"/>
      <w:szCs w:val="20"/>
      <w:lang w:eastAsia="de-DE"/>
    </w:rPr>
    <w:tblPr>
      <w:tblStyleRowBandSize w:val="1"/>
      <w:tblStyleColBandSize w:val="1"/>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customStyle="1" w:styleId="GridTable5DarkAccent100">
    <w:name w:val="Grid Table 5 Dark Accent 100"/>
    <w:basedOn w:val="TableNormal"/>
    <w:uiPriority w:val="50"/>
    <w:rsid w:val="009F4DDD"/>
    <w:pPr>
      <w:spacing w:before="200" w:after="0" w:line="260" w:lineRule="atLeast"/>
    </w:pPr>
    <w:rPr>
      <w:rFonts w:ascii="Times New Roman" w:eastAsia="MS Mincho" w:hAnsi="Times New Roman" w:cs="Times New Roman"/>
      <w:sz w:val="20"/>
      <w:szCs w:val="20"/>
      <w:lang w:eastAsia="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table" w:styleId="GridTable4-Accent1">
    <w:name w:val="Grid Table 4 Accent 1"/>
    <w:basedOn w:val="TableNormal"/>
    <w:uiPriority w:val="49"/>
    <w:rsid w:val="009F4DDD"/>
    <w:pPr>
      <w:spacing w:after="0" w:line="240" w:lineRule="auto"/>
    </w:pPr>
    <w:rPr>
      <w:rFonts w:ascii="Times New Roman" w:eastAsia="MS Mincho" w:hAnsi="Times New Roman" w:cs="Times New Roman"/>
      <w:sz w:val="20"/>
      <w:szCs w:val="20"/>
      <w:lang w:eastAsia="de-DE"/>
    </w:r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one" w:sz="4" w:space="0" w:color="000000"/>
          <w:insideV w:val="none" w:sz="4" w:space="0" w:color="000000"/>
        </w:tcBorders>
        <w:shd w:val="clear" w:color="auto" w:fill="024F75" w:themeFill="accent1"/>
      </w:tcPr>
    </w:tblStylePr>
    <w:tblStylePr w:type="lastRow">
      <w:rPr>
        <w:b/>
        <w:bCs/>
      </w:rPr>
      <w:tblPr/>
      <w:tcPr>
        <w:tcBorders>
          <w:top w:val="sing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itternetztabelle4Akzent12">
    <w:name w:val="Gitternetztabelle 4 – Akzent 12"/>
    <w:basedOn w:val="TableNormal"/>
    <w:next w:val="GridTable4-Accent1"/>
    <w:uiPriority w:val="49"/>
    <w:rsid w:val="009F4DDD"/>
    <w:pPr>
      <w:spacing w:after="0" w:line="240" w:lineRule="auto"/>
    </w:pPr>
    <w:rPr>
      <w:rFonts w:ascii="Times New Roman" w:eastAsia="MS Mincho" w:hAnsi="Times New Roman" w:cs="Times New Roman"/>
      <w:sz w:val="20"/>
      <w:szCs w:val="20"/>
      <w:lang w:eastAsia="de-DE"/>
    </w:rPr>
    <w:tblPr>
      <w:tblStyleRowBandSize w:val="1"/>
      <w:tblStyleColBandSize w:val="1"/>
      <w:tblBorders>
        <w:top w:val="single" w:sz="4" w:space="0" w:color="428FEA"/>
        <w:left w:val="single" w:sz="4" w:space="0" w:color="428FEA"/>
        <w:bottom w:val="single" w:sz="4" w:space="0" w:color="428FEA"/>
        <w:right w:val="single" w:sz="4" w:space="0" w:color="428FEA"/>
        <w:insideH w:val="single" w:sz="4" w:space="0" w:color="428FEA"/>
        <w:insideV w:val="single" w:sz="4" w:space="0" w:color="428FEA"/>
      </w:tblBorders>
    </w:tblPr>
    <w:tblStylePr w:type="firstRow">
      <w:rPr>
        <w:b/>
        <w:bCs/>
        <w:color w:val="FEFFFF"/>
      </w:rPr>
      <w:tblPr/>
      <w:tcPr>
        <w:tcBorders>
          <w:top w:val="single" w:sz="4" w:space="0" w:color="104C91"/>
          <w:left w:val="single" w:sz="4" w:space="0" w:color="104C91"/>
          <w:bottom w:val="single" w:sz="4" w:space="0" w:color="104C91"/>
          <w:right w:val="single" w:sz="4" w:space="0" w:color="104C91"/>
          <w:insideH w:val="none" w:sz="4" w:space="0" w:color="000000"/>
          <w:insideV w:val="none" w:sz="4" w:space="0" w:color="000000"/>
        </w:tcBorders>
        <w:shd w:val="clear" w:color="auto" w:fill="104C91"/>
      </w:tcPr>
    </w:tblStylePr>
    <w:tblStylePr w:type="lastRow">
      <w:rPr>
        <w:b/>
        <w:bCs/>
      </w:rPr>
      <w:tblPr/>
      <w:tcPr>
        <w:tcBorders>
          <w:top w:val="single" w:sz="4" w:space="0" w:color="104C91"/>
        </w:tcBorders>
      </w:tcPr>
    </w:tblStylePr>
    <w:tblStylePr w:type="firstCol">
      <w:rPr>
        <w:b/>
        <w:bCs/>
      </w:rPr>
    </w:tblStylePr>
    <w:tblStylePr w:type="lastCol">
      <w:rPr>
        <w:b/>
        <w:bCs/>
      </w:rPr>
    </w:tblStylePr>
    <w:tblStylePr w:type="band1Vert">
      <w:tblPr/>
      <w:tcPr>
        <w:shd w:val="clear" w:color="auto" w:fill="BFD9F8"/>
      </w:tcPr>
    </w:tblStylePr>
    <w:tblStylePr w:type="band1Horz">
      <w:tblPr/>
      <w:tcPr>
        <w:shd w:val="clear" w:color="auto" w:fill="BFD9F8"/>
      </w:tcPr>
    </w:tblStylePr>
  </w:style>
  <w:style w:type="table" w:styleId="ListTable3-Accent1">
    <w:name w:val="List Table 3 Accent 1"/>
    <w:basedOn w:val="TableNormal"/>
    <w:uiPriority w:val="48"/>
    <w:rsid w:val="006F073F"/>
    <w:pPr>
      <w:spacing w:after="0" w:line="240" w:lineRule="auto"/>
    </w:pPr>
    <w:tblPr>
      <w:tblStyleRowBandSize w:val="1"/>
      <w:tblStyleColBandSize w:val="1"/>
      <w:tblBorders>
        <w:top w:val="single" w:sz="4" w:space="0" w:color="024F75" w:themeColor="accent1"/>
        <w:left w:val="single" w:sz="4" w:space="0" w:color="024F75" w:themeColor="accent1"/>
        <w:bottom w:val="single" w:sz="4" w:space="0" w:color="024F75" w:themeColor="accent1"/>
        <w:right w:val="single" w:sz="4" w:space="0" w:color="024F75" w:themeColor="accent1"/>
      </w:tblBorders>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paragraph" w:customStyle="1" w:styleId="SourceNote">
    <w:name w:val="Source/Note"/>
    <w:basedOn w:val="BodyText"/>
    <w:rsid w:val="006B0E30"/>
    <w:pPr>
      <w:spacing w:before="0" w:after="0"/>
    </w:pPr>
    <w:rPr>
      <w:sz w:val="14"/>
    </w:rPr>
  </w:style>
  <w:style w:type="table" w:customStyle="1" w:styleId="TableGrid0">
    <w:name w:val="Table Grid0"/>
    <w:rsid w:val="002B36C8"/>
    <w:pPr>
      <w:spacing w:after="0" w:line="240" w:lineRule="auto"/>
    </w:pPr>
    <w:rPr>
      <w:rFonts w:eastAsiaTheme="minorEastAsia"/>
      <w:sz w:val="22"/>
      <w:szCs w:val="22"/>
    </w:rPr>
    <w:tblPr>
      <w:tblCellMar>
        <w:top w:w="0" w:type="dxa"/>
        <w:left w:w="0" w:type="dxa"/>
        <w:bottom w:w="0" w:type="dxa"/>
        <w:right w:w="0" w:type="dxa"/>
      </w:tblCellMar>
    </w:tblPr>
  </w:style>
  <w:style w:type="table" w:customStyle="1" w:styleId="Tabellenraster2">
    <w:name w:val="Tabellenraster2"/>
    <w:basedOn w:val="TableNormal"/>
    <w:next w:val="TableGrid"/>
    <w:uiPriority w:val="39"/>
    <w:rsid w:val="005306C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2">
    <w:name w:val="Mention2"/>
    <w:basedOn w:val="DefaultParagraphFont"/>
    <w:uiPriority w:val="99"/>
    <w:unhideWhenUsed/>
    <w:rsid w:val="00716F6F"/>
    <w:rPr>
      <w:color w:val="2B579A"/>
      <w:shd w:val="clear" w:color="auto" w:fill="E1DFDD"/>
    </w:rPr>
  </w:style>
  <w:style w:type="character" w:customStyle="1" w:styleId="UnresolvedMention2">
    <w:name w:val="Unresolved Mention2"/>
    <w:basedOn w:val="DefaultParagraphFont"/>
    <w:uiPriority w:val="99"/>
    <w:semiHidden/>
    <w:unhideWhenUsed/>
    <w:rsid w:val="00A90528"/>
    <w:rPr>
      <w:color w:val="605E5C"/>
      <w:shd w:val="clear" w:color="auto" w:fill="E1DFDD"/>
    </w:rPr>
  </w:style>
  <w:style w:type="paragraph" w:customStyle="1" w:styleId="msonormal0">
    <w:name w:val="msonormal"/>
    <w:basedOn w:val="Normal"/>
    <w:rsid w:val="00FD3BFB"/>
    <w:pPr>
      <w:spacing w:beforeAutospacing="1" w:afterAutospacing="1" w:line="240" w:lineRule="auto"/>
      <w:jc w:val="left"/>
    </w:pPr>
    <w:rPr>
      <w:rFonts w:ascii="Times New Roman" w:eastAsia="Times New Roman" w:hAnsi="Times New Roman" w:cs="Times New Roman"/>
      <w:color w:val="auto"/>
      <w:sz w:val="24"/>
      <w:szCs w:val="24"/>
      <w:lang w:eastAsia="de-DE"/>
    </w:rPr>
  </w:style>
  <w:style w:type="character" w:customStyle="1" w:styleId="trackchangetextinsertion">
    <w:name w:val="trackchangetextinsertion"/>
    <w:basedOn w:val="DefaultParagraphFont"/>
    <w:rsid w:val="00FD3BFB"/>
  </w:style>
  <w:style w:type="character" w:customStyle="1" w:styleId="textrun">
    <w:name w:val="textrun"/>
    <w:basedOn w:val="DefaultParagraphFont"/>
    <w:rsid w:val="00FD3BFB"/>
  </w:style>
  <w:style w:type="paragraph" w:customStyle="1" w:styleId="outlineelement">
    <w:name w:val="outlineelement"/>
    <w:basedOn w:val="Normal"/>
    <w:rsid w:val="00FD3BFB"/>
    <w:pPr>
      <w:spacing w:beforeAutospacing="1" w:afterAutospacing="1" w:line="240" w:lineRule="auto"/>
      <w:jc w:val="left"/>
    </w:pPr>
    <w:rPr>
      <w:rFonts w:ascii="Times New Roman" w:eastAsia="Times New Roman" w:hAnsi="Times New Roman" w:cs="Times New Roman"/>
      <w:color w:val="auto"/>
      <w:sz w:val="24"/>
      <w:szCs w:val="24"/>
      <w:lang w:eastAsia="de-DE"/>
    </w:rPr>
  </w:style>
  <w:style w:type="character" w:customStyle="1" w:styleId="cf21">
    <w:name w:val="cf21"/>
    <w:basedOn w:val="DefaultParagraphFont"/>
    <w:rsid w:val="00527C8D"/>
    <w:rPr>
      <w:rFonts w:ascii="Segoe UI" w:hAnsi="Segoe UI" w:cs="Segoe UI" w:hint="default"/>
      <w:b/>
      <w:bCs/>
      <w:color w:val="FF0000"/>
      <w:sz w:val="18"/>
      <w:szCs w:val="18"/>
    </w:rPr>
  </w:style>
  <w:style w:type="character" w:customStyle="1" w:styleId="cf31">
    <w:name w:val="cf31"/>
    <w:basedOn w:val="DefaultParagraphFont"/>
    <w:rsid w:val="00527C8D"/>
    <w:rPr>
      <w:rFonts w:ascii="Segoe UI" w:hAnsi="Segoe UI" w:cs="Segoe UI" w:hint="default"/>
      <w:b/>
      <w:bCs/>
      <w:color w:val="0000FF"/>
      <w:sz w:val="18"/>
      <w:szCs w:val="18"/>
    </w:rPr>
  </w:style>
  <w:style w:type="character" w:customStyle="1" w:styleId="UnresolvedMention">
    <w:name w:val="Unresolved Mention"/>
    <w:basedOn w:val="DefaultParagraphFont"/>
    <w:uiPriority w:val="99"/>
    <w:semiHidden/>
    <w:unhideWhenUsed/>
    <w:rsid w:val="008C06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29852">
      <w:bodyDiv w:val="1"/>
      <w:marLeft w:val="0"/>
      <w:marRight w:val="0"/>
      <w:marTop w:val="0"/>
      <w:marBottom w:val="0"/>
      <w:divBdr>
        <w:top w:val="none" w:sz="0" w:space="0" w:color="auto"/>
        <w:left w:val="none" w:sz="0" w:space="0" w:color="auto"/>
        <w:bottom w:val="none" w:sz="0" w:space="0" w:color="auto"/>
        <w:right w:val="none" w:sz="0" w:space="0" w:color="auto"/>
      </w:divBdr>
    </w:div>
    <w:div w:id="74321352">
      <w:bodyDiv w:val="1"/>
      <w:marLeft w:val="0"/>
      <w:marRight w:val="0"/>
      <w:marTop w:val="0"/>
      <w:marBottom w:val="0"/>
      <w:divBdr>
        <w:top w:val="none" w:sz="0" w:space="0" w:color="auto"/>
        <w:left w:val="none" w:sz="0" w:space="0" w:color="auto"/>
        <w:bottom w:val="none" w:sz="0" w:space="0" w:color="auto"/>
        <w:right w:val="none" w:sz="0" w:space="0" w:color="auto"/>
      </w:divBdr>
    </w:div>
    <w:div w:id="106004355">
      <w:bodyDiv w:val="1"/>
      <w:marLeft w:val="0"/>
      <w:marRight w:val="0"/>
      <w:marTop w:val="0"/>
      <w:marBottom w:val="0"/>
      <w:divBdr>
        <w:top w:val="none" w:sz="0" w:space="0" w:color="auto"/>
        <w:left w:val="none" w:sz="0" w:space="0" w:color="auto"/>
        <w:bottom w:val="none" w:sz="0" w:space="0" w:color="auto"/>
        <w:right w:val="none" w:sz="0" w:space="0" w:color="auto"/>
      </w:divBdr>
    </w:div>
    <w:div w:id="135071313">
      <w:bodyDiv w:val="1"/>
      <w:marLeft w:val="0"/>
      <w:marRight w:val="0"/>
      <w:marTop w:val="0"/>
      <w:marBottom w:val="0"/>
      <w:divBdr>
        <w:top w:val="none" w:sz="0" w:space="0" w:color="auto"/>
        <w:left w:val="none" w:sz="0" w:space="0" w:color="auto"/>
        <w:bottom w:val="none" w:sz="0" w:space="0" w:color="auto"/>
        <w:right w:val="none" w:sz="0" w:space="0" w:color="auto"/>
      </w:divBdr>
    </w:div>
    <w:div w:id="144512564">
      <w:bodyDiv w:val="1"/>
      <w:marLeft w:val="0"/>
      <w:marRight w:val="0"/>
      <w:marTop w:val="0"/>
      <w:marBottom w:val="0"/>
      <w:divBdr>
        <w:top w:val="none" w:sz="0" w:space="0" w:color="auto"/>
        <w:left w:val="none" w:sz="0" w:space="0" w:color="auto"/>
        <w:bottom w:val="none" w:sz="0" w:space="0" w:color="auto"/>
        <w:right w:val="none" w:sz="0" w:space="0" w:color="auto"/>
      </w:divBdr>
    </w:div>
    <w:div w:id="165295012">
      <w:bodyDiv w:val="1"/>
      <w:marLeft w:val="0"/>
      <w:marRight w:val="0"/>
      <w:marTop w:val="0"/>
      <w:marBottom w:val="0"/>
      <w:divBdr>
        <w:top w:val="none" w:sz="0" w:space="0" w:color="auto"/>
        <w:left w:val="none" w:sz="0" w:space="0" w:color="auto"/>
        <w:bottom w:val="none" w:sz="0" w:space="0" w:color="auto"/>
        <w:right w:val="none" w:sz="0" w:space="0" w:color="auto"/>
      </w:divBdr>
    </w:div>
    <w:div w:id="290791557">
      <w:bodyDiv w:val="1"/>
      <w:marLeft w:val="0"/>
      <w:marRight w:val="0"/>
      <w:marTop w:val="0"/>
      <w:marBottom w:val="0"/>
      <w:divBdr>
        <w:top w:val="none" w:sz="0" w:space="0" w:color="auto"/>
        <w:left w:val="none" w:sz="0" w:space="0" w:color="auto"/>
        <w:bottom w:val="none" w:sz="0" w:space="0" w:color="auto"/>
        <w:right w:val="none" w:sz="0" w:space="0" w:color="auto"/>
      </w:divBdr>
    </w:div>
    <w:div w:id="486094835">
      <w:bodyDiv w:val="1"/>
      <w:marLeft w:val="0"/>
      <w:marRight w:val="0"/>
      <w:marTop w:val="0"/>
      <w:marBottom w:val="0"/>
      <w:divBdr>
        <w:top w:val="none" w:sz="0" w:space="0" w:color="auto"/>
        <w:left w:val="none" w:sz="0" w:space="0" w:color="auto"/>
        <w:bottom w:val="none" w:sz="0" w:space="0" w:color="auto"/>
        <w:right w:val="none" w:sz="0" w:space="0" w:color="auto"/>
      </w:divBdr>
    </w:div>
    <w:div w:id="598220799">
      <w:bodyDiv w:val="1"/>
      <w:marLeft w:val="0"/>
      <w:marRight w:val="0"/>
      <w:marTop w:val="0"/>
      <w:marBottom w:val="0"/>
      <w:divBdr>
        <w:top w:val="none" w:sz="0" w:space="0" w:color="auto"/>
        <w:left w:val="none" w:sz="0" w:space="0" w:color="auto"/>
        <w:bottom w:val="none" w:sz="0" w:space="0" w:color="auto"/>
        <w:right w:val="none" w:sz="0" w:space="0" w:color="auto"/>
      </w:divBdr>
    </w:div>
    <w:div w:id="680738206">
      <w:bodyDiv w:val="1"/>
      <w:marLeft w:val="0"/>
      <w:marRight w:val="0"/>
      <w:marTop w:val="0"/>
      <w:marBottom w:val="0"/>
      <w:divBdr>
        <w:top w:val="none" w:sz="0" w:space="0" w:color="auto"/>
        <w:left w:val="none" w:sz="0" w:space="0" w:color="auto"/>
        <w:bottom w:val="none" w:sz="0" w:space="0" w:color="auto"/>
        <w:right w:val="none" w:sz="0" w:space="0" w:color="auto"/>
      </w:divBdr>
    </w:div>
    <w:div w:id="715394011">
      <w:bodyDiv w:val="1"/>
      <w:marLeft w:val="0"/>
      <w:marRight w:val="0"/>
      <w:marTop w:val="0"/>
      <w:marBottom w:val="0"/>
      <w:divBdr>
        <w:top w:val="none" w:sz="0" w:space="0" w:color="auto"/>
        <w:left w:val="none" w:sz="0" w:space="0" w:color="auto"/>
        <w:bottom w:val="none" w:sz="0" w:space="0" w:color="auto"/>
        <w:right w:val="none" w:sz="0" w:space="0" w:color="auto"/>
      </w:divBdr>
    </w:div>
    <w:div w:id="879051733">
      <w:bodyDiv w:val="1"/>
      <w:marLeft w:val="0"/>
      <w:marRight w:val="0"/>
      <w:marTop w:val="0"/>
      <w:marBottom w:val="0"/>
      <w:divBdr>
        <w:top w:val="none" w:sz="0" w:space="0" w:color="auto"/>
        <w:left w:val="none" w:sz="0" w:space="0" w:color="auto"/>
        <w:bottom w:val="none" w:sz="0" w:space="0" w:color="auto"/>
        <w:right w:val="none" w:sz="0" w:space="0" w:color="auto"/>
      </w:divBdr>
    </w:div>
    <w:div w:id="963193642">
      <w:bodyDiv w:val="1"/>
      <w:marLeft w:val="0"/>
      <w:marRight w:val="0"/>
      <w:marTop w:val="0"/>
      <w:marBottom w:val="0"/>
      <w:divBdr>
        <w:top w:val="none" w:sz="0" w:space="0" w:color="auto"/>
        <w:left w:val="none" w:sz="0" w:space="0" w:color="auto"/>
        <w:bottom w:val="none" w:sz="0" w:space="0" w:color="auto"/>
        <w:right w:val="none" w:sz="0" w:space="0" w:color="auto"/>
      </w:divBdr>
    </w:div>
    <w:div w:id="972909859">
      <w:bodyDiv w:val="1"/>
      <w:marLeft w:val="0"/>
      <w:marRight w:val="0"/>
      <w:marTop w:val="0"/>
      <w:marBottom w:val="0"/>
      <w:divBdr>
        <w:top w:val="none" w:sz="0" w:space="0" w:color="auto"/>
        <w:left w:val="none" w:sz="0" w:space="0" w:color="auto"/>
        <w:bottom w:val="none" w:sz="0" w:space="0" w:color="auto"/>
        <w:right w:val="none" w:sz="0" w:space="0" w:color="auto"/>
      </w:divBdr>
    </w:div>
    <w:div w:id="1168711860">
      <w:bodyDiv w:val="1"/>
      <w:marLeft w:val="0"/>
      <w:marRight w:val="0"/>
      <w:marTop w:val="0"/>
      <w:marBottom w:val="0"/>
      <w:divBdr>
        <w:top w:val="none" w:sz="0" w:space="0" w:color="auto"/>
        <w:left w:val="none" w:sz="0" w:space="0" w:color="auto"/>
        <w:bottom w:val="none" w:sz="0" w:space="0" w:color="auto"/>
        <w:right w:val="none" w:sz="0" w:space="0" w:color="auto"/>
      </w:divBdr>
    </w:div>
    <w:div w:id="1200584231">
      <w:bodyDiv w:val="1"/>
      <w:marLeft w:val="0"/>
      <w:marRight w:val="0"/>
      <w:marTop w:val="0"/>
      <w:marBottom w:val="0"/>
      <w:divBdr>
        <w:top w:val="none" w:sz="0" w:space="0" w:color="auto"/>
        <w:left w:val="none" w:sz="0" w:space="0" w:color="auto"/>
        <w:bottom w:val="none" w:sz="0" w:space="0" w:color="auto"/>
        <w:right w:val="none" w:sz="0" w:space="0" w:color="auto"/>
      </w:divBdr>
    </w:div>
    <w:div w:id="1253856006">
      <w:bodyDiv w:val="1"/>
      <w:marLeft w:val="0"/>
      <w:marRight w:val="0"/>
      <w:marTop w:val="0"/>
      <w:marBottom w:val="0"/>
      <w:divBdr>
        <w:top w:val="none" w:sz="0" w:space="0" w:color="auto"/>
        <w:left w:val="none" w:sz="0" w:space="0" w:color="auto"/>
        <w:bottom w:val="none" w:sz="0" w:space="0" w:color="auto"/>
        <w:right w:val="none" w:sz="0" w:space="0" w:color="auto"/>
      </w:divBdr>
    </w:div>
    <w:div w:id="1304042820">
      <w:bodyDiv w:val="1"/>
      <w:marLeft w:val="0"/>
      <w:marRight w:val="0"/>
      <w:marTop w:val="0"/>
      <w:marBottom w:val="0"/>
      <w:divBdr>
        <w:top w:val="none" w:sz="0" w:space="0" w:color="auto"/>
        <w:left w:val="none" w:sz="0" w:space="0" w:color="auto"/>
        <w:bottom w:val="none" w:sz="0" w:space="0" w:color="auto"/>
        <w:right w:val="none" w:sz="0" w:space="0" w:color="auto"/>
      </w:divBdr>
    </w:div>
    <w:div w:id="1330134731">
      <w:bodyDiv w:val="1"/>
      <w:marLeft w:val="0"/>
      <w:marRight w:val="0"/>
      <w:marTop w:val="0"/>
      <w:marBottom w:val="0"/>
      <w:divBdr>
        <w:top w:val="none" w:sz="0" w:space="0" w:color="auto"/>
        <w:left w:val="none" w:sz="0" w:space="0" w:color="auto"/>
        <w:bottom w:val="none" w:sz="0" w:space="0" w:color="auto"/>
        <w:right w:val="none" w:sz="0" w:space="0" w:color="auto"/>
      </w:divBdr>
      <w:divsChild>
        <w:div w:id="1259143427">
          <w:marLeft w:val="0"/>
          <w:marRight w:val="0"/>
          <w:marTop w:val="0"/>
          <w:marBottom w:val="0"/>
          <w:divBdr>
            <w:top w:val="none" w:sz="0" w:space="0" w:color="auto"/>
            <w:left w:val="none" w:sz="0" w:space="0" w:color="auto"/>
            <w:bottom w:val="none" w:sz="0" w:space="0" w:color="auto"/>
            <w:right w:val="none" w:sz="0" w:space="0" w:color="auto"/>
          </w:divBdr>
          <w:divsChild>
            <w:div w:id="676267734">
              <w:marLeft w:val="0"/>
              <w:marRight w:val="0"/>
              <w:marTop w:val="0"/>
              <w:marBottom w:val="0"/>
              <w:divBdr>
                <w:top w:val="none" w:sz="0" w:space="0" w:color="auto"/>
                <w:left w:val="none" w:sz="0" w:space="0" w:color="auto"/>
                <w:bottom w:val="none" w:sz="0" w:space="0" w:color="auto"/>
                <w:right w:val="none" w:sz="0" w:space="0" w:color="auto"/>
              </w:divBdr>
              <w:divsChild>
                <w:div w:id="986517569">
                  <w:marLeft w:val="0"/>
                  <w:marRight w:val="0"/>
                  <w:marTop w:val="0"/>
                  <w:marBottom w:val="0"/>
                  <w:divBdr>
                    <w:top w:val="none" w:sz="0" w:space="0" w:color="auto"/>
                    <w:left w:val="none" w:sz="0" w:space="0" w:color="auto"/>
                    <w:bottom w:val="none" w:sz="0" w:space="0" w:color="auto"/>
                    <w:right w:val="none" w:sz="0" w:space="0" w:color="auto"/>
                  </w:divBdr>
                  <w:divsChild>
                    <w:div w:id="1626623503">
                      <w:marLeft w:val="0"/>
                      <w:marRight w:val="0"/>
                      <w:marTop w:val="0"/>
                      <w:marBottom w:val="0"/>
                      <w:divBdr>
                        <w:top w:val="none" w:sz="0" w:space="0" w:color="auto"/>
                        <w:left w:val="none" w:sz="0" w:space="0" w:color="auto"/>
                        <w:bottom w:val="none" w:sz="0" w:space="0" w:color="auto"/>
                        <w:right w:val="none" w:sz="0" w:space="0" w:color="auto"/>
                      </w:divBdr>
                      <w:divsChild>
                        <w:div w:id="1153256542">
                          <w:marLeft w:val="0"/>
                          <w:marRight w:val="0"/>
                          <w:marTop w:val="0"/>
                          <w:marBottom w:val="0"/>
                          <w:divBdr>
                            <w:top w:val="none" w:sz="0" w:space="0" w:color="auto"/>
                            <w:left w:val="none" w:sz="0" w:space="0" w:color="auto"/>
                            <w:bottom w:val="none" w:sz="0" w:space="0" w:color="auto"/>
                            <w:right w:val="none" w:sz="0" w:space="0" w:color="auto"/>
                          </w:divBdr>
                          <w:divsChild>
                            <w:div w:id="26688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406583">
      <w:bodyDiv w:val="1"/>
      <w:marLeft w:val="0"/>
      <w:marRight w:val="0"/>
      <w:marTop w:val="0"/>
      <w:marBottom w:val="0"/>
      <w:divBdr>
        <w:top w:val="none" w:sz="0" w:space="0" w:color="auto"/>
        <w:left w:val="none" w:sz="0" w:space="0" w:color="auto"/>
        <w:bottom w:val="none" w:sz="0" w:space="0" w:color="auto"/>
        <w:right w:val="none" w:sz="0" w:space="0" w:color="auto"/>
      </w:divBdr>
    </w:div>
    <w:div w:id="1374769757">
      <w:bodyDiv w:val="1"/>
      <w:marLeft w:val="0"/>
      <w:marRight w:val="0"/>
      <w:marTop w:val="0"/>
      <w:marBottom w:val="0"/>
      <w:divBdr>
        <w:top w:val="none" w:sz="0" w:space="0" w:color="auto"/>
        <w:left w:val="none" w:sz="0" w:space="0" w:color="auto"/>
        <w:bottom w:val="none" w:sz="0" w:space="0" w:color="auto"/>
        <w:right w:val="none" w:sz="0" w:space="0" w:color="auto"/>
      </w:divBdr>
    </w:div>
    <w:div w:id="1377270326">
      <w:bodyDiv w:val="1"/>
      <w:marLeft w:val="0"/>
      <w:marRight w:val="0"/>
      <w:marTop w:val="0"/>
      <w:marBottom w:val="0"/>
      <w:divBdr>
        <w:top w:val="none" w:sz="0" w:space="0" w:color="auto"/>
        <w:left w:val="none" w:sz="0" w:space="0" w:color="auto"/>
        <w:bottom w:val="none" w:sz="0" w:space="0" w:color="auto"/>
        <w:right w:val="none" w:sz="0" w:space="0" w:color="auto"/>
      </w:divBdr>
    </w:div>
    <w:div w:id="1378747686">
      <w:bodyDiv w:val="1"/>
      <w:marLeft w:val="0"/>
      <w:marRight w:val="0"/>
      <w:marTop w:val="0"/>
      <w:marBottom w:val="0"/>
      <w:divBdr>
        <w:top w:val="none" w:sz="0" w:space="0" w:color="auto"/>
        <w:left w:val="none" w:sz="0" w:space="0" w:color="auto"/>
        <w:bottom w:val="none" w:sz="0" w:space="0" w:color="auto"/>
        <w:right w:val="none" w:sz="0" w:space="0" w:color="auto"/>
      </w:divBdr>
    </w:div>
    <w:div w:id="1429499807">
      <w:bodyDiv w:val="1"/>
      <w:marLeft w:val="0"/>
      <w:marRight w:val="0"/>
      <w:marTop w:val="0"/>
      <w:marBottom w:val="0"/>
      <w:divBdr>
        <w:top w:val="none" w:sz="0" w:space="0" w:color="auto"/>
        <w:left w:val="none" w:sz="0" w:space="0" w:color="auto"/>
        <w:bottom w:val="none" w:sz="0" w:space="0" w:color="auto"/>
        <w:right w:val="none" w:sz="0" w:space="0" w:color="auto"/>
      </w:divBdr>
    </w:div>
    <w:div w:id="1459177762">
      <w:bodyDiv w:val="1"/>
      <w:marLeft w:val="0"/>
      <w:marRight w:val="0"/>
      <w:marTop w:val="0"/>
      <w:marBottom w:val="0"/>
      <w:divBdr>
        <w:top w:val="none" w:sz="0" w:space="0" w:color="auto"/>
        <w:left w:val="none" w:sz="0" w:space="0" w:color="auto"/>
        <w:bottom w:val="none" w:sz="0" w:space="0" w:color="auto"/>
        <w:right w:val="none" w:sz="0" w:space="0" w:color="auto"/>
      </w:divBdr>
    </w:div>
    <w:div w:id="1492714226">
      <w:bodyDiv w:val="1"/>
      <w:marLeft w:val="0"/>
      <w:marRight w:val="0"/>
      <w:marTop w:val="0"/>
      <w:marBottom w:val="0"/>
      <w:divBdr>
        <w:top w:val="none" w:sz="0" w:space="0" w:color="auto"/>
        <w:left w:val="none" w:sz="0" w:space="0" w:color="auto"/>
        <w:bottom w:val="none" w:sz="0" w:space="0" w:color="auto"/>
        <w:right w:val="none" w:sz="0" w:space="0" w:color="auto"/>
      </w:divBdr>
    </w:div>
    <w:div w:id="1495954767">
      <w:bodyDiv w:val="1"/>
      <w:marLeft w:val="0"/>
      <w:marRight w:val="0"/>
      <w:marTop w:val="0"/>
      <w:marBottom w:val="0"/>
      <w:divBdr>
        <w:top w:val="none" w:sz="0" w:space="0" w:color="auto"/>
        <w:left w:val="none" w:sz="0" w:space="0" w:color="auto"/>
        <w:bottom w:val="none" w:sz="0" w:space="0" w:color="auto"/>
        <w:right w:val="none" w:sz="0" w:space="0" w:color="auto"/>
      </w:divBdr>
    </w:div>
    <w:div w:id="1537113030">
      <w:bodyDiv w:val="1"/>
      <w:marLeft w:val="0"/>
      <w:marRight w:val="0"/>
      <w:marTop w:val="0"/>
      <w:marBottom w:val="0"/>
      <w:divBdr>
        <w:top w:val="none" w:sz="0" w:space="0" w:color="auto"/>
        <w:left w:val="none" w:sz="0" w:space="0" w:color="auto"/>
        <w:bottom w:val="none" w:sz="0" w:space="0" w:color="auto"/>
        <w:right w:val="none" w:sz="0" w:space="0" w:color="auto"/>
      </w:divBdr>
    </w:div>
    <w:div w:id="1563832467">
      <w:bodyDiv w:val="1"/>
      <w:marLeft w:val="0"/>
      <w:marRight w:val="0"/>
      <w:marTop w:val="0"/>
      <w:marBottom w:val="0"/>
      <w:divBdr>
        <w:top w:val="none" w:sz="0" w:space="0" w:color="auto"/>
        <w:left w:val="none" w:sz="0" w:space="0" w:color="auto"/>
        <w:bottom w:val="none" w:sz="0" w:space="0" w:color="auto"/>
        <w:right w:val="none" w:sz="0" w:space="0" w:color="auto"/>
      </w:divBdr>
    </w:div>
    <w:div w:id="1580141125">
      <w:bodyDiv w:val="1"/>
      <w:marLeft w:val="0"/>
      <w:marRight w:val="0"/>
      <w:marTop w:val="0"/>
      <w:marBottom w:val="0"/>
      <w:divBdr>
        <w:top w:val="none" w:sz="0" w:space="0" w:color="auto"/>
        <w:left w:val="none" w:sz="0" w:space="0" w:color="auto"/>
        <w:bottom w:val="none" w:sz="0" w:space="0" w:color="auto"/>
        <w:right w:val="none" w:sz="0" w:space="0" w:color="auto"/>
      </w:divBdr>
    </w:div>
    <w:div w:id="1729302826">
      <w:bodyDiv w:val="1"/>
      <w:marLeft w:val="0"/>
      <w:marRight w:val="0"/>
      <w:marTop w:val="0"/>
      <w:marBottom w:val="0"/>
      <w:divBdr>
        <w:top w:val="none" w:sz="0" w:space="0" w:color="auto"/>
        <w:left w:val="none" w:sz="0" w:space="0" w:color="auto"/>
        <w:bottom w:val="none" w:sz="0" w:space="0" w:color="auto"/>
        <w:right w:val="none" w:sz="0" w:space="0" w:color="auto"/>
      </w:divBdr>
    </w:div>
    <w:div w:id="1817064842">
      <w:bodyDiv w:val="1"/>
      <w:marLeft w:val="0"/>
      <w:marRight w:val="0"/>
      <w:marTop w:val="0"/>
      <w:marBottom w:val="0"/>
      <w:divBdr>
        <w:top w:val="none" w:sz="0" w:space="0" w:color="auto"/>
        <w:left w:val="none" w:sz="0" w:space="0" w:color="auto"/>
        <w:bottom w:val="none" w:sz="0" w:space="0" w:color="auto"/>
        <w:right w:val="none" w:sz="0" w:space="0" w:color="auto"/>
      </w:divBdr>
    </w:div>
    <w:div w:id="1840728032">
      <w:bodyDiv w:val="1"/>
      <w:marLeft w:val="0"/>
      <w:marRight w:val="0"/>
      <w:marTop w:val="0"/>
      <w:marBottom w:val="0"/>
      <w:divBdr>
        <w:top w:val="none" w:sz="0" w:space="0" w:color="auto"/>
        <w:left w:val="none" w:sz="0" w:space="0" w:color="auto"/>
        <w:bottom w:val="none" w:sz="0" w:space="0" w:color="auto"/>
        <w:right w:val="none" w:sz="0" w:space="0" w:color="auto"/>
      </w:divBdr>
    </w:div>
    <w:div w:id="1958948857">
      <w:bodyDiv w:val="1"/>
      <w:marLeft w:val="0"/>
      <w:marRight w:val="0"/>
      <w:marTop w:val="0"/>
      <w:marBottom w:val="0"/>
      <w:divBdr>
        <w:top w:val="none" w:sz="0" w:space="0" w:color="auto"/>
        <w:left w:val="none" w:sz="0" w:space="0" w:color="auto"/>
        <w:bottom w:val="none" w:sz="0" w:space="0" w:color="auto"/>
        <w:right w:val="none" w:sz="0" w:space="0" w:color="auto"/>
      </w:divBdr>
    </w:div>
    <w:div w:id="2030402892">
      <w:bodyDiv w:val="1"/>
      <w:marLeft w:val="0"/>
      <w:marRight w:val="0"/>
      <w:marTop w:val="0"/>
      <w:marBottom w:val="0"/>
      <w:divBdr>
        <w:top w:val="none" w:sz="0" w:space="0" w:color="auto"/>
        <w:left w:val="none" w:sz="0" w:space="0" w:color="auto"/>
        <w:bottom w:val="none" w:sz="0" w:space="0" w:color="auto"/>
        <w:right w:val="none" w:sz="0" w:space="0" w:color="auto"/>
      </w:divBdr>
      <w:divsChild>
        <w:div w:id="338428868">
          <w:marLeft w:val="0"/>
          <w:marRight w:val="0"/>
          <w:marTop w:val="0"/>
          <w:marBottom w:val="0"/>
          <w:divBdr>
            <w:top w:val="none" w:sz="0" w:space="0" w:color="auto"/>
            <w:left w:val="none" w:sz="0" w:space="0" w:color="auto"/>
            <w:bottom w:val="none" w:sz="0" w:space="0" w:color="auto"/>
            <w:right w:val="none" w:sz="0" w:space="0" w:color="auto"/>
          </w:divBdr>
          <w:divsChild>
            <w:div w:id="973825418">
              <w:marLeft w:val="0"/>
              <w:marRight w:val="0"/>
              <w:marTop w:val="0"/>
              <w:marBottom w:val="0"/>
              <w:divBdr>
                <w:top w:val="none" w:sz="0" w:space="0" w:color="auto"/>
                <w:left w:val="none" w:sz="0" w:space="0" w:color="auto"/>
                <w:bottom w:val="none" w:sz="0" w:space="0" w:color="auto"/>
                <w:right w:val="none" w:sz="0" w:space="0" w:color="auto"/>
              </w:divBdr>
              <w:divsChild>
                <w:div w:id="1294288315">
                  <w:marLeft w:val="0"/>
                  <w:marRight w:val="0"/>
                  <w:marTop w:val="0"/>
                  <w:marBottom w:val="0"/>
                  <w:divBdr>
                    <w:top w:val="none" w:sz="0" w:space="0" w:color="auto"/>
                    <w:left w:val="none" w:sz="0" w:space="0" w:color="auto"/>
                    <w:bottom w:val="none" w:sz="0" w:space="0" w:color="auto"/>
                    <w:right w:val="none" w:sz="0" w:space="0" w:color="auto"/>
                  </w:divBdr>
                  <w:divsChild>
                    <w:div w:id="1509322481">
                      <w:marLeft w:val="0"/>
                      <w:marRight w:val="0"/>
                      <w:marTop w:val="0"/>
                      <w:marBottom w:val="0"/>
                      <w:divBdr>
                        <w:top w:val="none" w:sz="0" w:space="0" w:color="auto"/>
                        <w:left w:val="none" w:sz="0" w:space="0" w:color="auto"/>
                        <w:bottom w:val="none" w:sz="0" w:space="0" w:color="auto"/>
                        <w:right w:val="none" w:sz="0" w:space="0" w:color="auto"/>
                      </w:divBdr>
                      <w:divsChild>
                        <w:div w:id="1562330923">
                          <w:marLeft w:val="0"/>
                          <w:marRight w:val="0"/>
                          <w:marTop w:val="0"/>
                          <w:marBottom w:val="0"/>
                          <w:divBdr>
                            <w:top w:val="none" w:sz="0" w:space="0" w:color="auto"/>
                            <w:left w:val="none" w:sz="0" w:space="0" w:color="auto"/>
                            <w:bottom w:val="none" w:sz="0" w:space="0" w:color="auto"/>
                            <w:right w:val="none" w:sz="0" w:space="0" w:color="auto"/>
                          </w:divBdr>
                          <w:divsChild>
                            <w:div w:id="178437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image" Target="media/image76.png"/><Relationship Id="rId21" Type="http://schemas.openxmlformats.org/officeDocument/2006/relationships/image" Target="media/image9.svg"/><Relationship Id="rId42" Type="http://schemas.openxmlformats.org/officeDocument/2006/relationships/diagramLayout" Target="diagrams/layout2.xml"/><Relationship Id="rId47" Type="http://schemas.openxmlformats.org/officeDocument/2006/relationships/hyperlink" Target="https://konsultimet.rks-gov.net/Storage/Consultations/14-13-59-04102018/Climate%20Change%20Strategy%20and%20Action%20Plan_sep_2018.pdf" TargetMode="External"/><Relationship Id="rId63" Type="http://schemas.openxmlformats.org/officeDocument/2006/relationships/footer" Target="footer1.xml"/><Relationship Id="rId68" Type="http://schemas.openxmlformats.org/officeDocument/2006/relationships/hyperlink" Target="http://www.degreedays.net" TargetMode="External"/><Relationship Id="rId84" Type="http://schemas.openxmlformats.org/officeDocument/2006/relationships/image" Target="media/image44.emf"/><Relationship Id="rId89" Type="http://schemas.openxmlformats.org/officeDocument/2006/relationships/image" Target="media/image49.emf"/><Relationship Id="rId112" Type="http://schemas.openxmlformats.org/officeDocument/2006/relationships/image" Target="media/image71.emf"/><Relationship Id="rId107" Type="http://schemas.openxmlformats.org/officeDocument/2006/relationships/image" Target="media/image66.emf"/><Relationship Id="rId11" Type="http://schemas.openxmlformats.org/officeDocument/2006/relationships/endnotes" Target="endnotes.xml"/><Relationship Id="rId32" Type="http://schemas.openxmlformats.org/officeDocument/2006/relationships/image" Target="media/image11.emf"/><Relationship Id="rId37" Type="http://schemas.openxmlformats.org/officeDocument/2006/relationships/diagramLayout" Target="diagrams/layout1.xml"/><Relationship Id="rId53" Type="http://schemas.openxmlformats.org/officeDocument/2006/relationships/image" Target="media/image18.emf"/><Relationship Id="rId58" Type="http://schemas.openxmlformats.org/officeDocument/2006/relationships/image" Target="media/image23.emf"/><Relationship Id="rId74" Type="http://schemas.openxmlformats.org/officeDocument/2006/relationships/image" Target="media/image34.png"/><Relationship Id="rId79" Type="http://schemas.openxmlformats.org/officeDocument/2006/relationships/image" Target="media/image39.emf"/><Relationship Id="rId102" Type="http://schemas.openxmlformats.org/officeDocument/2006/relationships/image" Target="media/image61.emf"/><Relationship Id="rId123" Type="http://schemas.openxmlformats.org/officeDocument/2006/relationships/image" Target="media/image82.emf"/><Relationship Id="rId128"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image" Target="media/image50.emf"/><Relationship Id="rId95" Type="http://schemas.openxmlformats.org/officeDocument/2006/relationships/image" Target="media/image55.emf"/><Relationship Id="rId22" Type="http://schemas.openxmlformats.org/officeDocument/2006/relationships/image" Target="media/image5.png"/><Relationship Id="rId27" Type="http://schemas.openxmlformats.org/officeDocument/2006/relationships/image" Target="media/image15.svg"/><Relationship Id="rId43" Type="http://schemas.openxmlformats.org/officeDocument/2006/relationships/diagramQuickStyle" Target="diagrams/quickStyle2.xml"/><Relationship Id="rId48" Type="http://schemas.openxmlformats.org/officeDocument/2006/relationships/image" Target="media/image13.emf"/><Relationship Id="rId64" Type="http://schemas.openxmlformats.org/officeDocument/2006/relationships/image" Target="media/image25.emf"/><Relationship Id="rId69" Type="http://schemas.openxmlformats.org/officeDocument/2006/relationships/image" Target="media/image29.emf"/><Relationship Id="rId113" Type="http://schemas.openxmlformats.org/officeDocument/2006/relationships/image" Target="media/image72.emf"/><Relationship Id="rId118" Type="http://schemas.openxmlformats.org/officeDocument/2006/relationships/image" Target="media/image77.emf"/><Relationship Id="rId80" Type="http://schemas.openxmlformats.org/officeDocument/2006/relationships/image" Target="media/image40.emf"/><Relationship Id="rId85" Type="http://schemas.openxmlformats.org/officeDocument/2006/relationships/image" Target="media/image45.emf"/><Relationship Id="rId12" Type="http://schemas.openxmlformats.org/officeDocument/2006/relationships/image" Target="media/image1.png"/><Relationship Id="rId17" Type="http://schemas.openxmlformats.org/officeDocument/2006/relationships/image" Target="media/image5.svg"/><Relationship Id="rId33" Type="http://schemas.openxmlformats.org/officeDocument/2006/relationships/hyperlink" Target="https://konsultimet.rks-gov.net/Storage/Consultations/14-13-59-04102018/Climate%20Change%20Strategy%20and%20Action%20Plan_sep_2018.pdf" TargetMode="External"/><Relationship Id="rId38" Type="http://schemas.openxmlformats.org/officeDocument/2006/relationships/diagramQuickStyle" Target="diagrams/quickStyle1.xml"/><Relationship Id="rId59" Type="http://schemas.openxmlformats.org/officeDocument/2006/relationships/image" Target="media/image24.png"/><Relationship Id="rId103" Type="http://schemas.openxmlformats.org/officeDocument/2006/relationships/image" Target="media/image62.emf"/><Relationship Id="rId108" Type="http://schemas.openxmlformats.org/officeDocument/2006/relationships/image" Target="media/image67.emf"/><Relationship Id="rId124" Type="http://schemas.openxmlformats.org/officeDocument/2006/relationships/image" Target="media/image83.emf"/><Relationship Id="rId129" Type="http://schemas.openxmlformats.org/officeDocument/2006/relationships/theme" Target="theme/theme1.xml"/><Relationship Id="rId54" Type="http://schemas.openxmlformats.org/officeDocument/2006/relationships/image" Target="media/image19.emf"/><Relationship Id="rId70" Type="http://schemas.openxmlformats.org/officeDocument/2006/relationships/image" Target="media/image30.emf"/><Relationship Id="rId75" Type="http://schemas.openxmlformats.org/officeDocument/2006/relationships/image" Target="media/image35.emf"/><Relationship Id="rId91" Type="http://schemas.openxmlformats.org/officeDocument/2006/relationships/image" Target="media/image51.emf"/><Relationship Id="rId96" Type="http://schemas.openxmlformats.org/officeDocument/2006/relationships/image" Target="media/image56.emf"/><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svg"/><Relationship Id="rId28" Type="http://schemas.openxmlformats.org/officeDocument/2006/relationships/image" Target="media/image8.png"/><Relationship Id="rId49" Type="http://schemas.openxmlformats.org/officeDocument/2006/relationships/image" Target="media/image14.emf"/><Relationship Id="rId114" Type="http://schemas.openxmlformats.org/officeDocument/2006/relationships/image" Target="media/image73.emf"/><Relationship Id="rId119" Type="http://schemas.openxmlformats.org/officeDocument/2006/relationships/image" Target="media/image78.emf"/><Relationship Id="rId44" Type="http://schemas.openxmlformats.org/officeDocument/2006/relationships/diagramColors" Target="diagrams/colors2.xml"/><Relationship Id="rId60" Type="http://schemas.openxmlformats.org/officeDocument/2006/relationships/hyperlink" Target="https://gzk.rks-gov.net/ActDetail.aspx?ActID=18296" TargetMode="External"/><Relationship Id="rId65" Type="http://schemas.openxmlformats.org/officeDocument/2006/relationships/image" Target="media/image26.emf"/><Relationship Id="rId81" Type="http://schemas.openxmlformats.org/officeDocument/2006/relationships/image" Target="media/image41.emf"/><Relationship Id="rId86" Type="http://schemas.openxmlformats.org/officeDocument/2006/relationships/image" Target="media/image46.emf"/><Relationship Id="rId13" Type="http://schemas.openxmlformats.org/officeDocument/2006/relationships/header" Target="header1.xml"/><Relationship Id="rId18" Type="http://schemas.openxmlformats.org/officeDocument/2006/relationships/image" Target="media/image6.svg"/><Relationship Id="rId39" Type="http://schemas.openxmlformats.org/officeDocument/2006/relationships/diagramColors" Target="diagrams/colors1.xml"/><Relationship Id="rId109" Type="http://schemas.openxmlformats.org/officeDocument/2006/relationships/image" Target="media/image68.emf"/><Relationship Id="rId34" Type="http://schemas.openxmlformats.org/officeDocument/2006/relationships/hyperlink" Target="https://mmph.rks-gov.net/assets/cms/uploads/files/Publikimet/Action_Plan_for_Kosovo_Climate_Change_Startegy_296697_193403.pdf" TargetMode="External"/><Relationship Id="rId50" Type="http://schemas.openxmlformats.org/officeDocument/2006/relationships/image" Target="media/image15.emf"/><Relationship Id="rId55" Type="http://schemas.openxmlformats.org/officeDocument/2006/relationships/image" Target="media/image20.emf"/><Relationship Id="rId76" Type="http://schemas.openxmlformats.org/officeDocument/2006/relationships/image" Target="media/image36.emf"/><Relationship Id="rId97" Type="http://schemas.openxmlformats.org/officeDocument/2006/relationships/image" Target="media/image57.emf"/><Relationship Id="rId104" Type="http://schemas.openxmlformats.org/officeDocument/2006/relationships/image" Target="media/image63.emf"/><Relationship Id="rId120" Type="http://schemas.openxmlformats.org/officeDocument/2006/relationships/image" Target="media/image79.emf"/><Relationship Id="rId125" Type="http://schemas.openxmlformats.org/officeDocument/2006/relationships/image" Target="media/image84.emf"/><Relationship Id="rId7" Type="http://schemas.openxmlformats.org/officeDocument/2006/relationships/styles" Target="styles.xml"/><Relationship Id="rId71" Type="http://schemas.openxmlformats.org/officeDocument/2006/relationships/image" Target="media/image31.emf"/><Relationship Id="rId92" Type="http://schemas.openxmlformats.org/officeDocument/2006/relationships/image" Target="media/image52.emf"/><Relationship Id="rId2" Type="http://schemas.openxmlformats.org/officeDocument/2006/relationships/customXml" Target="../customXml/item2.xml"/><Relationship Id="rId29" Type="http://schemas.openxmlformats.org/officeDocument/2006/relationships/image" Target="media/image17.svg"/><Relationship Id="rId24" Type="http://schemas.openxmlformats.org/officeDocument/2006/relationships/image" Target="media/image6.png"/><Relationship Id="rId40" Type="http://schemas.microsoft.com/office/2007/relationships/diagramDrawing" Target="diagrams/drawing1.xml"/><Relationship Id="rId45" Type="http://schemas.microsoft.com/office/2007/relationships/diagramDrawing" Target="diagrams/drawing2.xml"/><Relationship Id="rId66" Type="http://schemas.openxmlformats.org/officeDocument/2006/relationships/image" Target="media/image27.emf"/><Relationship Id="rId87" Type="http://schemas.openxmlformats.org/officeDocument/2006/relationships/image" Target="media/image47.emf"/><Relationship Id="rId110" Type="http://schemas.openxmlformats.org/officeDocument/2006/relationships/image" Target="media/image69.emf"/><Relationship Id="rId115" Type="http://schemas.openxmlformats.org/officeDocument/2006/relationships/image" Target="media/image74.emf"/><Relationship Id="rId61" Type="http://schemas.openxmlformats.org/officeDocument/2006/relationships/hyperlink" Target="https://gzk.rks-gov.net/ActDetail.aspx?ActID=18296" TargetMode="External"/><Relationship Id="rId82" Type="http://schemas.openxmlformats.org/officeDocument/2006/relationships/image" Target="media/image42.emf"/><Relationship Id="rId19" Type="http://schemas.openxmlformats.org/officeDocument/2006/relationships/image" Target="media/image3.png"/><Relationship Id="rId14" Type="http://schemas.openxmlformats.org/officeDocument/2006/relationships/image" Target="media/image2.png"/><Relationship Id="rId30" Type="http://schemas.openxmlformats.org/officeDocument/2006/relationships/image" Target="media/image9.emf"/><Relationship Id="rId35" Type="http://schemas.openxmlformats.org/officeDocument/2006/relationships/hyperlink" Target="https://konsultimet.rks-gov.net/Storage/Consultations/14-13-59-04102018/Climate%20Change%20Strategy%20and%20Action%20Plan_sep_2018.pdf" TargetMode="External"/><Relationship Id="rId56" Type="http://schemas.openxmlformats.org/officeDocument/2006/relationships/image" Target="media/image21.emf"/><Relationship Id="rId77" Type="http://schemas.openxmlformats.org/officeDocument/2006/relationships/image" Target="media/image37.png"/><Relationship Id="rId100" Type="http://schemas.openxmlformats.org/officeDocument/2006/relationships/image" Target="media/image59.emf"/><Relationship Id="rId105" Type="http://schemas.openxmlformats.org/officeDocument/2006/relationships/image" Target="media/image64.emf"/><Relationship Id="rId126" Type="http://schemas.openxmlformats.org/officeDocument/2006/relationships/image" Target="media/image85.emf"/><Relationship Id="rId8" Type="http://schemas.openxmlformats.org/officeDocument/2006/relationships/settings" Target="settings.xml"/><Relationship Id="rId51" Type="http://schemas.openxmlformats.org/officeDocument/2006/relationships/image" Target="media/image16.emf"/><Relationship Id="rId72" Type="http://schemas.openxmlformats.org/officeDocument/2006/relationships/image" Target="media/image32.emf"/><Relationship Id="rId93" Type="http://schemas.openxmlformats.org/officeDocument/2006/relationships/image" Target="media/image53.png"/><Relationship Id="rId98" Type="http://schemas.openxmlformats.org/officeDocument/2006/relationships/image" Target="media/image58.emf"/><Relationship Id="rId121" Type="http://schemas.openxmlformats.org/officeDocument/2006/relationships/image" Target="media/image80.emf"/><Relationship Id="rId3" Type="http://schemas.openxmlformats.org/officeDocument/2006/relationships/customXml" Target="../customXml/item3.xml"/><Relationship Id="rId25" Type="http://schemas.openxmlformats.org/officeDocument/2006/relationships/image" Target="media/image13.svg"/><Relationship Id="rId46" Type="http://schemas.openxmlformats.org/officeDocument/2006/relationships/image" Target="media/image12.emf"/><Relationship Id="rId67" Type="http://schemas.openxmlformats.org/officeDocument/2006/relationships/image" Target="media/image28.emf"/><Relationship Id="rId116" Type="http://schemas.openxmlformats.org/officeDocument/2006/relationships/image" Target="media/image75.emf"/><Relationship Id="rId20" Type="http://schemas.openxmlformats.org/officeDocument/2006/relationships/image" Target="media/image4.png"/><Relationship Id="rId41" Type="http://schemas.openxmlformats.org/officeDocument/2006/relationships/diagramData" Target="diagrams/data2.xml"/><Relationship Id="rId62" Type="http://schemas.openxmlformats.org/officeDocument/2006/relationships/header" Target="header2.xml"/><Relationship Id="rId83" Type="http://schemas.openxmlformats.org/officeDocument/2006/relationships/image" Target="media/image43.emf"/><Relationship Id="rId88" Type="http://schemas.openxmlformats.org/officeDocument/2006/relationships/image" Target="media/image48.emf"/><Relationship Id="rId111" Type="http://schemas.openxmlformats.org/officeDocument/2006/relationships/image" Target="media/image70.emf"/><Relationship Id="rId36" Type="http://schemas.openxmlformats.org/officeDocument/2006/relationships/diagramData" Target="diagrams/data1.xml"/><Relationship Id="rId57" Type="http://schemas.openxmlformats.org/officeDocument/2006/relationships/image" Target="media/image22.emf"/><Relationship Id="rId106" Type="http://schemas.openxmlformats.org/officeDocument/2006/relationships/image" Target="media/image65.emf"/><Relationship Id="rId127" Type="http://schemas.openxmlformats.org/officeDocument/2006/relationships/header" Target="header4.xml"/><Relationship Id="rId10" Type="http://schemas.openxmlformats.org/officeDocument/2006/relationships/footnotes" Target="footnotes.xml"/><Relationship Id="rId31" Type="http://schemas.openxmlformats.org/officeDocument/2006/relationships/image" Target="media/image10.emf"/><Relationship Id="rId52" Type="http://schemas.openxmlformats.org/officeDocument/2006/relationships/image" Target="media/image17.emf"/><Relationship Id="rId73" Type="http://schemas.openxmlformats.org/officeDocument/2006/relationships/image" Target="media/image33.emf"/><Relationship Id="rId78" Type="http://schemas.openxmlformats.org/officeDocument/2006/relationships/image" Target="media/image38.emf"/><Relationship Id="rId94" Type="http://schemas.openxmlformats.org/officeDocument/2006/relationships/image" Target="media/image54.png"/><Relationship Id="rId99" Type="http://schemas.openxmlformats.org/officeDocument/2006/relationships/header" Target="header3.xml"/><Relationship Id="rId101" Type="http://schemas.openxmlformats.org/officeDocument/2006/relationships/image" Target="media/image60.emf"/><Relationship Id="rId122" Type="http://schemas.openxmlformats.org/officeDocument/2006/relationships/image" Target="media/image81.emf"/><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german-economic-team.com/wp-content/uploads/2023/05/GET_KOS_TN_03_2023_en.pdf" TargetMode="External"/><Relationship Id="rId13" Type="http://schemas.openxmlformats.org/officeDocument/2006/relationships/hyperlink" Target="https://www.german-economic-team.com/wp-content/uploads/2022/11/GET_ALL_PS_03_2022_en.pdf" TargetMode="External"/><Relationship Id="rId3" Type="http://schemas.openxmlformats.org/officeDocument/2006/relationships/hyperlink" Target="https://askdata.rks-gov.net/pxweb/en/ASKdata/ASKdata__Population__Estimate,%20projection%20and%20structure%20of%20population__Population%20projection__Population%20projection,%202017-2061/popm01.px/" TargetMode="External"/><Relationship Id="rId7" Type="http://schemas.openxmlformats.org/officeDocument/2006/relationships/hyperlink" Target="https://www.german-economic-team.com/wp-content/uploads/2023/05/GET_KOS_TN_03_2023_en.pdf" TargetMode="External"/><Relationship Id="rId12" Type="http://schemas.openxmlformats.org/officeDocument/2006/relationships/hyperlink" Target="https://www.german-economic-team.com/wp-content/uploads/2022/11/GET_ALL_PS_03_2022_en.pdf" TargetMode="External"/><Relationship Id="rId2" Type="http://schemas.openxmlformats.org/officeDocument/2006/relationships/hyperlink" Target="https://www.heraskosovo.org/publications/Koncept_dokument_Hartezimi_i_Sistemit_te_Kerkimit_dhe_Inovacionit_ne_Kosove.pdf" TargetMode="External"/><Relationship Id="rId1" Type="http://schemas.openxmlformats.org/officeDocument/2006/relationships/hyperlink" Target="https://ec.europa.eu/neighbourhood-enlargement/kosovo-report-2021_en" TargetMode="External"/><Relationship Id="rId6" Type="http://schemas.openxmlformats.org/officeDocument/2006/relationships/hyperlink" Target="https://www.german-economic-team.com/wp-content/uploads/2023/05/GET_KOS_TN_03_2023_en.pdf" TargetMode="External"/><Relationship Id="rId11" Type="http://schemas.openxmlformats.org/officeDocument/2006/relationships/hyperlink" Target="https://www.german-economic-team.com/wp-content/uploads/2022/11/GET_ALL_PS_03_2022_en.pdf" TargetMode="External"/><Relationship Id="rId5" Type="http://schemas.openxmlformats.org/officeDocument/2006/relationships/hyperlink" Target="https://eepublicdownloads.blob.core.windows.net/public-cdn-container/tyndp-documents/TYNDP2022/public/system-needs-report.pdf" TargetMode="External"/><Relationship Id="rId10" Type="http://schemas.openxmlformats.org/officeDocument/2006/relationships/hyperlink" Target="https://www.german-economic-team.com/wp-content/uploads/2022/11/GET_ALL_PS_03_2022_en.pdf" TargetMode="External"/><Relationship Id="rId4" Type="http://schemas.openxmlformats.org/officeDocument/2006/relationships/hyperlink" Target="https://2022.entsos-tyndp-scenarios.eu/download/" TargetMode="External"/><Relationship Id="rId9" Type="http://schemas.openxmlformats.org/officeDocument/2006/relationships/hyperlink" Target="http://data.europa.eu/89h/3182c195-a1fc-46cf-8e7d-44063d9483d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ic\AppData\Roaming\Microsoft\Templates\Report%20.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D44CCA-B924-4809-8B88-BB5A1B35D06B}"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en-US"/>
        </a:p>
      </dgm:t>
    </dgm:pt>
    <dgm:pt modelId="{67F488C0-6EC5-4A89-9A56-2D3875A4441F}">
      <dgm:prSet phldrT="[Text]" custT="1"/>
      <dgm:spPr>
        <a:xfrm rot="5400000">
          <a:off x="-239951" y="244124"/>
          <a:ext cx="1599678" cy="1119774"/>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r>
            <a:rPr lang="sq-AL" sz="1000" b="1">
              <a:solidFill>
                <a:sysClr val="window" lastClr="FFFFFF"/>
              </a:solidFill>
              <a:latin typeface="+mj-lt"/>
              <a:ea typeface="+mn-ea"/>
              <a:cs typeface="+mn-cs"/>
            </a:rPr>
            <a:t>Bashkimi me Agjendën 2030</a:t>
          </a:r>
        </a:p>
      </dgm:t>
    </dgm:pt>
    <dgm:pt modelId="{9A24A1B7-7A36-4660-B2C2-2DB763089688}" type="parTrans" cxnId="{2DA060F5-B301-412F-825E-149800DB179A}">
      <dgm:prSet/>
      <dgm:spPr/>
      <dgm:t>
        <a:bodyPr/>
        <a:lstStyle/>
        <a:p>
          <a:endParaRPr lang="en-US"/>
        </a:p>
      </dgm:t>
    </dgm:pt>
    <dgm:pt modelId="{A47516DB-E2ED-4CF4-8679-9FB05AB8B673}" type="sibTrans" cxnId="{2DA060F5-B301-412F-825E-149800DB179A}">
      <dgm:prSet/>
      <dgm:spPr/>
      <dgm:t>
        <a:bodyPr/>
        <a:lstStyle/>
        <a:p>
          <a:endParaRPr lang="en-US"/>
        </a:p>
      </dgm:t>
    </dgm:pt>
    <dgm:pt modelId="{388A6071-00F8-4CF5-AC97-E085FF452669}">
      <dgm:prSet phldrT="[Text]" custT="1"/>
      <dgm:spPr>
        <a:xfrm rot="5400000">
          <a:off x="3190861" y="-2066914"/>
          <a:ext cx="1039790" cy="5181965"/>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pPr>
            <a:lnSpc>
              <a:spcPct val="100000"/>
            </a:lnSpc>
            <a:spcBef>
              <a:spcPts val="600"/>
            </a:spcBef>
          </a:pPr>
          <a:r>
            <a:rPr lang="sq-AL" sz="1000" b="0">
              <a:solidFill>
                <a:sysClr val="windowText" lastClr="000000">
                  <a:hueOff val="0"/>
                  <a:satOff val="0"/>
                  <a:lumOff val="0"/>
                  <a:alphaOff val="0"/>
                </a:sysClr>
              </a:solidFill>
              <a:latin typeface="+mj-lt"/>
              <a:ea typeface="+mn-ea"/>
              <a:cs typeface="+mn-cs"/>
            </a:rPr>
            <a:t>Në vitin 2015, Kosova iu bashkua Agjendës 2030 për Zhvillim të Qëndrueshëm duke u angazhuar për 17 OZHQ</a:t>
          </a:r>
        </a:p>
      </dgm:t>
    </dgm:pt>
    <dgm:pt modelId="{55BD5D7D-86D0-408C-9F91-43C1E0CD8D25}" type="parTrans" cxnId="{676616FE-8820-4125-9482-C703E81E727B}">
      <dgm:prSet/>
      <dgm:spPr/>
      <dgm:t>
        <a:bodyPr/>
        <a:lstStyle/>
        <a:p>
          <a:endParaRPr lang="en-US"/>
        </a:p>
      </dgm:t>
    </dgm:pt>
    <dgm:pt modelId="{F75517F0-3FF3-49BA-8515-BB32A448DF81}" type="sibTrans" cxnId="{676616FE-8820-4125-9482-C703E81E727B}">
      <dgm:prSet/>
      <dgm:spPr/>
      <dgm:t>
        <a:bodyPr/>
        <a:lstStyle/>
        <a:p>
          <a:endParaRPr lang="en-US"/>
        </a:p>
      </dgm:t>
    </dgm:pt>
    <dgm:pt modelId="{23DFE394-0CB5-429B-8515-7B26A8212B75}">
      <dgm:prSet custT="1"/>
      <dgm:spPr>
        <a:xfrm rot="5400000">
          <a:off x="-239951" y="1649912"/>
          <a:ext cx="1599678" cy="1119774"/>
        </a:xfrm>
        <a:prstGeom prst="chevron">
          <a:avLst/>
        </a:prstGeom>
        <a:solidFill>
          <a:srgbClr val="9BBB59">
            <a:hueOff val="0"/>
            <a:satOff val="0"/>
            <a:lumOff val="0"/>
            <a:alphaOff val="0"/>
          </a:srgbClr>
        </a:solidFill>
        <a:ln w="25400" cap="flat" cmpd="sng" algn="ctr">
          <a:solidFill>
            <a:srgbClr val="9BBB59">
              <a:hueOff val="0"/>
              <a:satOff val="0"/>
              <a:lumOff val="0"/>
              <a:alphaOff val="0"/>
            </a:srgbClr>
          </a:solidFill>
          <a:prstDash val="solid"/>
        </a:ln>
        <a:effectLst/>
      </dgm:spPr>
      <dgm:t>
        <a:bodyPr/>
        <a:lstStyle/>
        <a:p>
          <a:r>
            <a:rPr lang="sq-AL" sz="1000" b="1">
              <a:solidFill>
                <a:sysClr val="window" lastClr="FFFFFF"/>
              </a:solidFill>
              <a:latin typeface="+mj-lt"/>
              <a:ea typeface="+mn-ea"/>
              <a:cs typeface="+mn-cs"/>
            </a:rPr>
            <a:t>Përafrimi me integrimin në MSA/BE </a:t>
          </a:r>
        </a:p>
      </dgm:t>
    </dgm:pt>
    <dgm:pt modelId="{825B33B3-DD60-464B-BC81-38740A87BD23}" type="parTrans" cxnId="{76DAF347-3062-4649-8D08-388433981FC0}">
      <dgm:prSet/>
      <dgm:spPr/>
      <dgm:t>
        <a:bodyPr/>
        <a:lstStyle/>
        <a:p>
          <a:endParaRPr lang="en-US"/>
        </a:p>
      </dgm:t>
    </dgm:pt>
    <dgm:pt modelId="{1134E444-13F4-46CC-A284-C9DF30852B9E}" type="sibTrans" cxnId="{76DAF347-3062-4649-8D08-388433981FC0}">
      <dgm:prSet/>
      <dgm:spPr/>
      <dgm:t>
        <a:bodyPr/>
        <a:lstStyle/>
        <a:p>
          <a:endParaRPr lang="en-US"/>
        </a:p>
      </dgm:t>
    </dgm:pt>
    <dgm:pt modelId="{622410E1-2EE4-4E6D-BF1E-8D816C44B05D}">
      <dgm:prSet custT="1"/>
      <dgm:spPr>
        <a:xfrm rot="5400000">
          <a:off x="3190861" y="-661126"/>
          <a:ext cx="1039790" cy="5181965"/>
        </a:xfrm>
        <a:prstGeom prst="round2SameRect">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sq-AL" sz="1000">
              <a:solidFill>
                <a:sysClr val="windowText" lastClr="000000">
                  <a:hueOff val="0"/>
                  <a:satOff val="0"/>
                  <a:lumOff val="0"/>
                  <a:alphaOff val="0"/>
                </a:sysClr>
              </a:solidFill>
              <a:latin typeface="+mj-lt"/>
              <a:ea typeface="+mn-ea"/>
              <a:cs typeface="+mn-cs"/>
            </a:rPr>
            <a:t>Puna drejt përmbushjes së OZHQ-ve bëhet në përputhje me Marrëveshjen e Stabilizim Asociimit (MSA) të Kosovës dhe aspiratat e saj për integrim në BE.  </a:t>
          </a:r>
        </a:p>
      </dgm:t>
    </dgm:pt>
    <dgm:pt modelId="{B064C897-D81D-4027-9E1E-FC0FC24733BE}" type="parTrans" cxnId="{CE92FF45-5161-415C-A00A-DE3FAE77D7F2}">
      <dgm:prSet/>
      <dgm:spPr/>
      <dgm:t>
        <a:bodyPr/>
        <a:lstStyle/>
        <a:p>
          <a:endParaRPr lang="en-US"/>
        </a:p>
      </dgm:t>
    </dgm:pt>
    <dgm:pt modelId="{4BF43E20-A56C-4A07-919E-DCDAAD0F584B}" type="sibTrans" cxnId="{CE92FF45-5161-415C-A00A-DE3FAE77D7F2}">
      <dgm:prSet/>
      <dgm:spPr/>
      <dgm:t>
        <a:bodyPr/>
        <a:lstStyle/>
        <a:p>
          <a:endParaRPr lang="en-US"/>
        </a:p>
      </dgm:t>
    </dgm:pt>
    <dgm:pt modelId="{B62A55C5-76AC-4EE1-AEA4-E881934AC9B6}">
      <dgm:prSet custT="1"/>
      <dgm:spPr>
        <a:xfrm rot="5400000">
          <a:off x="-239951" y="3055700"/>
          <a:ext cx="1599678" cy="1119774"/>
        </a:xfrm>
        <a:prstGeom prst="chevron">
          <a:avLst/>
        </a:prstGeom>
        <a:solidFill>
          <a:srgbClr val="8064A2">
            <a:hueOff val="0"/>
            <a:satOff val="0"/>
            <a:lumOff val="0"/>
            <a:alphaOff val="0"/>
          </a:srgbClr>
        </a:solidFill>
        <a:ln w="25400" cap="flat" cmpd="sng" algn="ctr">
          <a:solidFill>
            <a:srgbClr val="8064A2">
              <a:hueOff val="0"/>
              <a:satOff val="0"/>
              <a:lumOff val="0"/>
              <a:alphaOff val="0"/>
            </a:srgbClr>
          </a:solidFill>
          <a:prstDash val="solid"/>
        </a:ln>
        <a:effectLst/>
      </dgm:spPr>
      <dgm:t>
        <a:bodyPr/>
        <a:lstStyle/>
        <a:p>
          <a:r>
            <a:rPr lang="sq-AL" sz="1000" b="1">
              <a:solidFill>
                <a:sysClr val="window" lastClr="FFFFFF"/>
              </a:solidFill>
              <a:latin typeface="+mj-lt"/>
              <a:ea typeface="+mn-ea"/>
              <a:cs typeface="+mn-cs"/>
            </a:rPr>
            <a:t>Këshilli për ZHQ</a:t>
          </a:r>
        </a:p>
      </dgm:t>
    </dgm:pt>
    <dgm:pt modelId="{781F64A3-C58D-44A6-86CF-F2F26F88412A}" type="parTrans" cxnId="{ED6E20C3-D639-42B6-9684-645DB1605835}">
      <dgm:prSet/>
      <dgm:spPr/>
      <dgm:t>
        <a:bodyPr/>
        <a:lstStyle/>
        <a:p>
          <a:endParaRPr lang="en-US"/>
        </a:p>
      </dgm:t>
    </dgm:pt>
    <dgm:pt modelId="{97005459-692C-4D39-B484-38F77982A9C5}" type="sibTrans" cxnId="{ED6E20C3-D639-42B6-9684-645DB1605835}">
      <dgm:prSet/>
      <dgm:spPr/>
      <dgm:t>
        <a:bodyPr/>
        <a:lstStyle/>
        <a:p>
          <a:endParaRPr lang="en-US"/>
        </a:p>
      </dgm:t>
    </dgm:pt>
    <dgm:pt modelId="{FA155644-C932-49AB-AB65-3DA5726A2F1E}">
      <dgm:prSet custT="1"/>
      <dgm:spPr>
        <a:xfrm rot="5400000">
          <a:off x="3190861" y="794530"/>
          <a:ext cx="1039790" cy="5181965"/>
        </a:xfrm>
        <a:prstGeom prst="round2SameRect">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r>
            <a:rPr lang="sq-AL" sz="1000">
              <a:solidFill>
                <a:sysClr val="windowText" lastClr="000000">
                  <a:hueOff val="0"/>
                  <a:satOff val="0"/>
                  <a:lumOff val="0"/>
                  <a:alphaOff val="0"/>
                </a:sysClr>
              </a:solidFill>
              <a:latin typeface="+mj-lt"/>
              <a:ea typeface="+mn-ea"/>
              <a:cs typeface="+mn-cs"/>
            </a:rPr>
            <a:t>Në janar të vitit 2018, Kuvendi i Kosovës miratoi një Rezolutë për OZHQ-të, duke kaluar në nivelin tjetër të integrimit në të gjitha institucionet.</a:t>
          </a:r>
        </a:p>
      </dgm:t>
    </dgm:pt>
    <dgm:pt modelId="{353E4B7B-3099-4269-AD0F-20AC2C6FBE47}" type="parTrans" cxnId="{26F524B6-4CB8-4EDD-A078-2575E13CA0A6}">
      <dgm:prSet/>
      <dgm:spPr/>
      <dgm:t>
        <a:bodyPr/>
        <a:lstStyle/>
        <a:p>
          <a:endParaRPr lang="en-US"/>
        </a:p>
      </dgm:t>
    </dgm:pt>
    <dgm:pt modelId="{9D4779EF-72E4-4E2F-A1CE-06F0C86F5CF5}" type="sibTrans" cxnId="{26F524B6-4CB8-4EDD-A078-2575E13CA0A6}">
      <dgm:prSet/>
      <dgm:spPr/>
      <dgm:t>
        <a:bodyPr/>
        <a:lstStyle/>
        <a:p>
          <a:endParaRPr lang="en-US"/>
        </a:p>
      </dgm:t>
    </dgm:pt>
    <dgm:pt modelId="{2414953A-6F44-4B8B-84C2-B2994310AD18}">
      <dgm:prSet custT="1"/>
      <dgm:spPr>
        <a:xfrm rot="5400000">
          <a:off x="3190861" y="794530"/>
          <a:ext cx="1039790" cy="5181965"/>
        </a:xfrm>
        <a:prstGeom prst="round2SameRect">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endParaRPr lang="en-US" sz="1000">
            <a:solidFill>
              <a:sysClr val="windowText" lastClr="000000">
                <a:hueOff val="0"/>
                <a:satOff val="0"/>
                <a:lumOff val="0"/>
                <a:alphaOff val="0"/>
              </a:sysClr>
            </a:solidFill>
            <a:latin typeface="Calibri"/>
            <a:ea typeface="+mn-ea"/>
            <a:cs typeface="+mn-cs"/>
          </a:endParaRPr>
        </a:p>
      </dgm:t>
    </dgm:pt>
    <dgm:pt modelId="{2C765E57-E9C8-46C7-B94E-294176AD2048}" type="parTrans" cxnId="{4734C396-5A90-4417-A480-DEF0DA93011F}">
      <dgm:prSet/>
      <dgm:spPr/>
      <dgm:t>
        <a:bodyPr/>
        <a:lstStyle/>
        <a:p>
          <a:endParaRPr lang="en-US"/>
        </a:p>
      </dgm:t>
    </dgm:pt>
    <dgm:pt modelId="{42EC4E16-F09A-4E0F-87F8-7E47AF2F54CC}" type="sibTrans" cxnId="{4734C396-5A90-4417-A480-DEF0DA93011F}">
      <dgm:prSet/>
      <dgm:spPr/>
      <dgm:t>
        <a:bodyPr/>
        <a:lstStyle/>
        <a:p>
          <a:endParaRPr lang="en-US"/>
        </a:p>
      </dgm:t>
    </dgm:pt>
    <dgm:pt modelId="{4023AEC1-F324-4190-B9F4-2A52B0773E06}">
      <dgm:prSet phldrT="[Text]" custT="1"/>
      <dgm:spPr>
        <a:xfrm rot="5400000">
          <a:off x="3190861" y="-2066914"/>
          <a:ext cx="1039790" cy="5181965"/>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pPr>
            <a:lnSpc>
              <a:spcPct val="100000"/>
            </a:lnSpc>
            <a:spcBef>
              <a:spcPts val="600"/>
            </a:spcBef>
          </a:pPr>
          <a:r>
            <a:rPr lang="sq-AL" sz="1000" b="0">
              <a:solidFill>
                <a:sysClr val="windowText" lastClr="000000">
                  <a:hueOff val="0"/>
                  <a:satOff val="0"/>
                  <a:lumOff val="0"/>
                  <a:alphaOff val="0"/>
                </a:sysClr>
              </a:solidFill>
              <a:latin typeface="+mj-lt"/>
              <a:ea typeface="+mn-ea"/>
              <a:cs typeface="+mn-cs"/>
            </a:rPr>
            <a:t>Ekipi i OKB-së në Kosovë (UNKT), me partnerë ndërkombëtarë dhe vendorë, kanë mbështetur institucionet e Kosovës në arritjen e aspiratave të tyre zhvillimore, ku më shumë se 9000 kosovarë kanë marrë pjesë në hulumtim duke ndihmuar në hartimin e agjendës pas vitit 2015</a:t>
          </a:r>
        </a:p>
      </dgm:t>
    </dgm:pt>
    <dgm:pt modelId="{67A9C457-8990-46AD-BFB0-5AD3879B1493}" type="parTrans" cxnId="{8AF96BAE-B265-4534-B6B6-49C01B56CF2C}">
      <dgm:prSet/>
      <dgm:spPr/>
      <dgm:t>
        <a:bodyPr/>
        <a:lstStyle/>
        <a:p>
          <a:endParaRPr lang="en-US"/>
        </a:p>
      </dgm:t>
    </dgm:pt>
    <dgm:pt modelId="{CF872C40-BF48-4D2A-995E-C4709BF3EDD4}" type="sibTrans" cxnId="{8AF96BAE-B265-4534-B6B6-49C01B56CF2C}">
      <dgm:prSet/>
      <dgm:spPr/>
      <dgm:t>
        <a:bodyPr/>
        <a:lstStyle/>
        <a:p>
          <a:endParaRPr lang="en-US"/>
        </a:p>
      </dgm:t>
    </dgm:pt>
    <dgm:pt modelId="{533E4C98-AFE8-4CA1-A23F-B9250B1030D0}">
      <dgm:prSet custT="1"/>
      <dgm:spPr>
        <a:xfrm rot="5400000">
          <a:off x="3190861" y="794530"/>
          <a:ext cx="1039790" cy="5181965"/>
        </a:xfrm>
        <a:prstGeom prst="round2SameRect">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r>
            <a:rPr lang="sq-AL" sz="1000">
              <a:solidFill>
                <a:sysClr val="windowText" lastClr="000000">
                  <a:hueOff val="0"/>
                  <a:satOff val="0"/>
                  <a:lumOff val="0"/>
                  <a:alphaOff val="0"/>
                </a:sysClr>
              </a:solidFill>
              <a:latin typeface="+mj-lt"/>
              <a:ea typeface="+mn-ea"/>
              <a:cs typeface="+mn-cs"/>
            </a:rPr>
            <a:t>Në tetor të vitit 2018, u bë inaugurimi i Këshillit për Zhvillim të Qëndrueshëm në kuadër të Kuvendit të Kosovës.</a:t>
          </a:r>
        </a:p>
      </dgm:t>
    </dgm:pt>
    <dgm:pt modelId="{C476C02E-3E20-4F64-A32B-194BA7FC8DE2}" type="parTrans" cxnId="{2CD1450F-20F9-4307-ADAE-077552C455FD}">
      <dgm:prSet/>
      <dgm:spPr/>
      <dgm:t>
        <a:bodyPr/>
        <a:lstStyle/>
        <a:p>
          <a:endParaRPr lang="en-US"/>
        </a:p>
      </dgm:t>
    </dgm:pt>
    <dgm:pt modelId="{1ECDE672-639F-4400-8CE7-BF0F77DE7D0B}" type="sibTrans" cxnId="{2CD1450F-20F9-4307-ADAE-077552C455FD}">
      <dgm:prSet/>
      <dgm:spPr/>
      <dgm:t>
        <a:bodyPr/>
        <a:lstStyle/>
        <a:p>
          <a:endParaRPr lang="en-US"/>
        </a:p>
      </dgm:t>
    </dgm:pt>
    <dgm:pt modelId="{FAA1FB1F-B896-41B3-A0DF-FA56EBA6DABF}">
      <dgm:prSet custT="1"/>
      <dgm:spPr>
        <a:xfrm rot="5400000">
          <a:off x="3190861" y="794530"/>
          <a:ext cx="1039790" cy="5181965"/>
        </a:xfrm>
        <a:prstGeom prst="round2SameRect">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endParaRPr lang="en-US" sz="1000">
            <a:solidFill>
              <a:sysClr val="windowText" lastClr="000000">
                <a:hueOff val="0"/>
                <a:satOff val="0"/>
                <a:lumOff val="0"/>
                <a:alphaOff val="0"/>
              </a:sysClr>
            </a:solidFill>
            <a:latin typeface="Calibri"/>
            <a:ea typeface="+mn-ea"/>
            <a:cs typeface="+mn-cs"/>
          </a:endParaRPr>
        </a:p>
      </dgm:t>
    </dgm:pt>
    <dgm:pt modelId="{4C251220-48CB-46C0-961C-226015EB89F6}" type="parTrans" cxnId="{4BB65551-C3D0-42BD-A672-7B25B69739E8}">
      <dgm:prSet/>
      <dgm:spPr/>
      <dgm:t>
        <a:bodyPr/>
        <a:lstStyle/>
        <a:p>
          <a:endParaRPr lang="en-US"/>
        </a:p>
      </dgm:t>
    </dgm:pt>
    <dgm:pt modelId="{2D79FDD8-A330-4118-BA14-8CC6C0A4C00F}" type="sibTrans" cxnId="{4BB65551-C3D0-42BD-A672-7B25B69739E8}">
      <dgm:prSet/>
      <dgm:spPr/>
      <dgm:t>
        <a:bodyPr/>
        <a:lstStyle/>
        <a:p>
          <a:endParaRPr lang="en-US"/>
        </a:p>
      </dgm:t>
    </dgm:pt>
    <dgm:pt modelId="{97336C87-3F2E-4B15-9193-487B8209BC12}" type="pres">
      <dgm:prSet presAssocID="{7DD44CCA-B924-4809-8B88-BB5A1B35D06B}" presName="linearFlow" presStyleCnt="0">
        <dgm:presLayoutVars>
          <dgm:dir/>
          <dgm:animLvl val="lvl"/>
          <dgm:resizeHandles val="exact"/>
        </dgm:presLayoutVars>
      </dgm:prSet>
      <dgm:spPr/>
      <dgm:t>
        <a:bodyPr/>
        <a:lstStyle/>
        <a:p>
          <a:endParaRPr lang="en-US"/>
        </a:p>
      </dgm:t>
    </dgm:pt>
    <dgm:pt modelId="{92BEB5C8-5BC9-42B1-AC1D-15F37FDFB011}" type="pres">
      <dgm:prSet presAssocID="{67F488C0-6EC5-4A89-9A56-2D3875A4441F}" presName="composite" presStyleCnt="0"/>
      <dgm:spPr/>
    </dgm:pt>
    <dgm:pt modelId="{6B90E06C-CE1F-497F-B8C9-2A5C87603B24}" type="pres">
      <dgm:prSet presAssocID="{67F488C0-6EC5-4A89-9A56-2D3875A4441F}" presName="parentText" presStyleLbl="alignNode1" presStyleIdx="0" presStyleCnt="3" custLinFactNeighborY="-3076">
        <dgm:presLayoutVars>
          <dgm:chMax val="1"/>
          <dgm:bulletEnabled val="1"/>
        </dgm:presLayoutVars>
      </dgm:prSet>
      <dgm:spPr/>
      <dgm:t>
        <a:bodyPr/>
        <a:lstStyle/>
        <a:p>
          <a:endParaRPr lang="en-US"/>
        </a:p>
      </dgm:t>
    </dgm:pt>
    <dgm:pt modelId="{4C3B494A-D00E-4627-89B0-789C5DFE82C1}" type="pres">
      <dgm:prSet presAssocID="{67F488C0-6EC5-4A89-9A56-2D3875A4441F}" presName="descendantText" presStyleLbl="alignAcc1" presStyleIdx="0" presStyleCnt="3">
        <dgm:presLayoutVars>
          <dgm:bulletEnabled val="1"/>
        </dgm:presLayoutVars>
      </dgm:prSet>
      <dgm:spPr/>
      <dgm:t>
        <a:bodyPr/>
        <a:lstStyle/>
        <a:p>
          <a:endParaRPr lang="en-US"/>
        </a:p>
      </dgm:t>
    </dgm:pt>
    <dgm:pt modelId="{03D32F64-7111-4031-9810-8C2ADD9A546B}" type="pres">
      <dgm:prSet presAssocID="{A47516DB-E2ED-4CF4-8679-9FB05AB8B673}" presName="sp" presStyleCnt="0"/>
      <dgm:spPr/>
    </dgm:pt>
    <dgm:pt modelId="{1428FCDC-E970-45BD-AD18-49867CE8EAE9}" type="pres">
      <dgm:prSet presAssocID="{23DFE394-0CB5-429B-8515-7B26A8212B75}" presName="composite" presStyleCnt="0"/>
      <dgm:spPr/>
    </dgm:pt>
    <dgm:pt modelId="{5B9C18F8-591C-43A1-BA36-4F76FA280E5F}" type="pres">
      <dgm:prSet presAssocID="{23DFE394-0CB5-429B-8515-7B26A8212B75}" presName="parentText" presStyleLbl="alignNode1" presStyleIdx="1" presStyleCnt="3">
        <dgm:presLayoutVars>
          <dgm:chMax val="1"/>
          <dgm:bulletEnabled val="1"/>
        </dgm:presLayoutVars>
      </dgm:prSet>
      <dgm:spPr/>
      <dgm:t>
        <a:bodyPr/>
        <a:lstStyle/>
        <a:p>
          <a:endParaRPr lang="en-US"/>
        </a:p>
      </dgm:t>
    </dgm:pt>
    <dgm:pt modelId="{E2446DA6-58D5-440A-85AD-2B567DCAC810}" type="pres">
      <dgm:prSet presAssocID="{23DFE394-0CB5-429B-8515-7B26A8212B75}" presName="descendantText" presStyleLbl="alignAcc1" presStyleIdx="1" presStyleCnt="3">
        <dgm:presLayoutVars>
          <dgm:bulletEnabled val="1"/>
        </dgm:presLayoutVars>
      </dgm:prSet>
      <dgm:spPr/>
      <dgm:t>
        <a:bodyPr/>
        <a:lstStyle/>
        <a:p>
          <a:endParaRPr lang="en-US"/>
        </a:p>
      </dgm:t>
    </dgm:pt>
    <dgm:pt modelId="{6E6E8AF8-8CEB-4446-B797-0840F4CA6153}" type="pres">
      <dgm:prSet presAssocID="{1134E444-13F4-46CC-A284-C9DF30852B9E}" presName="sp" presStyleCnt="0"/>
      <dgm:spPr/>
    </dgm:pt>
    <dgm:pt modelId="{97A31266-89BD-4DAA-86C8-0D717B442E4C}" type="pres">
      <dgm:prSet presAssocID="{B62A55C5-76AC-4EE1-AEA4-E881934AC9B6}" presName="composite" presStyleCnt="0"/>
      <dgm:spPr/>
    </dgm:pt>
    <dgm:pt modelId="{50972C5E-626F-4328-9D35-C7EB9C42E47E}" type="pres">
      <dgm:prSet presAssocID="{B62A55C5-76AC-4EE1-AEA4-E881934AC9B6}" presName="parentText" presStyleLbl="alignNode1" presStyleIdx="2" presStyleCnt="3">
        <dgm:presLayoutVars>
          <dgm:chMax val="1"/>
          <dgm:bulletEnabled val="1"/>
        </dgm:presLayoutVars>
      </dgm:prSet>
      <dgm:spPr/>
      <dgm:t>
        <a:bodyPr/>
        <a:lstStyle/>
        <a:p>
          <a:endParaRPr lang="en-US"/>
        </a:p>
      </dgm:t>
    </dgm:pt>
    <dgm:pt modelId="{3A735AB8-24BA-42DC-AC38-36E19BC05128}" type="pres">
      <dgm:prSet presAssocID="{B62A55C5-76AC-4EE1-AEA4-E881934AC9B6}" presName="descendantText" presStyleLbl="alignAcc1" presStyleIdx="2" presStyleCnt="3" custLinFactNeighborX="814" custLinFactNeighborY="4796">
        <dgm:presLayoutVars>
          <dgm:bulletEnabled val="1"/>
        </dgm:presLayoutVars>
      </dgm:prSet>
      <dgm:spPr/>
      <dgm:t>
        <a:bodyPr/>
        <a:lstStyle/>
        <a:p>
          <a:endParaRPr lang="en-US"/>
        </a:p>
      </dgm:t>
    </dgm:pt>
  </dgm:ptLst>
  <dgm:cxnLst>
    <dgm:cxn modelId="{26F524B6-4CB8-4EDD-A078-2575E13CA0A6}" srcId="{B62A55C5-76AC-4EE1-AEA4-E881934AC9B6}" destId="{FA155644-C932-49AB-AB65-3DA5726A2F1E}" srcOrd="1" destOrd="0" parTransId="{353E4B7B-3099-4269-AD0F-20AC2C6FBE47}" sibTransId="{9D4779EF-72E4-4E2F-A1CE-06F0C86F5CF5}"/>
    <dgm:cxn modelId="{74542BF5-4C97-4892-ABD4-3996C16A8D6A}" type="presOf" srcId="{388A6071-00F8-4CF5-AC97-E085FF452669}" destId="{4C3B494A-D00E-4627-89B0-789C5DFE82C1}" srcOrd="0" destOrd="0" presId="urn:microsoft.com/office/officeart/2005/8/layout/chevron2"/>
    <dgm:cxn modelId="{76DAF347-3062-4649-8D08-388433981FC0}" srcId="{7DD44CCA-B924-4809-8B88-BB5A1B35D06B}" destId="{23DFE394-0CB5-429B-8515-7B26A8212B75}" srcOrd="1" destOrd="0" parTransId="{825B33B3-DD60-464B-BC81-38740A87BD23}" sibTransId="{1134E444-13F4-46CC-A284-C9DF30852B9E}"/>
    <dgm:cxn modelId="{676616FE-8820-4125-9482-C703E81E727B}" srcId="{67F488C0-6EC5-4A89-9A56-2D3875A4441F}" destId="{388A6071-00F8-4CF5-AC97-E085FF452669}" srcOrd="0" destOrd="0" parTransId="{55BD5D7D-86D0-408C-9F91-43C1E0CD8D25}" sibTransId="{F75517F0-3FF3-49BA-8515-BB32A448DF81}"/>
    <dgm:cxn modelId="{8FC6EA7B-BEB2-4598-AEEB-26FCC1D13F95}" type="presOf" srcId="{FA155644-C932-49AB-AB65-3DA5726A2F1E}" destId="{3A735AB8-24BA-42DC-AC38-36E19BC05128}" srcOrd="0" destOrd="1" presId="urn:microsoft.com/office/officeart/2005/8/layout/chevron2"/>
    <dgm:cxn modelId="{25761520-9177-44EC-B1C8-C786F764024C}" type="presOf" srcId="{7DD44CCA-B924-4809-8B88-BB5A1B35D06B}" destId="{97336C87-3F2E-4B15-9193-487B8209BC12}" srcOrd="0" destOrd="0" presId="urn:microsoft.com/office/officeart/2005/8/layout/chevron2"/>
    <dgm:cxn modelId="{5F162246-D8E2-4CD5-849A-2A65CBFBD62B}" type="presOf" srcId="{FAA1FB1F-B896-41B3-A0DF-FA56EBA6DABF}" destId="{3A735AB8-24BA-42DC-AC38-36E19BC05128}" srcOrd="0" destOrd="0" presId="urn:microsoft.com/office/officeart/2005/8/layout/chevron2"/>
    <dgm:cxn modelId="{ED6E20C3-D639-42B6-9684-645DB1605835}" srcId="{7DD44CCA-B924-4809-8B88-BB5A1B35D06B}" destId="{B62A55C5-76AC-4EE1-AEA4-E881934AC9B6}" srcOrd="2" destOrd="0" parTransId="{781F64A3-C58D-44A6-86CF-F2F26F88412A}" sibTransId="{97005459-692C-4D39-B484-38F77982A9C5}"/>
    <dgm:cxn modelId="{8AF96BAE-B265-4534-B6B6-49C01B56CF2C}" srcId="{67F488C0-6EC5-4A89-9A56-2D3875A4441F}" destId="{4023AEC1-F324-4190-B9F4-2A52B0773E06}" srcOrd="1" destOrd="0" parTransId="{67A9C457-8990-46AD-BFB0-5AD3879B1493}" sibTransId="{CF872C40-BF48-4D2A-995E-C4709BF3EDD4}"/>
    <dgm:cxn modelId="{4734C396-5A90-4417-A480-DEF0DA93011F}" srcId="{B62A55C5-76AC-4EE1-AEA4-E881934AC9B6}" destId="{2414953A-6F44-4B8B-84C2-B2994310AD18}" srcOrd="3" destOrd="0" parTransId="{2C765E57-E9C8-46C7-B94E-294176AD2048}" sibTransId="{42EC4E16-F09A-4E0F-87F8-7E47AF2F54CC}"/>
    <dgm:cxn modelId="{C30D9014-D11C-4C32-9D05-E8B6E316737E}" type="presOf" srcId="{2414953A-6F44-4B8B-84C2-B2994310AD18}" destId="{3A735AB8-24BA-42DC-AC38-36E19BC05128}" srcOrd="0" destOrd="3" presId="urn:microsoft.com/office/officeart/2005/8/layout/chevron2"/>
    <dgm:cxn modelId="{4BB65551-C3D0-42BD-A672-7B25B69739E8}" srcId="{B62A55C5-76AC-4EE1-AEA4-E881934AC9B6}" destId="{FAA1FB1F-B896-41B3-A0DF-FA56EBA6DABF}" srcOrd="0" destOrd="0" parTransId="{4C251220-48CB-46C0-961C-226015EB89F6}" sibTransId="{2D79FDD8-A330-4118-BA14-8CC6C0A4C00F}"/>
    <dgm:cxn modelId="{94FE2444-593E-420A-8009-3D17A61FC5E4}" type="presOf" srcId="{4023AEC1-F324-4190-B9F4-2A52B0773E06}" destId="{4C3B494A-D00E-4627-89B0-789C5DFE82C1}" srcOrd="0" destOrd="1" presId="urn:microsoft.com/office/officeart/2005/8/layout/chevron2"/>
    <dgm:cxn modelId="{CE92FF45-5161-415C-A00A-DE3FAE77D7F2}" srcId="{23DFE394-0CB5-429B-8515-7B26A8212B75}" destId="{622410E1-2EE4-4E6D-BF1E-8D816C44B05D}" srcOrd="0" destOrd="0" parTransId="{B064C897-D81D-4027-9E1E-FC0FC24733BE}" sibTransId="{4BF43E20-A56C-4A07-919E-DCDAAD0F584B}"/>
    <dgm:cxn modelId="{2CD1450F-20F9-4307-ADAE-077552C455FD}" srcId="{B62A55C5-76AC-4EE1-AEA4-E881934AC9B6}" destId="{533E4C98-AFE8-4CA1-A23F-B9250B1030D0}" srcOrd="2" destOrd="0" parTransId="{C476C02E-3E20-4F64-A32B-194BA7FC8DE2}" sibTransId="{1ECDE672-639F-4400-8CE7-BF0F77DE7D0B}"/>
    <dgm:cxn modelId="{8E50E51E-6C33-434F-941F-0A53818F5EB6}" type="presOf" srcId="{23DFE394-0CB5-429B-8515-7B26A8212B75}" destId="{5B9C18F8-591C-43A1-BA36-4F76FA280E5F}" srcOrd="0" destOrd="0" presId="urn:microsoft.com/office/officeart/2005/8/layout/chevron2"/>
    <dgm:cxn modelId="{6F54385A-0689-4468-B9FC-AF5A184E3B7B}" type="presOf" srcId="{533E4C98-AFE8-4CA1-A23F-B9250B1030D0}" destId="{3A735AB8-24BA-42DC-AC38-36E19BC05128}" srcOrd="0" destOrd="2" presId="urn:microsoft.com/office/officeart/2005/8/layout/chevron2"/>
    <dgm:cxn modelId="{FF0C0B94-D155-4D30-BB6D-37380FC27A88}" type="presOf" srcId="{622410E1-2EE4-4E6D-BF1E-8D816C44B05D}" destId="{E2446DA6-58D5-440A-85AD-2B567DCAC810}" srcOrd="0" destOrd="0" presId="urn:microsoft.com/office/officeart/2005/8/layout/chevron2"/>
    <dgm:cxn modelId="{BBF6AB6D-A5DF-4BD3-9444-27B7F3D0A050}" type="presOf" srcId="{67F488C0-6EC5-4A89-9A56-2D3875A4441F}" destId="{6B90E06C-CE1F-497F-B8C9-2A5C87603B24}" srcOrd="0" destOrd="0" presId="urn:microsoft.com/office/officeart/2005/8/layout/chevron2"/>
    <dgm:cxn modelId="{2DA060F5-B301-412F-825E-149800DB179A}" srcId="{7DD44CCA-B924-4809-8B88-BB5A1B35D06B}" destId="{67F488C0-6EC5-4A89-9A56-2D3875A4441F}" srcOrd="0" destOrd="0" parTransId="{9A24A1B7-7A36-4660-B2C2-2DB763089688}" sibTransId="{A47516DB-E2ED-4CF4-8679-9FB05AB8B673}"/>
    <dgm:cxn modelId="{C3703B9F-D8BA-41C7-A87A-15B3FD3D7288}" type="presOf" srcId="{B62A55C5-76AC-4EE1-AEA4-E881934AC9B6}" destId="{50972C5E-626F-4328-9D35-C7EB9C42E47E}" srcOrd="0" destOrd="0" presId="urn:microsoft.com/office/officeart/2005/8/layout/chevron2"/>
    <dgm:cxn modelId="{BDF5EE9C-BEA0-45AF-A3BC-AE875363AD1B}" type="presParOf" srcId="{97336C87-3F2E-4B15-9193-487B8209BC12}" destId="{92BEB5C8-5BC9-42B1-AC1D-15F37FDFB011}" srcOrd="0" destOrd="0" presId="urn:microsoft.com/office/officeart/2005/8/layout/chevron2"/>
    <dgm:cxn modelId="{35D998DA-E58B-4099-96F7-BA70ADE4D1A9}" type="presParOf" srcId="{92BEB5C8-5BC9-42B1-AC1D-15F37FDFB011}" destId="{6B90E06C-CE1F-497F-B8C9-2A5C87603B24}" srcOrd="0" destOrd="0" presId="urn:microsoft.com/office/officeart/2005/8/layout/chevron2"/>
    <dgm:cxn modelId="{E129298D-B3C4-4A22-8172-C1DAEF2C6C26}" type="presParOf" srcId="{92BEB5C8-5BC9-42B1-AC1D-15F37FDFB011}" destId="{4C3B494A-D00E-4627-89B0-789C5DFE82C1}" srcOrd="1" destOrd="0" presId="urn:microsoft.com/office/officeart/2005/8/layout/chevron2"/>
    <dgm:cxn modelId="{DBBF43CA-3C7B-43C6-89C5-E674D2BC4B07}" type="presParOf" srcId="{97336C87-3F2E-4B15-9193-487B8209BC12}" destId="{03D32F64-7111-4031-9810-8C2ADD9A546B}" srcOrd="1" destOrd="0" presId="urn:microsoft.com/office/officeart/2005/8/layout/chevron2"/>
    <dgm:cxn modelId="{5D16B06B-C3EB-418B-B2A9-0D1EB8C5FD1E}" type="presParOf" srcId="{97336C87-3F2E-4B15-9193-487B8209BC12}" destId="{1428FCDC-E970-45BD-AD18-49867CE8EAE9}" srcOrd="2" destOrd="0" presId="urn:microsoft.com/office/officeart/2005/8/layout/chevron2"/>
    <dgm:cxn modelId="{D9A31DF1-EAE6-4EFE-8DD3-B79B0C7E7E50}" type="presParOf" srcId="{1428FCDC-E970-45BD-AD18-49867CE8EAE9}" destId="{5B9C18F8-591C-43A1-BA36-4F76FA280E5F}" srcOrd="0" destOrd="0" presId="urn:microsoft.com/office/officeart/2005/8/layout/chevron2"/>
    <dgm:cxn modelId="{876A99C4-AC5C-4117-92F3-CFFB63CCA571}" type="presParOf" srcId="{1428FCDC-E970-45BD-AD18-49867CE8EAE9}" destId="{E2446DA6-58D5-440A-85AD-2B567DCAC810}" srcOrd="1" destOrd="0" presId="urn:microsoft.com/office/officeart/2005/8/layout/chevron2"/>
    <dgm:cxn modelId="{6A623182-2787-4D01-89C6-E8760D0C3664}" type="presParOf" srcId="{97336C87-3F2E-4B15-9193-487B8209BC12}" destId="{6E6E8AF8-8CEB-4446-B797-0840F4CA6153}" srcOrd="3" destOrd="0" presId="urn:microsoft.com/office/officeart/2005/8/layout/chevron2"/>
    <dgm:cxn modelId="{3D2887BE-545F-4CBC-AFB6-6625E7CA7774}" type="presParOf" srcId="{97336C87-3F2E-4B15-9193-487B8209BC12}" destId="{97A31266-89BD-4DAA-86C8-0D717B442E4C}" srcOrd="4" destOrd="0" presId="urn:microsoft.com/office/officeart/2005/8/layout/chevron2"/>
    <dgm:cxn modelId="{83CE12F5-A871-4B95-A9A6-ED3EDD9C9173}" type="presParOf" srcId="{97A31266-89BD-4DAA-86C8-0D717B442E4C}" destId="{50972C5E-626F-4328-9D35-C7EB9C42E47E}" srcOrd="0" destOrd="0" presId="urn:microsoft.com/office/officeart/2005/8/layout/chevron2"/>
    <dgm:cxn modelId="{5D20AB9E-BEAA-42C2-AF91-6FADD2C8D8F7}" type="presParOf" srcId="{97A31266-89BD-4DAA-86C8-0D717B442E4C}" destId="{3A735AB8-24BA-42DC-AC38-36E19BC05128}" srcOrd="1" destOrd="0" presId="urn:microsoft.com/office/officeart/2005/8/layout/chevron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D19AC8F-AF61-4027-B3FF-2EC76330922B}"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sq-AL"/>
        </a:p>
      </dgm:t>
    </dgm:pt>
    <dgm:pt modelId="{6C3F9200-A850-41F5-97F6-426FCE31ED36}">
      <dgm:prSet phldrT="[Text]" custT="1"/>
      <dgm:spPr>
        <a:solidFill>
          <a:schemeClr val="accent1"/>
        </a:solidFill>
      </dgm:spPr>
      <dgm:t>
        <a:bodyPr/>
        <a:lstStyle/>
        <a:p>
          <a:r>
            <a:rPr lang="sq-AL" sz="800">
              <a:solidFill>
                <a:schemeClr val="bg1"/>
              </a:solidFill>
              <a:latin typeface="+mj-lt"/>
              <a:cs typeface="Times New Roman" panose="02020603050405020304" pitchFamily="18" charset="0"/>
            </a:rPr>
            <a:t>Grup punues</a:t>
          </a:r>
        </a:p>
        <a:p>
          <a:r>
            <a:rPr lang="sq-AL" sz="800">
              <a:solidFill>
                <a:schemeClr val="bg1"/>
              </a:solidFill>
              <a:latin typeface="+mj-lt"/>
              <a:cs typeface="Times New Roman" panose="02020603050405020304" pitchFamily="18" charset="0"/>
            </a:rPr>
            <a:t>I bashkë-kryesuar nga ME dhe MMPHI</a:t>
          </a:r>
        </a:p>
      </dgm:t>
    </dgm:pt>
    <dgm:pt modelId="{6871C622-5851-4A67-9B54-7A553D2FB5C0}" type="parTrans" cxnId="{6E449F79-BBE3-4EAE-BA17-94A985805583}">
      <dgm:prSet/>
      <dgm:spPr/>
      <dgm:t>
        <a:bodyPr/>
        <a:lstStyle/>
        <a:p>
          <a:endParaRPr lang="sq-AL">
            <a:latin typeface="+mj-lt"/>
            <a:cs typeface="Times New Roman" panose="02020603050405020304" pitchFamily="18" charset="0"/>
          </a:endParaRPr>
        </a:p>
      </dgm:t>
    </dgm:pt>
    <dgm:pt modelId="{C2E82D1A-A15B-439F-93CE-73BB8B9E0EC2}" type="sibTrans" cxnId="{6E449F79-BBE3-4EAE-BA17-94A985805583}">
      <dgm:prSet/>
      <dgm:spPr/>
      <dgm:t>
        <a:bodyPr/>
        <a:lstStyle/>
        <a:p>
          <a:endParaRPr lang="sq-AL">
            <a:latin typeface="+mj-lt"/>
            <a:cs typeface="Times New Roman" panose="02020603050405020304" pitchFamily="18" charset="0"/>
          </a:endParaRPr>
        </a:p>
      </dgm:t>
    </dgm:pt>
    <dgm:pt modelId="{CF5879FF-092A-4E79-9556-B7AFDF9F7710}">
      <dgm:prSet phldrT="[Text]" custT="1"/>
      <dgm:spPr>
        <a:solidFill>
          <a:schemeClr val="accent1"/>
        </a:solidFill>
      </dgm:spPr>
      <dgm:t>
        <a:bodyPr/>
        <a:lstStyle/>
        <a:p>
          <a:r>
            <a:rPr lang="sq-AL" sz="800">
              <a:solidFill>
                <a:schemeClr val="bg1"/>
              </a:solidFill>
              <a:latin typeface="+mj-lt"/>
              <a:cs typeface="Times New Roman" panose="02020603050405020304" pitchFamily="18" charset="0"/>
            </a:rPr>
            <a:t>GT GS </a:t>
          </a:r>
        </a:p>
      </dgm:t>
    </dgm:pt>
    <dgm:pt modelId="{7E6755F5-0128-42ED-BAB7-31DB29E53E81}" type="parTrans" cxnId="{2D824B54-81FC-49BD-8C94-F786B6B646ED}">
      <dgm:prSet/>
      <dgm:spPr/>
      <dgm:t>
        <a:bodyPr/>
        <a:lstStyle/>
        <a:p>
          <a:endParaRPr lang="sq-AL">
            <a:latin typeface="+mj-lt"/>
            <a:cs typeface="Times New Roman" panose="02020603050405020304" pitchFamily="18" charset="0"/>
          </a:endParaRPr>
        </a:p>
      </dgm:t>
    </dgm:pt>
    <dgm:pt modelId="{800D52F4-1068-4569-ACEC-C776ACDEB0B8}" type="sibTrans" cxnId="{2D824B54-81FC-49BD-8C94-F786B6B646ED}">
      <dgm:prSet/>
      <dgm:spPr/>
      <dgm:t>
        <a:bodyPr/>
        <a:lstStyle/>
        <a:p>
          <a:endParaRPr lang="sq-AL">
            <a:latin typeface="+mj-lt"/>
            <a:cs typeface="Times New Roman" panose="02020603050405020304" pitchFamily="18" charset="0"/>
          </a:endParaRPr>
        </a:p>
      </dgm:t>
    </dgm:pt>
    <dgm:pt modelId="{EFE4A2B7-70D1-4AD0-8D3E-DDC98EC951CE}">
      <dgm:prSet phldrT="[Text]" custT="1"/>
      <dgm:spPr>
        <a:solidFill>
          <a:schemeClr val="accent1"/>
        </a:solidFill>
      </dgm:spPr>
      <dgm:t>
        <a:bodyPr/>
        <a:lstStyle/>
        <a:p>
          <a:r>
            <a:rPr lang="sq-AL" sz="800">
              <a:solidFill>
                <a:schemeClr val="bg1"/>
              </a:solidFill>
              <a:latin typeface="+mj-lt"/>
              <a:cs typeface="Times New Roman" panose="02020603050405020304" pitchFamily="18" charset="0"/>
            </a:rPr>
            <a:t>GT EE</a:t>
          </a:r>
        </a:p>
      </dgm:t>
    </dgm:pt>
    <dgm:pt modelId="{A3117633-ACDC-484C-91E7-5736C03AE983}" type="parTrans" cxnId="{22AAD0CD-3B55-433A-85CA-D1B7DA80349A}">
      <dgm:prSet/>
      <dgm:spPr/>
      <dgm:t>
        <a:bodyPr/>
        <a:lstStyle/>
        <a:p>
          <a:endParaRPr lang="sq-AL">
            <a:latin typeface="+mj-lt"/>
            <a:cs typeface="Times New Roman" panose="02020603050405020304" pitchFamily="18" charset="0"/>
          </a:endParaRPr>
        </a:p>
      </dgm:t>
    </dgm:pt>
    <dgm:pt modelId="{72C25980-337C-416D-9A8C-C48C74EBE1C0}" type="sibTrans" cxnId="{22AAD0CD-3B55-433A-85CA-D1B7DA80349A}">
      <dgm:prSet/>
      <dgm:spPr/>
      <dgm:t>
        <a:bodyPr/>
        <a:lstStyle/>
        <a:p>
          <a:endParaRPr lang="sq-AL">
            <a:latin typeface="+mj-lt"/>
            <a:cs typeface="Times New Roman" panose="02020603050405020304" pitchFamily="18" charset="0"/>
          </a:endParaRPr>
        </a:p>
      </dgm:t>
    </dgm:pt>
    <dgm:pt modelId="{C55AE0A1-CAF3-428B-835E-D50D519C2A89}">
      <dgm:prSet phldrT="[Text]" custT="1"/>
      <dgm:spPr>
        <a:solidFill>
          <a:schemeClr val="accent1"/>
        </a:solidFill>
      </dgm:spPr>
      <dgm:t>
        <a:bodyPr/>
        <a:lstStyle/>
        <a:p>
          <a:r>
            <a:rPr lang="sq-AL" sz="800">
              <a:solidFill>
                <a:schemeClr val="bg1"/>
              </a:solidFill>
              <a:latin typeface="+mj-lt"/>
              <a:cs typeface="Times New Roman" panose="02020603050405020304" pitchFamily="18" charset="0"/>
            </a:rPr>
            <a:t>GT ES</a:t>
          </a:r>
        </a:p>
      </dgm:t>
    </dgm:pt>
    <dgm:pt modelId="{D20D841E-8599-4AA4-96A4-5CBF7966D6D5}" type="parTrans" cxnId="{3D7964FD-3A87-439E-883F-F1D3830D9177}">
      <dgm:prSet/>
      <dgm:spPr/>
      <dgm:t>
        <a:bodyPr/>
        <a:lstStyle/>
        <a:p>
          <a:endParaRPr lang="sq-AL">
            <a:latin typeface="+mj-lt"/>
            <a:cs typeface="Times New Roman" panose="02020603050405020304" pitchFamily="18" charset="0"/>
          </a:endParaRPr>
        </a:p>
      </dgm:t>
    </dgm:pt>
    <dgm:pt modelId="{BF42C27D-3A07-4F68-8E77-4C8C75766DD1}" type="sibTrans" cxnId="{3D7964FD-3A87-439E-883F-F1D3830D9177}">
      <dgm:prSet/>
      <dgm:spPr/>
      <dgm:t>
        <a:bodyPr/>
        <a:lstStyle/>
        <a:p>
          <a:endParaRPr lang="sq-AL">
            <a:latin typeface="+mj-lt"/>
            <a:cs typeface="Times New Roman" panose="02020603050405020304" pitchFamily="18" charset="0"/>
          </a:endParaRPr>
        </a:p>
      </dgm:t>
    </dgm:pt>
    <dgm:pt modelId="{0A75ED15-EEC5-4603-98D4-0BF569F330EC}">
      <dgm:prSet custT="1"/>
      <dgm:spPr>
        <a:solidFill>
          <a:schemeClr val="accent1"/>
        </a:solidFill>
      </dgm:spPr>
      <dgm:t>
        <a:bodyPr/>
        <a:lstStyle/>
        <a:p>
          <a:r>
            <a:rPr lang="sq-AL" sz="800">
              <a:solidFill>
                <a:schemeClr val="bg1"/>
              </a:solidFill>
              <a:latin typeface="+mj-lt"/>
              <a:cs typeface="Times New Roman" panose="02020603050405020304" pitchFamily="18" charset="0"/>
            </a:rPr>
            <a:t>GT QKZH</a:t>
          </a:r>
        </a:p>
      </dgm:t>
    </dgm:pt>
    <dgm:pt modelId="{69B2399A-DC69-4E6F-A04F-F886D294EA1C}" type="parTrans" cxnId="{1B57D2A4-E2CB-4EDF-B3AC-A5E42AF1AAF2}">
      <dgm:prSet/>
      <dgm:spPr/>
      <dgm:t>
        <a:bodyPr/>
        <a:lstStyle/>
        <a:p>
          <a:endParaRPr lang="sq-AL">
            <a:latin typeface="+mj-lt"/>
            <a:cs typeface="Times New Roman" panose="02020603050405020304" pitchFamily="18" charset="0"/>
          </a:endParaRPr>
        </a:p>
      </dgm:t>
    </dgm:pt>
    <dgm:pt modelId="{71F3CFAF-2D03-4DEF-9AD8-40848A642FAF}" type="sibTrans" cxnId="{1B57D2A4-E2CB-4EDF-B3AC-A5E42AF1AAF2}">
      <dgm:prSet/>
      <dgm:spPr/>
      <dgm:t>
        <a:bodyPr/>
        <a:lstStyle/>
        <a:p>
          <a:endParaRPr lang="sq-AL">
            <a:latin typeface="+mj-lt"/>
            <a:cs typeface="Times New Roman" panose="02020603050405020304" pitchFamily="18" charset="0"/>
          </a:endParaRPr>
        </a:p>
      </dgm:t>
    </dgm:pt>
    <dgm:pt modelId="{17D57C14-995B-4292-A1A5-26854B6490F4}">
      <dgm:prSet custT="1"/>
      <dgm:spPr>
        <a:solidFill>
          <a:schemeClr val="accent1"/>
        </a:solidFill>
      </dgm:spPr>
      <dgm:t>
        <a:bodyPr/>
        <a:lstStyle/>
        <a:p>
          <a:r>
            <a:rPr lang="sq-AL" sz="800">
              <a:solidFill>
                <a:schemeClr val="bg1"/>
              </a:solidFill>
              <a:latin typeface="+mj-lt"/>
              <a:cs typeface="Times New Roman" panose="02020603050405020304" pitchFamily="18" charset="0"/>
            </a:rPr>
            <a:t>GT BRE</a:t>
          </a:r>
        </a:p>
      </dgm:t>
    </dgm:pt>
    <dgm:pt modelId="{178BC698-744A-469B-ACB4-CC77EA2099ED}" type="parTrans" cxnId="{57353AC6-BF2D-4DEF-BBAD-7FCBBE415E34}">
      <dgm:prSet/>
      <dgm:spPr/>
      <dgm:t>
        <a:bodyPr/>
        <a:lstStyle/>
        <a:p>
          <a:endParaRPr lang="sq-AL">
            <a:latin typeface="+mj-lt"/>
            <a:cs typeface="Times New Roman" panose="02020603050405020304" pitchFamily="18" charset="0"/>
          </a:endParaRPr>
        </a:p>
      </dgm:t>
    </dgm:pt>
    <dgm:pt modelId="{1B1C03A1-9683-4D8D-AD67-B27D60972308}" type="sibTrans" cxnId="{57353AC6-BF2D-4DEF-BBAD-7FCBBE415E34}">
      <dgm:prSet/>
      <dgm:spPr/>
      <dgm:t>
        <a:bodyPr/>
        <a:lstStyle/>
        <a:p>
          <a:endParaRPr lang="sq-AL">
            <a:latin typeface="+mj-lt"/>
            <a:cs typeface="Times New Roman" panose="02020603050405020304" pitchFamily="18" charset="0"/>
          </a:endParaRPr>
        </a:p>
      </dgm:t>
    </dgm:pt>
    <dgm:pt modelId="{89E60A6E-38E5-466E-BDB0-AFDBB3E1DA15}">
      <dgm:prSet custT="1"/>
      <dgm:spPr>
        <a:solidFill>
          <a:schemeClr val="accent1"/>
        </a:solidFill>
      </dgm:spPr>
      <dgm:t>
        <a:bodyPr/>
        <a:lstStyle/>
        <a:p>
          <a:r>
            <a:rPr lang="sq-AL" sz="800">
              <a:solidFill>
                <a:schemeClr val="bg1"/>
              </a:solidFill>
              <a:latin typeface="+mj-lt"/>
              <a:cs typeface="Times New Roman" panose="02020603050405020304" pitchFamily="18" charset="0"/>
            </a:rPr>
            <a:t>GT IEM</a:t>
          </a:r>
        </a:p>
      </dgm:t>
    </dgm:pt>
    <dgm:pt modelId="{70D1EFAE-C765-4B90-BE07-313A29AB0D60}" type="parTrans" cxnId="{BBB3D91F-0583-424C-9197-1909D1860754}">
      <dgm:prSet/>
      <dgm:spPr/>
      <dgm:t>
        <a:bodyPr/>
        <a:lstStyle/>
        <a:p>
          <a:endParaRPr lang="sq-AL">
            <a:latin typeface="+mj-lt"/>
            <a:cs typeface="Times New Roman" panose="02020603050405020304" pitchFamily="18" charset="0"/>
          </a:endParaRPr>
        </a:p>
      </dgm:t>
    </dgm:pt>
    <dgm:pt modelId="{6F089676-788E-4A20-BA66-AF09C991285A}" type="sibTrans" cxnId="{BBB3D91F-0583-424C-9197-1909D1860754}">
      <dgm:prSet/>
      <dgm:spPr/>
      <dgm:t>
        <a:bodyPr/>
        <a:lstStyle/>
        <a:p>
          <a:endParaRPr lang="sq-AL">
            <a:latin typeface="+mj-lt"/>
            <a:cs typeface="Times New Roman" panose="02020603050405020304" pitchFamily="18" charset="0"/>
          </a:endParaRPr>
        </a:p>
      </dgm:t>
    </dgm:pt>
    <dgm:pt modelId="{C12A98E6-20FA-47A7-98F7-D23A8AAC86D4}">
      <dgm:prSet custT="1"/>
      <dgm:spPr>
        <a:solidFill>
          <a:schemeClr val="accent1"/>
        </a:solidFill>
      </dgm:spPr>
      <dgm:t>
        <a:bodyPr/>
        <a:lstStyle/>
        <a:p>
          <a:pPr algn="ctr"/>
          <a:r>
            <a:rPr lang="sq-AL" sz="800">
              <a:solidFill>
                <a:schemeClr val="bg1"/>
              </a:solidFill>
              <a:latin typeface="+mj-lt"/>
              <a:cs typeface="Times New Roman" panose="02020603050405020304" pitchFamily="18" charset="0"/>
            </a:rPr>
            <a:t>Ministria e Ekonomisë</a:t>
          </a:r>
        </a:p>
        <a:p>
          <a:pPr algn="ctr"/>
          <a:r>
            <a:rPr lang="sq-AL" sz="800">
              <a:solidFill>
                <a:schemeClr val="bg1"/>
              </a:solidFill>
              <a:latin typeface="+mj-lt"/>
              <a:cs typeface="Times New Roman" panose="02020603050405020304" pitchFamily="18" charset="0"/>
            </a:rPr>
            <a:t>me Ministrinë e Mjedisit, Planifikimit Hapësinor dhe Infrastrukturës</a:t>
          </a:r>
        </a:p>
      </dgm:t>
    </dgm:pt>
    <dgm:pt modelId="{1954BF83-46E7-4859-9E52-2A2B06CDECAB}" type="parTrans" cxnId="{731494D9-8715-492D-977E-2D453CD09EDB}">
      <dgm:prSet/>
      <dgm:spPr/>
      <dgm:t>
        <a:bodyPr/>
        <a:lstStyle/>
        <a:p>
          <a:endParaRPr lang="sq-AL">
            <a:latin typeface="+mj-lt"/>
            <a:cs typeface="Times New Roman" panose="02020603050405020304" pitchFamily="18" charset="0"/>
          </a:endParaRPr>
        </a:p>
      </dgm:t>
    </dgm:pt>
    <dgm:pt modelId="{1557140B-A111-4E17-B0E7-69889A75133A}" type="sibTrans" cxnId="{731494D9-8715-492D-977E-2D453CD09EDB}">
      <dgm:prSet/>
      <dgm:spPr/>
      <dgm:t>
        <a:bodyPr/>
        <a:lstStyle/>
        <a:p>
          <a:endParaRPr lang="sq-AL">
            <a:latin typeface="+mj-lt"/>
            <a:cs typeface="Times New Roman" panose="02020603050405020304" pitchFamily="18" charset="0"/>
          </a:endParaRPr>
        </a:p>
      </dgm:t>
    </dgm:pt>
    <dgm:pt modelId="{2D5FF09D-882F-4953-A282-595204F622F2}" type="pres">
      <dgm:prSet presAssocID="{0D19AC8F-AF61-4027-B3FF-2EC76330922B}" presName="hierChild1" presStyleCnt="0">
        <dgm:presLayoutVars>
          <dgm:orgChart val="1"/>
          <dgm:chPref val="1"/>
          <dgm:dir/>
          <dgm:animOne val="branch"/>
          <dgm:animLvl val="lvl"/>
          <dgm:resizeHandles/>
        </dgm:presLayoutVars>
      </dgm:prSet>
      <dgm:spPr/>
      <dgm:t>
        <a:bodyPr/>
        <a:lstStyle/>
        <a:p>
          <a:endParaRPr lang="en-US"/>
        </a:p>
      </dgm:t>
    </dgm:pt>
    <dgm:pt modelId="{1DD28BD7-7C72-4BF3-8A76-DEE8462EE1F2}" type="pres">
      <dgm:prSet presAssocID="{C12A98E6-20FA-47A7-98F7-D23A8AAC86D4}" presName="hierRoot1" presStyleCnt="0">
        <dgm:presLayoutVars>
          <dgm:hierBranch val="init"/>
        </dgm:presLayoutVars>
      </dgm:prSet>
      <dgm:spPr/>
    </dgm:pt>
    <dgm:pt modelId="{A77A30E0-0829-40D9-8750-F550FF273301}" type="pres">
      <dgm:prSet presAssocID="{C12A98E6-20FA-47A7-98F7-D23A8AAC86D4}" presName="rootComposite1" presStyleCnt="0"/>
      <dgm:spPr/>
    </dgm:pt>
    <dgm:pt modelId="{E9463557-6C90-4FA9-8BF3-1CFDDC4812C9}" type="pres">
      <dgm:prSet presAssocID="{C12A98E6-20FA-47A7-98F7-D23A8AAC86D4}" presName="rootText1" presStyleLbl="node0" presStyleIdx="0" presStyleCnt="2" custScaleX="265373" custScaleY="121349" custLinFactX="100000" custLinFactY="-32729" custLinFactNeighborX="100963" custLinFactNeighborY="-100000">
        <dgm:presLayoutVars>
          <dgm:chPref val="3"/>
        </dgm:presLayoutVars>
      </dgm:prSet>
      <dgm:spPr/>
      <dgm:t>
        <a:bodyPr/>
        <a:lstStyle/>
        <a:p>
          <a:endParaRPr lang="en-US"/>
        </a:p>
      </dgm:t>
    </dgm:pt>
    <dgm:pt modelId="{27C6029C-77D9-47B4-A61D-0889B0CB6026}" type="pres">
      <dgm:prSet presAssocID="{C12A98E6-20FA-47A7-98F7-D23A8AAC86D4}" presName="rootConnector1" presStyleLbl="node1" presStyleIdx="0" presStyleCnt="0"/>
      <dgm:spPr/>
      <dgm:t>
        <a:bodyPr/>
        <a:lstStyle/>
        <a:p>
          <a:endParaRPr lang="en-US"/>
        </a:p>
      </dgm:t>
    </dgm:pt>
    <dgm:pt modelId="{444A0992-02EC-410B-87FB-7072032C6F57}" type="pres">
      <dgm:prSet presAssocID="{C12A98E6-20FA-47A7-98F7-D23A8AAC86D4}" presName="hierChild2" presStyleCnt="0"/>
      <dgm:spPr/>
    </dgm:pt>
    <dgm:pt modelId="{E1956640-2F77-4438-BC72-E9CDFC08CF13}" type="pres">
      <dgm:prSet presAssocID="{C12A98E6-20FA-47A7-98F7-D23A8AAC86D4}" presName="hierChild3" presStyleCnt="0"/>
      <dgm:spPr/>
    </dgm:pt>
    <dgm:pt modelId="{4246093E-0859-4CE4-80D3-86EC719984D1}" type="pres">
      <dgm:prSet presAssocID="{6C3F9200-A850-41F5-97F6-426FCE31ED36}" presName="hierRoot1" presStyleCnt="0">
        <dgm:presLayoutVars>
          <dgm:hierBranch val="init"/>
        </dgm:presLayoutVars>
      </dgm:prSet>
      <dgm:spPr/>
    </dgm:pt>
    <dgm:pt modelId="{BA4CA5EA-6D75-44B0-BFDB-476ED00E4A51}" type="pres">
      <dgm:prSet presAssocID="{6C3F9200-A850-41F5-97F6-426FCE31ED36}" presName="rootComposite1" presStyleCnt="0"/>
      <dgm:spPr/>
    </dgm:pt>
    <dgm:pt modelId="{76EB49D8-9031-403B-A599-8273DF6C2894}" type="pres">
      <dgm:prSet presAssocID="{6C3F9200-A850-41F5-97F6-426FCE31ED36}" presName="rootText1" presStyleLbl="node0" presStyleIdx="1" presStyleCnt="2" custScaleX="122742" custLinFactNeighborX="224" custLinFactNeighborY="39625">
        <dgm:presLayoutVars>
          <dgm:chPref val="3"/>
        </dgm:presLayoutVars>
      </dgm:prSet>
      <dgm:spPr/>
      <dgm:t>
        <a:bodyPr/>
        <a:lstStyle/>
        <a:p>
          <a:endParaRPr lang="en-US"/>
        </a:p>
      </dgm:t>
    </dgm:pt>
    <dgm:pt modelId="{224363D7-8520-4014-A70E-F152DAC31910}" type="pres">
      <dgm:prSet presAssocID="{6C3F9200-A850-41F5-97F6-426FCE31ED36}" presName="rootConnector1" presStyleLbl="node1" presStyleIdx="0" presStyleCnt="0"/>
      <dgm:spPr/>
      <dgm:t>
        <a:bodyPr/>
        <a:lstStyle/>
        <a:p>
          <a:endParaRPr lang="en-US"/>
        </a:p>
      </dgm:t>
    </dgm:pt>
    <dgm:pt modelId="{92D15D19-95D5-423C-8B00-388127D96A1E}" type="pres">
      <dgm:prSet presAssocID="{6C3F9200-A850-41F5-97F6-426FCE31ED36}" presName="hierChild2" presStyleCnt="0"/>
      <dgm:spPr/>
    </dgm:pt>
    <dgm:pt modelId="{7B4128ED-C412-4A27-BBB2-DC3440EEE7F6}" type="pres">
      <dgm:prSet presAssocID="{7E6755F5-0128-42ED-BAB7-31DB29E53E81}" presName="Name37" presStyleLbl="parChTrans1D2" presStyleIdx="0" presStyleCnt="6"/>
      <dgm:spPr/>
      <dgm:t>
        <a:bodyPr/>
        <a:lstStyle/>
        <a:p>
          <a:endParaRPr lang="en-US"/>
        </a:p>
      </dgm:t>
    </dgm:pt>
    <dgm:pt modelId="{AFCD614C-7988-43CC-8553-D841250EE5EB}" type="pres">
      <dgm:prSet presAssocID="{CF5879FF-092A-4E79-9556-B7AFDF9F7710}" presName="hierRoot2" presStyleCnt="0">
        <dgm:presLayoutVars>
          <dgm:hierBranch val="init"/>
        </dgm:presLayoutVars>
      </dgm:prSet>
      <dgm:spPr/>
    </dgm:pt>
    <dgm:pt modelId="{7CAE5730-2413-4FA9-9857-AAF7F8D3B36B}" type="pres">
      <dgm:prSet presAssocID="{CF5879FF-092A-4E79-9556-B7AFDF9F7710}" presName="rootComposite" presStyleCnt="0"/>
      <dgm:spPr/>
    </dgm:pt>
    <dgm:pt modelId="{6C58EAAA-F416-4A4B-84A6-A9D5030BF173}" type="pres">
      <dgm:prSet presAssocID="{CF5879FF-092A-4E79-9556-B7AFDF9F7710}" presName="rootText" presStyleLbl="node2" presStyleIdx="0" presStyleCnt="6" custLinFactNeighborX="224" custLinFactNeighborY="39625">
        <dgm:presLayoutVars>
          <dgm:chPref val="3"/>
        </dgm:presLayoutVars>
      </dgm:prSet>
      <dgm:spPr/>
      <dgm:t>
        <a:bodyPr/>
        <a:lstStyle/>
        <a:p>
          <a:endParaRPr lang="en-US"/>
        </a:p>
      </dgm:t>
    </dgm:pt>
    <dgm:pt modelId="{96146031-D844-416C-90F8-98D415C490B4}" type="pres">
      <dgm:prSet presAssocID="{CF5879FF-092A-4E79-9556-B7AFDF9F7710}" presName="rootConnector" presStyleLbl="node2" presStyleIdx="0" presStyleCnt="6"/>
      <dgm:spPr/>
      <dgm:t>
        <a:bodyPr/>
        <a:lstStyle/>
        <a:p>
          <a:endParaRPr lang="en-US"/>
        </a:p>
      </dgm:t>
    </dgm:pt>
    <dgm:pt modelId="{8BEED5BA-6880-4E92-B26E-2EC076FC7237}" type="pres">
      <dgm:prSet presAssocID="{CF5879FF-092A-4E79-9556-B7AFDF9F7710}" presName="hierChild4" presStyleCnt="0"/>
      <dgm:spPr/>
    </dgm:pt>
    <dgm:pt modelId="{235356DD-B8CF-4EDB-A580-ED25F8185E52}" type="pres">
      <dgm:prSet presAssocID="{CF5879FF-092A-4E79-9556-B7AFDF9F7710}" presName="hierChild5" presStyleCnt="0"/>
      <dgm:spPr/>
    </dgm:pt>
    <dgm:pt modelId="{F6D8F8F0-BB69-4C48-89B3-E64A6BAB720C}" type="pres">
      <dgm:prSet presAssocID="{178BC698-744A-469B-ACB4-CC77EA2099ED}" presName="Name37" presStyleLbl="parChTrans1D2" presStyleIdx="1" presStyleCnt="6"/>
      <dgm:spPr/>
      <dgm:t>
        <a:bodyPr/>
        <a:lstStyle/>
        <a:p>
          <a:endParaRPr lang="en-US"/>
        </a:p>
      </dgm:t>
    </dgm:pt>
    <dgm:pt modelId="{2A1622DB-650D-4094-A830-06F336E286EF}" type="pres">
      <dgm:prSet presAssocID="{17D57C14-995B-4292-A1A5-26854B6490F4}" presName="hierRoot2" presStyleCnt="0">
        <dgm:presLayoutVars>
          <dgm:hierBranch val="init"/>
        </dgm:presLayoutVars>
      </dgm:prSet>
      <dgm:spPr/>
    </dgm:pt>
    <dgm:pt modelId="{6AA8F4FD-E47A-4917-8877-88D8E05DC5CC}" type="pres">
      <dgm:prSet presAssocID="{17D57C14-995B-4292-A1A5-26854B6490F4}" presName="rootComposite" presStyleCnt="0"/>
      <dgm:spPr/>
    </dgm:pt>
    <dgm:pt modelId="{1656D512-ABA2-41C4-B0F3-63DD9CDAAA26}" type="pres">
      <dgm:prSet presAssocID="{17D57C14-995B-4292-A1A5-26854B6490F4}" presName="rootText" presStyleLbl="node2" presStyleIdx="1" presStyleCnt="6" custLinFactNeighborX="224" custLinFactNeighborY="39625">
        <dgm:presLayoutVars>
          <dgm:chPref val="3"/>
        </dgm:presLayoutVars>
      </dgm:prSet>
      <dgm:spPr/>
      <dgm:t>
        <a:bodyPr/>
        <a:lstStyle/>
        <a:p>
          <a:endParaRPr lang="en-US"/>
        </a:p>
      </dgm:t>
    </dgm:pt>
    <dgm:pt modelId="{95A189D9-9949-4EF2-B0D6-EBF779CF5C66}" type="pres">
      <dgm:prSet presAssocID="{17D57C14-995B-4292-A1A5-26854B6490F4}" presName="rootConnector" presStyleLbl="node2" presStyleIdx="1" presStyleCnt="6"/>
      <dgm:spPr/>
      <dgm:t>
        <a:bodyPr/>
        <a:lstStyle/>
        <a:p>
          <a:endParaRPr lang="en-US"/>
        </a:p>
      </dgm:t>
    </dgm:pt>
    <dgm:pt modelId="{D4E2AAAA-E1D6-49CB-B585-5B1A650D299F}" type="pres">
      <dgm:prSet presAssocID="{17D57C14-995B-4292-A1A5-26854B6490F4}" presName="hierChild4" presStyleCnt="0"/>
      <dgm:spPr/>
    </dgm:pt>
    <dgm:pt modelId="{7ECFB68B-6E7D-4520-8A98-0611D64DA832}" type="pres">
      <dgm:prSet presAssocID="{17D57C14-995B-4292-A1A5-26854B6490F4}" presName="hierChild5" presStyleCnt="0"/>
      <dgm:spPr/>
    </dgm:pt>
    <dgm:pt modelId="{2FCB74DA-73C1-4BC9-9FD2-C82DA22471E5}" type="pres">
      <dgm:prSet presAssocID="{A3117633-ACDC-484C-91E7-5736C03AE983}" presName="Name37" presStyleLbl="parChTrans1D2" presStyleIdx="2" presStyleCnt="6"/>
      <dgm:spPr/>
      <dgm:t>
        <a:bodyPr/>
        <a:lstStyle/>
        <a:p>
          <a:endParaRPr lang="en-US"/>
        </a:p>
      </dgm:t>
    </dgm:pt>
    <dgm:pt modelId="{EE455964-7506-467C-BA36-EE6D8AA750B5}" type="pres">
      <dgm:prSet presAssocID="{EFE4A2B7-70D1-4AD0-8D3E-DDC98EC951CE}" presName="hierRoot2" presStyleCnt="0">
        <dgm:presLayoutVars>
          <dgm:hierBranch val="init"/>
        </dgm:presLayoutVars>
      </dgm:prSet>
      <dgm:spPr/>
    </dgm:pt>
    <dgm:pt modelId="{56B98D7E-CCE6-4C2B-8A54-BB387B6969C1}" type="pres">
      <dgm:prSet presAssocID="{EFE4A2B7-70D1-4AD0-8D3E-DDC98EC951CE}" presName="rootComposite" presStyleCnt="0"/>
      <dgm:spPr/>
    </dgm:pt>
    <dgm:pt modelId="{5459A573-BBAA-49A0-9037-C68BA43493F7}" type="pres">
      <dgm:prSet presAssocID="{EFE4A2B7-70D1-4AD0-8D3E-DDC98EC951CE}" presName="rootText" presStyleLbl="node2" presStyleIdx="2" presStyleCnt="6" custLinFactNeighborX="224" custLinFactNeighborY="39625">
        <dgm:presLayoutVars>
          <dgm:chPref val="3"/>
        </dgm:presLayoutVars>
      </dgm:prSet>
      <dgm:spPr/>
      <dgm:t>
        <a:bodyPr/>
        <a:lstStyle/>
        <a:p>
          <a:endParaRPr lang="en-US"/>
        </a:p>
      </dgm:t>
    </dgm:pt>
    <dgm:pt modelId="{EA65827D-A5A0-4243-BE86-FDD34C3CDB13}" type="pres">
      <dgm:prSet presAssocID="{EFE4A2B7-70D1-4AD0-8D3E-DDC98EC951CE}" presName="rootConnector" presStyleLbl="node2" presStyleIdx="2" presStyleCnt="6"/>
      <dgm:spPr/>
      <dgm:t>
        <a:bodyPr/>
        <a:lstStyle/>
        <a:p>
          <a:endParaRPr lang="en-US"/>
        </a:p>
      </dgm:t>
    </dgm:pt>
    <dgm:pt modelId="{62A9DAB2-249D-41E9-9C2E-5542FD907B69}" type="pres">
      <dgm:prSet presAssocID="{EFE4A2B7-70D1-4AD0-8D3E-DDC98EC951CE}" presName="hierChild4" presStyleCnt="0"/>
      <dgm:spPr/>
    </dgm:pt>
    <dgm:pt modelId="{EFB14BBA-78A7-4337-8186-BA318DF49959}" type="pres">
      <dgm:prSet presAssocID="{EFE4A2B7-70D1-4AD0-8D3E-DDC98EC951CE}" presName="hierChild5" presStyleCnt="0"/>
      <dgm:spPr/>
    </dgm:pt>
    <dgm:pt modelId="{1DA9C457-5538-4CFD-8DCF-3A9BA43507CD}" type="pres">
      <dgm:prSet presAssocID="{D20D841E-8599-4AA4-96A4-5CBF7966D6D5}" presName="Name37" presStyleLbl="parChTrans1D2" presStyleIdx="3" presStyleCnt="6"/>
      <dgm:spPr/>
      <dgm:t>
        <a:bodyPr/>
        <a:lstStyle/>
        <a:p>
          <a:endParaRPr lang="en-US"/>
        </a:p>
      </dgm:t>
    </dgm:pt>
    <dgm:pt modelId="{7F47BEE6-3CC9-4D33-B454-1333FAEDB5B8}" type="pres">
      <dgm:prSet presAssocID="{C55AE0A1-CAF3-428B-835E-D50D519C2A89}" presName="hierRoot2" presStyleCnt="0">
        <dgm:presLayoutVars>
          <dgm:hierBranch val="init"/>
        </dgm:presLayoutVars>
      </dgm:prSet>
      <dgm:spPr/>
    </dgm:pt>
    <dgm:pt modelId="{2D9B4BC8-1A7C-4F3D-B8DF-CDED58BD0606}" type="pres">
      <dgm:prSet presAssocID="{C55AE0A1-CAF3-428B-835E-D50D519C2A89}" presName="rootComposite" presStyleCnt="0"/>
      <dgm:spPr/>
    </dgm:pt>
    <dgm:pt modelId="{DE913516-A6E6-4021-A29A-AFA03BA5F1B3}" type="pres">
      <dgm:prSet presAssocID="{C55AE0A1-CAF3-428B-835E-D50D519C2A89}" presName="rootText" presStyleLbl="node2" presStyleIdx="3" presStyleCnt="6" custLinFactNeighborX="224" custLinFactNeighborY="39625">
        <dgm:presLayoutVars>
          <dgm:chPref val="3"/>
        </dgm:presLayoutVars>
      </dgm:prSet>
      <dgm:spPr/>
      <dgm:t>
        <a:bodyPr/>
        <a:lstStyle/>
        <a:p>
          <a:endParaRPr lang="en-US"/>
        </a:p>
      </dgm:t>
    </dgm:pt>
    <dgm:pt modelId="{B54FADED-9ED8-4FED-8BEA-7AD659A226DF}" type="pres">
      <dgm:prSet presAssocID="{C55AE0A1-CAF3-428B-835E-D50D519C2A89}" presName="rootConnector" presStyleLbl="node2" presStyleIdx="3" presStyleCnt="6"/>
      <dgm:spPr/>
      <dgm:t>
        <a:bodyPr/>
        <a:lstStyle/>
        <a:p>
          <a:endParaRPr lang="en-US"/>
        </a:p>
      </dgm:t>
    </dgm:pt>
    <dgm:pt modelId="{0204A49B-B18F-4069-9A40-1E40CC237E3D}" type="pres">
      <dgm:prSet presAssocID="{C55AE0A1-CAF3-428B-835E-D50D519C2A89}" presName="hierChild4" presStyleCnt="0"/>
      <dgm:spPr/>
    </dgm:pt>
    <dgm:pt modelId="{4CD5611D-96FE-4C7A-AA86-0A5CD81D3CD5}" type="pres">
      <dgm:prSet presAssocID="{C55AE0A1-CAF3-428B-835E-D50D519C2A89}" presName="hierChild5" presStyleCnt="0"/>
      <dgm:spPr/>
    </dgm:pt>
    <dgm:pt modelId="{6DA68F7B-F90B-486C-AD38-FCD88E5E3336}" type="pres">
      <dgm:prSet presAssocID="{70D1EFAE-C765-4B90-BE07-313A29AB0D60}" presName="Name37" presStyleLbl="parChTrans1D2" presStyleIdx="4" presStyleCnt="6"/>
      <dgm:spPr/>
      <dgm:t>
        <a:bodyPr/>
        <a:lstStyle/>
        <a:p>
          <a:endParaRPr lang="en-US"/>
        </a:p>
      </dgm:t>
    </dgm:pt>
    <dgm:pt modelId="{9D1BC48A-BAB0-4FD9-83DA-65B9B2BF7C61}" type="pres">
      <dgm:prSet presAssocID="{89E60A6E-38E5-466E-BDB0-AFDBB3E1DA15}" presName="hierRoot2" presStyleCnt="0">
        <dgm:presLayoutVars>
          <dgm:hierBranch val="init"/>
        </dgm:presLayoutVars>
      </dgm:prSet>
      <dgm:spPr/>
    </dgm:pt>
    <dgm:pt modelId="{001700D9-36DD-4BFA-AE11-F899DA074A46}" type="pres">
      <dgm:prSet presAssocID="{89E60A6E-38E5-466E-BDB0-AFDBB3E1DA15}" presName="rootComposite" presStyleCnt="0"/>
      <dgm:spPr/>
    </dgm:pt>
    <dgm:pt modelId="{D867A897-30C6-4679-8427-A1E45D9565CB}" type="pres">
      <dgm:prSet presAssocID="{89E60A6E-38E5-466E-BDB0-AFDBB3E1DA15}" presName="rootText" presStyleLbl="node2" presStyleIdx="4" presStyleCnt="6" custLinFactNeighborX="224" custLinFactNeighborY="39625">
        <dgm:presLayoutVars>
          <dgm:chPref val="3"/>
        </dgm:presLayoutVars>
      </dgm:prSet>
      <dgm:spPr/>
      <dgm:t>
        <a:bodyPr/>
        <a:lstStyle/>
        <a:p>
          <a:endParaRPr lang="en-US"/>
        </a:p>
      </dgm:t>
    </dgm:pt>
    <dgm:pt modelId="{12BF7CCC-48E1-4A1D-A1FD-AA78610E4350}" type="pres">
      <dgm:prSet presAssocID="{89E60A6E-38E5-466E-BDB0-AFDBB3E1DA15}" presName="rootConnector" presStyleLbl="node2" presStyleIdx="4" presStyleCnt="6"/>
      <dgm:spPr/>
      <dgm:t>
        <a:bodyPr/>
        <a:lstStyle/>
        <a:p>
          <a:endParaRPr lang="en-US"/>
        </a:p>
      </dgm:t>
    </dgm:pt>
    <dgm:pt modelId="{0DB4C9A0-863B-4E42-B637-0BADE296AA7E}" type="pres">
      <dgm:prSet presAssocID="{89E60A6E-38E5-466E-BDB0-AFDBB3E1DA15}" presName="hierChild4" presStyleCnt="0"/>
      <dgm:spPr/>
    </dgm:pt>
    <dgm:pt modelId="{6169E7CA-7686-4E7E-9783-4CF0BAC8DEDF}" type="pres">
      <dgm:prSet presAssocID="{89E60A6E-38E5-466E-BDB0-AFDBB3E1DA15}" presName="hierChild5" presStyleCnt="0"/>
      <dgm:spPr/>
    </dgm:pt>
    <dgm:pt modelId="{6CB143A1-6074-49AC-93D3-422DE8DEE738}" type="pres">
      <dgm:prSet presAssocID="{69B2399A-DC69-4E6F-A04F-F886D294EA1C}" presName="Name37" presStyleLbl="parChTrans1D2" presStyleIdx="5" presStyleCnt="6"/>
      <dgm:spPr/>
      <dgm:t>
        <a:bodyPr/>
        <a:lstStyle/>
        <a:p>
          <a:endParaRPr lang="en-US"/>
        </a:p>
      </dgm:t>
    </dgm:pt>
    <dgm:pt modelId="{D85C857E-82C9-42AF-A779-AB92646873CF}" type="pres">
      <dgm:prSet presAssocID="{0A75ED15-EEC5-4603-98D4-0BF569F330EC}" presName="hierRoot2" presStyleCnt="0">
        <dgm:presLayoutVars>
          <dgm:hierBranch val="init"/>
        </dgm:presLayoutVars>
      </dgm:prSet>
      <dgm:spPr/>
    </dgm:pt>
    <dgm:pt modelId="{A5A73EEA-2CC6-4A62-923D-B8D31EB0884F}" type="pres">
      <dgm:prSet presAssocID="{0A75ED15-EEC5-4603-98D4-0BF569F330EC}" presName="rootComposite" presStyleCnt="0"/>
      <dgm:spPr/>
    </dgm:pt>
    <dgm:pt modelId="{29A60384-34D1-4D9F-A83C-C6A9E9CCA387}" type="pres">
      <dgm:prSet presAssocID="{0A75ED15-EEC5-4603-98D4-0BF569F330EC}" presName="rootText" presStyleLbl="node2" presStyleIdx="5" presStyleCnt="6" custLinFactNeighborX="224" custLinFactNeighborY="39625">
        <dgm:presLayoutVars>
          <dgm:chPref val="3"/>
        </dgm:presLayoutVars>
      </dgm:prSet>
      <dgm:spPr/>
      <dgm:t>
        <a:bodyPr/>
        <a:lstStyle/>
        <a:p>
          <a:endParaRPr lang="en-US"/>
        </a:p>
      </dgm:t>
    </dgm:pt>
    <dgm:pt modelId="{3CF09A0F-1011-4CDA-80D6-F8733A7AC10D}" type="pres">
      <dgm:prSet presAssocID="{0A75ED15-EEC5-4603-98D4-0BF569F330EC}" presName="rootConnector" presStyleLbl="node2" presStyleIdx="5" presStyleCnt="6"/>
      <dgm:spPr/>
      <dgm:t>
        <a:bodyPr/>
        <a:lstStyle/>
        <a:p>
          <a:endParaRPr lang="en-US"/>
        </a:p>
      </dgm:t>
    </dgm:pt>
    <dgm:pt modelId="{2CC44954-65D4-4E48-98C4-8DD694873782}" type="pres">
      <dgm:prSet presAssocID="{0A75ED15-EEC5-4603-98D4-0BF569F330EC}" presName="hierChild4" presStyleCnt="0"/>
      <dgm:spPr/>
    </dgm:pt>
    <dgm:pt modelId="{9149F1A9-C9C3-4D9A-AAF8-2FCEDF4C0EDE}" type="pres">
      <dgm:prSet presAssocID="{0A75ED15-EEC5-4603-98D4-0BF569F330EC}" presName="hierChild5" presStyleCnt="0"/>
      <dgm:spPr/>
    </dgm:pt>
    <dgm:pt modelId="{99F1C13C-CD49-48FD-9C8E-75CD2B8BB739}" type="pres">
      <dgm:prSet presAssocID="{6C3F9200-A850-41F5-97F6-426FCE31ED36}" presName="hierChild3" presStyleCnt="0"/>
      <dgm:spPr/>
    </dgm:pt>
  </dgm:ptLst>
  <dgm:cxnLst>
    <dgm:cxn modelId="{2408A2BA-BE82-4480-88DD-DA5D2C56EC2A}" type="presOf" srcId="{0A75ED15-EEC5-4603-98D4-0BF569F330EC}" destId="{3CF09A0F-1011-4CDA-80D6-F8733A7AC10D}" srcOrd="1" destOrd="0" presId="urn:microsoft.com/office/officeart/2005/8/layout/orgChart1"/>
    <dgm:cxn modelId="{83C31A86-6875-4CF6-A483-CD85A280880C}" type="presOf" srcId="{EFE4A2B7-70D1-4AD0-8D3E-DDC98EC951CE}" destId="{EA65827D-A5A0-4243-BE86-FDD34C3CDB13}" srcOrd="1" destOrd="0" presId="urn:microsoft.com/office/officeart/2005/8/layout/orgChart1"/>
    <dgm:cxn modelId="{B871C1BD-791C-4768-9148-77645A38EDB7}" type="presOf" srcId="{A3117633-ACDC-484C-91E7-5736C03AE983}" destId="{2FCB74DA-73C1-4BC9-9FD2-C82DA22471E5}" srcOrd="0" destOrd="0" presId="urn:microsoft.com/office/officeart/2005/8/layout/orgChart1"/>
    <dgm:cxn modelId="{B6E07B7B-F0D0-43FE-9895-73E72BC9C112}" type="presOf" srcId="{178BC698-744A-469B-ACB4-CC77EA2099ED}" destId="{F6D8F8F0-BB69-4C48-89B3-E64A6BAB720C}" srcOrd="0" destOrd="0" presId="urn:microsoft.com/office/officeart/2005/8/layout/orgChart1"/>
    <dgm:cxn modelId="{731494D9-8715-492D-977E-2D453CD09EDB}" srcId="{0D19AC8F-AF61-4027-B3FF-2EC76330922B}" destId="{C12A98E6-20FA-47A7-98F7-D23A8AAC86D4}" srcOrd="0" destOrd="0" parTransId="{1954BF83-46E7-4859-9E52-2A2B06CDECAB}" sibTransId="{1557140B-A111-4E17-B0E7-69889A75133A}"/>
    <dgm:cxn modelId="{57353AC6-BF2D-4DEF-BBAD-7FCBBE415E34}" srcId="{6C3F9200-A850-41F5-97F6-426FCE31ED36}" destId="{17D57C14-995B-4292-A1A5-26854B6490F4}" srcOrd="1" destOrd="0" parTransId="{178BC698-744A-469B-ACB4-CC77EA2099ED}" sibTransId="{1B1C03A1-9683-4D8D-AD67-B27D60972308}"/>
    <dgm:cxn modelId="{22AAD0CD-3B55-433A-85CA-D1B7DA80349A}" srcId="{6C3F9200-A850-41F5-97F6-426FCE31ED36}" destId="{EFE4A2B7-70D1-4AD0-8D3E-DDC98EC951CE}" srcOrd="2" destOrd="0" parTransId="{A3117633-ACDC-484C-91E7-5736C03AE983}" sibTransId="{72C25980-337C-416D-9A8C-C48C74EBE1C0}"/>
    <dgm:cxn modelId="{3FF7F5DD-A9F2-4CFD-9C99-E3AF5A70D21F}" type="presOf" srcId="{C55AE0A1-CAF3-428B-835E-D50D519C2A89}" destId="{DE913516-A6E6-4021-A29A-AFA03BA5F1B3}" srcOrd="0" destOrd="0" presId="urn:microsoft.com/office/officeart/2005/8/layout/orgChart1"/>
    <dgm:cxn modelId="{DA417B4A-60CA-463B-A6A9-2C06D841452B}" type="presOf" srcId="{0D19AC8F-AF61-4027-B3FF-2EC76330922B}" destId="{2D5FF09D-882F-4953-A282-595204F622F2}" srcOrd="0" destOrd="0" presId="urn:microsoft.com/office/officeart/2005/8/layout/orgChart1"/>
    <dgm:cxn modelId="{6DB444F0-9615-4251-8A86-99AFCB014D1D}" type="presOf" srcId="{0A75ED15-EEC5-4603-98D4-0BF569F330EC}" destId="{29A60384-34D1-4D9F-A83C-C6A9E9CCA387}" srcOrd="0" destOrd="0" presId="urn:microsoft.com/office/officeart/2005/8/layout/orgChart1"/>
    <dgm:cxn modelId="{CBD007D1-8280-4A61-A434-D5C368597D62}" type="presOf" srcId="{70D1EFAE-C765-4B90-BE07-313A29AB0D60}" destId="{6DA68F7B-F90B-486C-AD38-FCD88E5E3336}" srcOrd="0" destOrd="0" presId="urn:microsoft.com/office/officeart/2005/8/layout/orgChart1"/>
    <dgm:cxn modelId="{1B57D2A4-E2CB-4EDF-B3AC-A5E42AF1AAF2}" srcId="{6C3F9200-A850-41F5-97F6-426FCE31ED36}" destId="{0A75ED15-EEC5-4603-98D4-0BF569F330EC}" srcOrd="5" destOrd="0" parTransId="{69B2399A-DC69-4E6F-A04F-F886D294EA1C}" sibTransId="{71F3CFAF-2D03-4DEF-9AD8-40848A642FAF}"/>
    <dgm:cxn modelId="{991A1CC1-311D-4A4A-BC87-BA3BC6C896E2}" type="presOf" srcId="{EFE4A2B7-70D1-4AD0-8D3E-DDC98EC951CE}" destId="{5459A573-BBAA-49A0-9037-C68BA43493F7}" srcOrd="0" destOrd="0" presId="urn:microsoft.com/office/officeart/2005/8/layout/orgChart1"/>
    <dgm:cxn modelId="{BBB3D91F-0583-424C-9197-1909D1860754}" srcId="{6C3F9200-A850-41F5-97F6-426FCE31ED36}" destId="{89E60A6E-38E5-466E-BDB0-AFDBB3E1DA15}" srcOrd="4" destOrd="0" parTransId="{70D1EFAE-C765-4B90-BE07-313A29AB0D60}" sibTransId="{6F089676-788E-4A20-BA66-AF09C991285A}"/>
    <dgm:cxn modelId="{27E46AD4-F408-4BF6-9479-9507A67BC12A}" type="presOf" srcId="{7E6755F5-0128-42ED-BAB7-31DB29E53E81}" destId="{7B4128ED-C412-4A27-BBB2-DC3440EEE7F6}" srcOrd="0" destOrd="0" presId="urn:microsoft.com/office/officeart/2005/8/layout/orgChart1"/>
    <dgm:cxn modelId="{3D7964FD-3A87-439E-883F-F1D3830D9177}" srcId="{6C3F9200-A850-41F5-97F6-426FCE31ED36}" destId="{C55AE0A1-CAF3-428B-835E-D50D519C2A89}" srcOrd="3" destOrd="0" parTransId="{D20D841E-8599-4AA4-96A4-5CBF7966D6D5}" sibTransId="{BF42C27D-3A07-4F68-8E77-4C8C75766DD1}"/>
    <dgm:cxn modelId="{6D1B8EC6-AAA8-4AB5-B897-8D45C0EC2C81}" type="presOf" srcId="{89E60A6E-38E5-466E-BDB0-AFDBB3E1DA15}" destId="{12BF7CCC-48E1-4A1D-A1FD-AA78610E4350}" srcOrd="1" destOrd="0" presId="urn:microsoft.com/office/officeart/2005/8/layout/orgChart1"/>
    <dgm:cxn modelId="{731500DC-5B03-415F-9CE4-EEEA1C64F571}" type="presOf" srcId="{69B2399A-DC69-4E6F-A04F-F886D294EA1C}" destId="{6CB143A1-6074-49AC-93D3-422DE8DEE738}" srcOrd="0" destOrd="0" presId="urn:microsoft.com/office/officeart/2005/8/layout/orgChart1"/>
    <dgm:cxn modelId="{E1206D4D-8EC6-4F38-A0A1-EE11DBAE6EE6}" type="presOf" srcId="{CF5879FF-092A-4E79-9556-B7AFDF9F7710}" destId="{6C58EAAA-F416-4A4B-84A6-A9D5030BF173}" srcOrd="0" destOrd="0" presId="urn:microsoft.com/office/officeart/2005/8/layout/orgChart1"/>
    <dgm:cxn modelId="{F74953D5-13F3-4E0D-BB50-92B23002DE66}" type="presOf" srcId="{C12A98E6-20FA-47A7-98F7-D23A8AAC86D4}" destId="{27C6029C-77D9-47B4-A61D-0889B0CB6026}" srcOrd="1" destOrd="0" presId="urn:microsoft.com/office/officeart/2005/8/layout/orgChart1"/>
    <dgm:cxn modelId="{9F933214-1491-47BD-ACFB-222C6EE53BCA}" type="presOf" srcId="{D20D841E-8599-4AA4-96A4-5CBF7966D6D5}" destId="{1DA9C457-5538-4CFD-8DCF-3A9BA43507CD}" srcOrd="0" destOrd="0" presId="urn:microsoft.com/office/officeart/2005/8/layout/orgChart1"/>
    <dgm:cxn modelId="{E3848DC5-03A0-49BE-8F1F-9B78DD3AD21A}" type="presOf" srcId="{CF5879FF-092A-4E79-9556-B7AFDF9F7710}" destId="{96146031-D844-416C-90F8-98D415C490B4}" srcOrd="1" destOrd="0" presId="urn:microsoft.com/office/officeart/2005/8/layout/orgChart1"/>
    <dgm:cxn modelId="{F7FCFB84-E04B-4C73-9E74-6D0D6E1A84A6}" type="presOf" srcId="{C12A98E6-20FA-47A7-98F7-D23A8AAC86D4}" destId="{E9463557-6C90-4FA9-8BF3-1CFDDC4812C9}" srcOrd="0" destOrd="0" presId="urn:microsoft.com/office/officeart/2005/8/layout/orgChart1"/>
    <dgm:cxn modelId="{5F2782BD-B3EE-4D2D-8E38-9ACC51713943}" type="presOf" srcId="{17D57C14-995B-4292-A1A5-26854B6490F4}" destId="{95A189D9-9949-4EF2-B0D6-EBF779CF5C66}" srcOrd="1" destOrd="0" presId="urn:microsoft.com/office/officeart/2005/8/layout/orgChart1"/>
    <dgm:cxn modelId="{6E449F79-BBE3-4EAE-BA17-94A985805583}" srcId="{0D19AC8F-AF61-4027-B3FF-2EC76330922B}" destId="{6C3F9200-A850-41F5-97F6-426FCE31ED36}" srcOrd="1" destOrd="0" parTransId="{6871C622-5851-4A67-9B54-7A553D2FB5C0}" sibTransId="{C2E82D1A-A15B-439F-93CE-73BB8B9E0EC2}"/>
    <dgm:cxn modelId="{9F969C24-CE2D-4328-8E0A-BC0F9A7C20F3}" type="presOf" srcId="{C55AE0A1-CAF3-428B-835E-D50D519C2A89}" destId="{B54FADED-9ED8-4FED-8BEA-7AD659A226DF}" srcOrd="1" destOrd="0" presId="urn:microsoft.com/office/officeart/2005/8/layout/orgChart1"/>
    <dgm:cxn modelId="{FC17336E-0D26-44D5-98CF-C4430606BC5D}" type="presOf" srcId="{6C3F9200-A850-41F5-97F6-426FCE31ED36}" destId="{76EB49D8-9031-403B-A599-8273DF6C2894}" srcOrd="0" destOrd="0" presId="urn:microsoft.com/office/officeart/2005/8/layout/orgChart1"/>
    <dgm:cxn modelId="{29F1F7D1-54FA-467A-957F-255413144D2A}" type="presOf" srcId="{17D57C14-995B-4292-A1A5-26854B6490F4}" destId="{1656D512-ABA2-41C4-B0F3-63DD9CDAAA26}" srcOrd="0" destOrd="0" presId="urn:microsoft.com/office/officeart/2005/8/layout/orgChart1"/>
    <dgm:cxn modelId="{2D824B54-81FC-49BD-8C94-F786B6B646ED}" srcId="{6C3F9200-A850-41F5-97F6-426FCE31ED36}" destId="{CF5879FF-092A-4E79-9556-B7AFDF9F7710}" srcOrd="0" destOrd="0" parTransId="{7E6755F5-0128-42ED-BAB7-31DB29E53E81}" sibTransId="{800D52F4-1068-4569-ACEC-C776ACDEB0B8}"/>
    <dgm:cxn modelId="{58C09C7F-3311-491F-A663-9DB99CAF3500}" type="presOf" srcId="{89E60A6E-38E5-466E-BDB0-AFDBB3E1DA15}" destId="{D867A897-30C6-4679-8427-A1E45D9565CB}" srcOrd="0" destOrd="0" presId="urn:microsoft.com/office/officeart/2005/8/layout/orgChart1"/>
    <dgm:cxn modelId="{50F5E432-FD9D-4E35-A82D-EBA9EA863AEE}" type="presOf" srcId="{6C3F9200-A850-41F5-97F6-426FCE31ED36}" destId="{224363D7-8520-4014-A70E-F152DAC31910}" srcOrd="1" destOrd="0" presId="urn:microsoft.com/office/officeart/2005/8/layout/orgChart1"/>
    <dgm:cxn modelId="{D15E3B8F-8ACA-4E88-8685-073DE5382A90}" type="presParOf" srcId="{2D5FF09D-882F-4953-A282-595204F622F2}" destId="{1DD28BD7-7C72-4BF3-8A76-DEE8462EE1F2}" srcOrd="0" destOrd="0" presId="urn:microsoft.com/office/officeart/2005/8/layout/orgChart1"/>
    <dgm:cxn modelId="{57998E57-3A89-4E95-ADFE-72B0BAA8302A}" type="presParOf" srcId="{1DD28BD7-7C72-4BF3-8A76-DEE8462EE1F2}" destId="{A77A30E0-0829-40D9-8750-F550FF273301}" srcOrd="0" destOrd="0" presId="urn:microsoft.com/office/officeart/2005/8/layout/orgChart1"/>
    <dgm:cxn modelId="{27F97520-A665-4AE7-B0D1-0D572CC058D4}" type="presParOf" srcId="{A77A30E0-0829-40D9-8750-F550FF273301}" destId="{E9463557-6C90-4FA9-8BF3-1CFDDC4812C9}" srcOrd="0" destOrd="0" presId="urn:microsoft.com/office/officeart/2005/8/layout/orgChart1"/>
    <dgm:cxn modelId="{0B6137BE-DE01-4863-A4A3-27D34C84B91C}" type="presParOf" srcId="{A77A30E0-0829-40D9-8750-F550FF273301}" destId="{27C6029C-77D9-47B4-A61D-0889B0CB6026}" srcOrd="1" destOrd="0" presId="urn:microsoft.com/office/officeart/2005/8/layout/orgChart1"/>
    <dgm:cxn modelId="{FF562095-0693-4A46-A3C3-BEE32EF90795}" type="presParOf" srcId="{1DD28BD7-7C72-4BF3-8A76-DEE8462EE1F2}" destId="{444A0992-02EC-410B-87FB-7072032C6F57}" srcOrd="1" destOrd="0" presId="urn:microsoft.com/office/officeart/2005/8/layout/orgChart1"/>
    <dgm:cxn modelId="{DDC16B6B-A82D-45F8-9B2B-4420D2643B56}" type="presParOf" srcId="{1DD28BD7-7C72-4BF3-8A76-DEE8462EE1F2}" destId="{E1956640-2F77-4438-BC72-E9CDFC08CF13}" srcOrd="2" destOrd="0" presId="urn:microsoft.com/office/officeart/2005/8/layout/orgChart1"/>
    <dgm:cxn modelId="{90D78BD9-51D6-4FC1-A5DC-EB2F5524C500}" type="presParOf" srcId="{2D5FF09D-882F-4953-A282-595204F622F2}" destId="{4246093E-0859-4CE4-80D3-86EC719984D1}" srcOrd="1" destOrd="0" presId="urn:microsoft.com/office/officeart/2005/8/layout/orgChart1"/>
    <dgm:cxn modelId="{287FED14-CB62-47E6-B6D2-51C360C1CBFD}" type="presParOf" srcId="{4246093E-0859-4CE4-80D3-86EC719984D1}" destId="{BA4CA5EA-6D75-44B0-BFDB-476ED00E4A51}" srcOrd="0" destOrd="0" presId="urn:microsoft.com/office/officeart/2005/8/layout/orgChart1"/>
    <dgm:cxn modelId="{AB72BCD1-0E2C-45DF-8158-3BC55C1E8B6A}" type="presParOf" srcId="{BA4CA5EA-6D75-44B0-BFDB-476ED00E4A51}" destId="{76EB49D8-9031-403B-A599-8273DF6C2894}" srcOrd="0" destOrd="0" presId="urn:microsoft.com/office/officeart/2005/8/layout/orgChart1"/>
    <dgm:cxn modelId="{86930677-899E-4C0E-ACFF-8DDD92F27843}" type="presParOf" srcId="{BA4CA5EA-6D75-44B0-BFDB-476ED00E4A51}" destId="{224363D7-8520-4014-A70E-F152DAC31910}" srcOrd="1" destOrd="0" presId="urn:microsoft.com/office/officeart/2005/8/layout/orgChart1"/>
    <dgm:cxn modelId="{8939881F-8FCE-43DA-8346-5FA8D4C5EA34}" type="presParOf" srcId="{4246093E-0859-4CE4-80D3-86EC719984D1}" destId="{92D15D19-95D5-423C-8B00-388127D96A1E}" srcOrd="1" destOrd="0" presId="urn:microsoft.com/office/officeart/2005/8/layout/orgChart1"/>
    <dgm:cxn modelId="{1A57CDA9-0716-4236-8E88-3D276931E377}" type="presParOf" srcId="{92D15D19-95D5-423C-8B00-388127D96A1E}" destId="{7B4128ED-C412-4A27-BBB2-DC3440EEE7F6}" srcOrd="0" destOrd="0" presId="urn:microsoft.com/office/officeart/2005/8/layout/orgChart1"/>
    <dgm:cxn modelId="{F5EA9CEF-DD97-4801-BDDC-FE8BFA63C631}" type="presParOf" srcId="{92D15D19-95D5-423C-8B00-388127D96A1E}" destId="{AFCD614C-7988-43CC-8553-D841250EE5EB}" srcOrd="1" destOrd="0" presId="urn:microsoft.com/office/officeart/2005/8/layout/orgChart1"/>
    <dgm:cxn modelId="{9F4381C7-2EB7-47AA-B2C4-7E0601B7121B}" type="presParOf" srcId="{AFCD614C-7988-43CC-8553-D841250EE5EB}" destId="{7CAE5730-2413-4FA9-9857-AAF7F8D3B36B}" srcOrd="0" destOrd="0" presId="urn:microsoft.com/office/officeart/2005/8/layout/orgChart1"/>
    <dgm:cxn modelId="{90A59D55-0A9F-4D44-A237-0BEDD688DF53}" type="presParOf" srcId="{7CAE5730-2413-4FA9-9857-AAF7F8D3B36B}" destId="{6C58EAAA-F416-4A4B-84A6-A9D5030BF173}" srcOrd="0" destOrd="0" presId="urn:microsoft.com/office/officeart/2005/8/layout/orgChart1"/>
    <dgm:cxn modelId="{E6523CB6-FDF1-4BEF-9268-547DA5D4846E}" type="presParOf" srcId="{7CAE5730-2413-4FA9-9857-AAF7F8D3B36B}" destId="{96146031-D844-416C-90F8-98D415C490B4}" srcOrd="1" destOrd="0" presId="urn:microsoft.com/office/officeart/2005/8/layout/orgChart1"/>
    <dgm:cxn modelId="{A49CE829-DD0A-4D16-B6EA-FDDA8CC9FE78}" type="presParOf" srcId="{AFCD614C-7988-43CC-8553-D841250EE5EB}" destId="{8BEED5BA-6880-4E92-B26E-2EC076FC7237}" srcOrd="1" destOrd="0" presId="urn:microsoft.com/office/officeart/2005/8/layout/orgChart1"/>
    <dgm:cxn modelId="{1B818A9F-9D54-42F7-BA86-F0DAD53A8D40}" type="presParOf" srcId="{AFCD614C-7988-43CC-8553-D841250EE5EB}" destId="{235356DD-B8CF-4EDB-A580-ED25F8185E52}" srcOrd="2" destOrd="0" presId="urn:microsoft.com/office/officeart/2005/8/layout/orgChart1"/>
    <dgm:cxn modelId="{8F5D8D92-5C32-43E4-BBD5-D914262998F6}" type="presParOf" srcId="{92D15D19-95D5-423C-8B00-388127D96A1E}" destId="{F6D8F8F0-BB69-4C48-89B3-E64A6BAB720C}" srcOrd="2" destOrd="0" presId="urn:microsoft.com/office/officeart/2005/8/layout/orgChart1"/>
    <dgm:cxn modelId="{11389EE3-E557-49D6-8493-0FF8914D4D40}" type="presParOf" srcId="{92D15D19-95D5-423C-8B00-388127D96A1E}" destId="{2A1622DB-650D-4094-A830-06F336E286EF}" srcOrd="3" destOrd="0" presId="urn:microsoft.com/office/officeart/2005/8/layout/orgChart1"/>
    <dgm:cxn modelId="{0CCB58E8-3E9C-404C-AD4C-694905639996}" type="presParOf" srcId="{2A1622DB-650D-4094-A830-06F336E286EF}" destId="{6AA8F4FD-E47A-4917-8877-88D8E05DC5CC}" srcOrd="0" destOrd="0" presId="urn:microsoft.com/office/officeart/2005/8/layout/orgChart1"/>
    <dgm:cxn modelId="{C58AE0CA-549B-4AD9-9FE1-16B3EFB41C03}" type="presParOf" srcId="{6AA8F4FD-E47A-4917-8877-88D8E05DC5CC}" destId="{1656D512-ABA2-41C4-B0F3-63DD9CDAAA26}" srcOrd="0" destOrd="0" presId="urn:microsoft.com/office/officeart/2005/8/layout/orgChart1"/>
    <dgm:cxn modelId="{B73445AE-415A-4203-8CB6-F84FF6707318}" type="presParOf" srcId="{6AA8F4FD-E47A-4917-8877-88D8E05DC5CC}" destId="{95A189D9-9949-4EF2-B0D6-EBF779CF5C66}" srcOrd="1" destOrd="0" presId="urn:microsoft.com/office/officeart/2005/8/layout/orgChart1"/>
    <dgm:cxn modelId="{181C8053-7C96-4A0C-8878-82E2E7EA09DD}" type="presParOf" srcId="{2A1622DB-650D-4094-A830-06F336E286EF}" destId="{D4E2AAAA-E1D6-49CB-B585-5B1A650D299F}" srcOrd="1" destOrd="0" presId="urn:microsoft.com/office/officeart/2005/8/layout/orgChart1"/>
    <dgm:cxn modelId="{5679F070-39A9-460B-9F6D-64611379686B}" type="presParOf" srcId="{2A1622DB-650D-4094-A830-06F336E286EF}" destId="{7ECFB68B-6E7D-4520-8A98-0611D64DA832}" srcOrd="2" destOrd="0" presId="urn:microsoft.com/office/officeart/2005/8/layout/orgChart1"/>
    <dgm:cxn modelId="{5511D087-A2E1-48F2-8134-1849D2FA3E32}" type="presParOf" srcId="{92D15D19-95D5-423C-8B00-388127D96A1E}" destId="{2FCB74DA-73C1-4BC9-9FD2-C82DA22471E5}" srcOrd="4" destOrd="0" presId="urn:microsoft.com/office/officeart/2005/8/layout/orgChart1"/>
    <dgm:cxn modelId="{F58E4C02-50F4-42C0-991D-3AD76E89026A}" type="presParOf" srcId="{92D15D19-95D5-423C-8B00-388127D96A1E}" destId="{EE455964-7506-467C-BA36-EE6D8AA750B5}" srcOrd="5" destOrd="0" presId="urn:microsoft.com/office/officeart/2005/8/layout/orgChart1"/>
    <dgm:cxn modelId="{927C291F-CC8F-4452-BCBB-A17FB80DDA91}" type="presParOf" srcId="{EE455964-7506-467C-BA36-EE6D8AA750B5}" destId="{56B98D7E-CCE6-4C2B-8A54-BB387B6969C1}" srcOrd="0" destOrd="0" presId="urn:microsoft.com/office/officeart/2005/8/layout/orgChart1"/>
    <dgm:cxn modelId="{15A75E62-8768-41C6-8916-E8870F8C7A55}" type="presParOf" srcId="{56B98D7E-CCE6-4C2B-8A54-BB387B6969C1}" destId="{5459A573-BBAA-49A0-9037-C68BA43493F7}" srcOrd="0" destOrd="0" presId="urn:microsoft.com/office/officeart/2005/8/layout/orgChart1"/>
    <dgm:cxn modelId="{2E142ACF-15E1-41A9-8C7A-D379FC9C146A}" type="presParOf" srcId="{56B98D7E-CCE6-4C2B-8A54-BB387B6969C1}" destId="{EA65827D-A5A0-4243-BE86-FDD34C3CDB13}" srcOrd="1" destOrd="0" presId="urn:microsoft.com/office/officeart/2005/8/layout/orgChart1"/>
    <dgm:cxn modelId="{8679AEA0-15BD-4078-B622-2127DF26B67D}" type="presParOf" srcId="{EE455964-7506-467C-BA36-EE6D8AA750B5}" destId="{62A9DAB2-249D-41E9-9C2E-5542FD907B69}" srcOrd="1" destOrd="0" presId="urn:microsoft.com/office/officeart/2005/8/layout/orgChart1"/>
    <dgm:cxn modelId="{9B008D08-58BA-4DAF-9928-60B51B6B7FD8}" type="presParOf" srcId="{EE455964-7506-467C-BA36-EE6D8AA750B5}" destId="{EFB14BBA-78A7-4337-8186-BA318DF49959}" srcOrd="2" destOrd="0" presId="urn:microsoft.com/office/officeart/2005/8/layout/orgChart1"/>
    <dgm:cxn modelId="{DEB398D0-D7EA-4603-9D34-C38D1E817F01}" type="presParOf" srcId="{92D15D19-95D5-423C-8B00-388127D96A1E}" destId="{1DA9C457-5538-4CFD-8DCF-3A9BA43507CD}" srcOrd="6" destOrd="0" presId="urn:microsoft.com/office/officeart/2005/8/layout/orgChart1"/>
    <dgm:cxn modelId="{53B22B3F-1998-4BC4-B9BB-37578311E120}" type="presParOf" srcId="{92D15D19-95D5-423C-8B00-388127D96A1E}" destId="{7F47BEE6-3CC9-4D33-B454-1333FAEDB5B8}" srcOrd="7" destOrd="0" presId="urn:microsoft.com/office/officeart/2005/8/layout/orgChart1"/>
    <dgm:cxn modelId="{3E6E0789-8470-4735-817B-C290E65DFE3F}" type="presParOf" srcId="{7F47BEE6-3CC9-4D33-B454-1333FAEDB5B8}" destId="{2D9B4BC8-1A7C-4F3D-B8DF-CDED58BD0606}" srcOrd="0" destOrd="0" presId="urn:microsoft.com/office/officeart/2005/8/layout/orgChart1"/>
    <dgm:cxn modelId="{0EC6F757-3DF8-4D38-A276-69B3F6733983}" type="presParOf" srcId="{2D9B4BC8-1A7C-4F3D-B8DF-CDED58BD0606}" destId="{DE913516-A6E6-4021-A29A-AFA03BA5F1B3}" srcOrd="0" destOrd="0" presId="urn:microsoft.com/office/officeart/2005/8/layout/orgChart1"/>
    <dgm:cxn modelId="{A45C43DA-5AD9-49FC-9AB7-1F2FFAD48976}" type="presParOf" srcId="{2D9B4BC8-1A7C-4F3D-B8DF-CDED58BD0606}" destId="{B54FADED-9ED8-4FED-8BEA-7AD659A226DF}" srcOrd="1" destOrd="0" presId="urn:microsoft.com/office/officeart/2005/8/layout/orgChart1"/>
    <dgm:cxn modelId="{DD0A98D3-7AA1-4579-A57C-07C8CC45088C}" type="presParOf" srcId="{7F47BEE6-3CC9-4D33-B454-1333FAEDB5B8}" destId="{0204A49B-B18F-4069-9A40-1E40CC237E3D}" srcOrd="1" destOrd="0" presId="urn:microsoft.com/office/officeart/2005/8/layout/orgChart1"/>
    <dgm:cxn modelId="{084AFC02-A40A-426A-B813-0A94E2855BC0}" type="presParOf" srcId="{7F47BEE6-3CC9-4D33-B454-1333FAEDB5B8}" destId="{4CD5611D-96FE-4C7A-AA86-0A5CD81D3CD5}" srcOrd="2" destOrd="0" presId="urn:microsoft.com/office/officeart/2005/8/layout/orgChart1"/>
    <dgm:cxn modelId="{7B07EAAB-C3AA-4F41-A8BE-BBFC4C1BEFA7}" type="presParOf" srcId="{92D15D19-95D5-423C-8B00-388127D96A1E}" destId="{6DA68F7B-F90B-486C-AD38-FCD88E5E3336}" srcOrd="8" destOrd="0" presId="urn:microsoft.com/office/officeart/2005/8/layout/orgChart1"/>
    <dgm:cxn modelId="{B34EA942-801B-43D5-9AB3-05983F58DC39}" type="presParOf" srcId="{92D15D19-95D5-423C-8B00-388127D96A1E}" destId="{9D1BC48A-BAB0-4FD9-83DA-65B9B2BF7C61}" srcOrd="9" destOrd="0" presId="urn:microsoft.com/office/officeart/2005/8/layout/orgChart1"/>
    <dgm:cxn modelId="{0DAADD87-D0F5-4FE3-93D4-3430CCA69269}" type="presParOf" srcId="{9D1BC48A-BAB0-4FD9-83DA-65B9B2BF7C61}" destId="{001700D9-36DD-4BFA-AE11-F899DA074A46}" srcOrd="0" destOrd="0" presId="urn:microsoft.com/office/officeart/2005/8/layout/orgChart1"/>
    <dgm:cxn modelId="{BE15F952-3F0B-47A3-A593-D9A6CFA2134E}" type="presParOf" srcId="{001700D9-36DD-4BFA-AE11-F899DA074A46}" destId="{D867A897-30C6-4679-8427-A1E45D9565CB}" srcOrd="0" destOrd="0" presId="urn:microsoft.com/office/officeart/2005/8/layout/orgChart1"/>
    <dgm:cxn modelId="{38A8EF39-97AE-4742-99EA-0C56A943BBD5}" type="presParOf" srcId="{001700D9-36DD-4BFA-AE11-F899DA074A46}" destId="{12BF7CCC-48E1-4A1D-A1FD-AA78610E4350}" srcOrd="1" destOrd="0" presId="urn:microsoft.com/office/officeart/2005/8/layout/orgChart1"/>
    <dgm:cxn modelId="{1B487B50-B6DD-403F-9053-D714B6DDC7E3}" type="presParOf" srcId="{9D1BC48A-BAB0-4FD9-83DA-65B9B2BF7C61}" destId="{0DB4C9A0-863B-4E42-B637-0BADE296AA7E}" srcOrd="1" destOrd="0" presId="urn:microsoft.com/office/officeart/2005/8/layout/orgChart1"/>
    <dgm:cxn modelId="{4C9931B9-BE4E-430F-BAC2-99677F81FB35}" type="presParOf" srcId="{9D1BC48A-BAB0-4FD9-83DA-65B9B2BF7C61}" destId="{6169E7CA-7686-4E7E-9783-4CF0BAC8DEDF}" srcOrd="2" destOrd="0" presId="urn:microsoft.com/office/officeart/2005/8/layout/orgChart1"/>
    <dgm:cxn modelId="{CA4C571B-5526-4806-A933-7CDDF3CE08A7}" type="presParOf" srcId="{92D15D19-95D5-423C-8B00-388127D96A1E}" destId="{6CB143A1-6074-49AC-93D3-422DE8DEE738}" srcOrd="10" destOrd="0" presId="urn:microsoft.com/office/officeart/2005/8/layout/orgChart1"/>
    <dgm:cxn modelId="{2E1D64B7-0DCF-4C2D-9700-E06BDD99784C}" type="presParOf" srcId="{92D15D19-95D5-423C-8B00-388127D96A1E}" destId="{D85C857E-82C9-42AF-A779-AB92646873CF}" srcOrd="11" destOrd="0" presId="urn:microsoft.com/office/officeart/2005/8/layout/orgChart1"/>
    <dgm:cxn modelId="{011883D4-B830-4362-8B43-AEEADB6FE040}" type="presParOf" srcId="{D85C857E-82C9-42AF-A779-AB92646873CF}" destId="{A5A73EEA-2CC6-4A62-923D-B8D31EB0884F}" srcOrd="0" destOrd="0" presId="urn:microsoft.com/office/officeart/2005/8/layout/orgChart1"/>
    <dgm:cxn modelId="{BDA5F31B-BD71-4667-B3F1-2693A942D7BD}" type="presParOf" srcId="{A5A73EEA-2CC6-4A62-923D-B8D31EB0884F}" destId="{29A60384-34D1-4D9F-A83C-C6A9E9CCA387}" srcOrd="0" destOrd="0" presId="urn:microsoft.com/office/officeart/2005/8/layout/orgChart1"/>
    <dgm:cxn modelId="{D668224A-1058-4513-A54E-FE483780E893}" type="presParOf" srcId="{A5A73EEA-2CC6-4A62-923D-B8D31EB0884F}" destId="{3CF09A0F-1011-4CDA-80D6-F8733A7AC10D}" srcOrd="1" destOrd="0" presId="urn:microsoft.com/office/officeart/2005/8/layout/orgChart1"/>
    <dgm:cxn modelId="{3AAEF6FC-CFA2-4A17-A093-DD93A008D5FB}" type="presParOf" srcId="{D85C857E-82C9-42AF-A779-AB92646873CF}" destId="{2CC44954-65D4-4E48-98C4-8DD694873782}" srcOrd="1" destOrd="0" presId="urn:microsoft.com/office/officeart/2005/8/layout/orgChart1"/>
    <dgm:cxn modelId="{975F1892-A056-4DBA-ADDB-CB20CE88CEC0}" type="presParOf" srcId="{D85C857E-82C9-42AF-A779-AB92646873CF}" destId="{9149F1A9-C9C3-4D9A-AAF8-2FCEDF4C0EDE}" srcOrd="2" destOrd="0" presId="urn:microsoft.com/office/officeart/2005/8/layout/orgChart1"/>
    <dgm:cxn modelId="{355B0F2F-3D9B-4989-83DB-F3BEF30721A5}" type="presParOf" srcId="{4246093E-0859-4CE4-80D3-86EC719984D1}" destId="{99F1C13C-CD49-48FD-9C8E-75CD2B8BB739}"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90E06C-CE1F-497F-B8C9-2A5C87603B24}">
      <dsp:nvSpPr>
        <dsp:cNvPr id="0" name=""/>
        <dsp:cNvSpPr/>
      </dsp:nvSpPr>
      <dsp:spPr>
        <a:xfrm rot="5400000">
          <a:off x="-221664" y="221664"/>
          <a:ext cx="1477765" cy="1034435"/>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q-AL" sz="1000" b="1" kern="1200">
              <a:solidFill>
                <a:sysClr val="window" lastClr="FFFFFF"/>
              </a:solidFill>
              <a:latin typeface="+mj-lt"/>
              <a:ea typeface="+mn-ea"/>
              <a:cs typeface="+mn-cs"/>
            </a:rPr>
            <a:t>Bashkimi me Agjendën 2030</a:t>
          </a:r>
        </a:p>
      </dsp:txBody>
      <dsp:txXfrm rot="-5400000">
        <a:off x="2" y="517217"/>
        <a:ext cx="1034435" cy="443330"/>
      </dsp:txXfrm>
    </dsp:sp>
    <dsp:sp modelId="{4C3B494A-D00E-4627-89B0-789C5DFE82C1}">
      <dsp:nvSpPr>
        <dsp:cNvPr id="0" name=""/>
        <dsp:cNvSpPr/>
      </dsp:nvSpPr>
      <dsp:spPr>
        <a:xfrm rot="5400000">
          <a:off x="3039224" y="-2000963"/>
          <a:ext cx="960547" cy="4970124"/>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100000"/>
            </a:lnSpc>
            <a:spcBef>
              <a:spcPct val="0"/>
            </a:spcBef>
            <a:spcAft>
              <a:spcPct val="15000"/>
            </a:spcAft>
            <a:buChar char="••"/>
          </a:pPr>
          <a:r>
            <a:rPr lang="sq-AL" sz="1000" b="0" kern="1200">
              <a:solidFill>
                <a:sysClr val="windowText" lastClr="000000">
                  <a:hueOff val="0"/>
                  <a:satOff val="0"/>
                  <a:lumOff val="0"/>
                  <a:alphaOff val="0"/>
                </a:sysClr>
              </a:solidFill>
              <a:latin typeface="+mj-lt"/>
              <a:ea typeface="+mn-ea"/>
              <a:cs typeface="+mn-cs"/>
            </a:rPr>
            <a:t>Në vitin 2015, Kosova iu bashkua Agjendës 2030 për Zhvillim të Qëndrueshëm duke u angazhuar për 17 OZHQ</a:t>
          </a:r>
        </a:p>
        <a:p>
          <a:pPr marL="57150" lvl="1" indent="-57150" algn="l" defTabSz="444500">
            <a:lnSpc>
              <a:spcPct val="100000"/>
            </a:lnSpc>
            <a:spcBef>
              <a:spcPct val="0"/>
            </a:spcBef>
            <a:spcAft>
              <a:spcPct val="15000"/>
            </a:spcAft>
            <a:buChar char="••"/>
          </a:pPr>
          <a:r>
            <a:rPr lang="sq-AL" sz="1000" b="0" kern="1200">
              <a:solidFill>
                <a:sysClr val="windowText" lastClr="000000">
                  <a:hueOff val="0"/>
                  <a:satOff val="0"/>
                  <a:lumOff val="0"/>
                  <a:alphaOff val="0"/>
                </a:sysClr>
              </a:solidFill>
              <a:latin typeface="+mj-lt"/>
              <a:ea typeface="+mn-ea"/>
              <a:cs typeface="+mn-cs"/>
            </a:rPr>
            <a:t>Ekipi i OKB-së në Kosovë (UNKT), me partnerë ndërkombëtarë dhe vendorë, kanë mbështetur institucionet e Kosovës në arritjen e aspiratave të tyre zhvillimore, ku më shumë se 9000 kosovarë kanë marrë pjesë në hulumtim duke ndihmuar në hartimin e agjendës pas vitit 2015</a:t>
          </a:r>
        </a:p>
      </dsp:txBody>
      <dsp:txXfrm rot="-5400000">
        <a:off x="1034436" y="50715"/>
        <a:ext cx="4923234" cy="866767"/>
      </dsp:txXfrm>
    </dsp:sp>
    <dsp:sp modelId="{5B9C18F8-591C-43A1-BA36-4F76FA280E5F}">
      <dsp:nvSpPr>
        <dsp:cNvPr id="0" name=""/>
        <dsp:cNvSpPr/>
      </dsp:nvSpPr>
      <dsp:spPr>
        <a:xfrm rot="5400000">
          <a:off x="-221664" y="1507797"/>
          <a:ext cx="1477765" cy="1034435"/>
        </a:xfrm>
        <a:prstGeom prst="chevron">
          <a:avLst/>
        </a:prstGeom>
        <a:solidFill>
          <a:srgbClr val="9BBB59">
            <a:hueOff val="0"/>
            <a:satOff val="0"/>
            <a:lumOff val="0"/>
            <a:alphaOff val="0"/>
          </a:srgb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q-AL" sz="1000" b="1" kern="1200">
              <a:solidFill>
                <a:sysClr val="window" lastClr="FFFFFF"/>
              </a:solidFill>
              <a:latin typeface="+mj-lt"/>
              <a:ea typeface="+mn-ea"/>
              <a:cs typeface="+mn-cs"/>
            </a:rPr>
            <a:t>Përafrimi me integrimin në MSA/BE </a:t>
          </a:r>
        </a:p>
      </dsp:txBody>
      <dsp:txXfrm rot="-5400000">
        <a:off x="2" y="1803350"/>
        <a:ext cx="1034435" cy="443330"/>
      </dsp:txXfrm>
    </dsp:sp>
    <dsp:sp modelId="{E2446DA6-58D5-440A-85AD-2B567DCAC810}">
      <dsp:nvSpPr>
        <dsp:cNvPr id="0" name=""/>
        <dsp:cNvSpPr/>
      </dsp:nvSpPr>
      <dsp:spPr>
        <a:xfrm rot="5400000">
          <a:off x="3039224" y="-718656"/>
          <a:ext cx="960547" cy="4970124"/>
        </a:xfrm>
        <a:prstGeom prst="round2SameRect">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sq-AL" sz="1000" kern="1200">
              <a:solidFill>
                <a:sysClr val="windowText" lastClr="000000">
                  <a:hueOff val="0"/>
                  <a:satOff val="0"/>
                  <a:lumOff val="0"/>
                  <a:alphaOff val="0"/>
                </a:sysClr>
              </a:solidFill>
              <a:latin typeface="+mj-lt"/>
              <a:ea typeface="+mn-ea"/>
              <a:cs typeface="+mn-cs"/>
            </a:rPr>
            <a:t>Puna drejt përmbushjes së OZHQ-ve bëhet në përputhje me Marrëveshjen e Stabilizim Asociimit (MSA) të Kosovës dhe aspiratat e saj për integrim në BE.  </a:t>
          </a:r>
        </a:p>
      </dsp:txBody>
      <dsp:txXfrm rot="-5400000">
        <a:off x="1034436" y="1333022"/>
        <a:ext cx="4923234" cy="866767"/>
      </dsp:txXfrm>
    </dsp:sp>
    <dsp:sp modelId="{50972C5E-626F-4328-9D35-C7EB9C42E47E}">
      <dsp:nvSpPr>
        <dsp:cNvPr id="0" name=""/>
        <dsp:cNvSpPr/>
      </dsp:nvSpPr>
      <dsp:spPr>
        <a:xfrm rot="5400000">
          <a:off x="-221664" y="2790104"/>
          <a:ext cx="1477765" cy="1034435"/>
        </a:xfrm>
        <a:prstGeom prst="chevron">
          <a:avLst/>
        </a:prstGeom>
        <a:solidFill>
          <a:srgbClr val="8064A2">
            <a:hueOff val="0"/>
            <a:satOff val="0"/>
            <a:lumOff val="0"/>
            <a:alphaOff val="0"/>
          </a:srgbClr>
        </a:solidFill>
        <a:ln w="25400" cap="flat" cmpd="sng" algn="ctr">
          <a:solidFill>
            <a:srgbClr val="8064A2">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q-AL" sz="1000" b="1" kern="1200">
              <a:solidFill>
                <a:sysClr val="window" lastClr="FFFFFF"/>
              </a:solidFill>
              <a:latin typeface="+mj-lt"/>
              <a:ea typeface="+mn-ea"/>
              <a:cs typeface="+mn-cs"/>
            </a:rPr>
            <a:t>Këshilli për ZHQ</a:t>
          </a:r>
        </a:p>
      </dsp:txBody>
      <dsp:txXfrm rot="-5400000">
        <a:off x="2" y="3085657"/>
        <a:ext cx="1034435" cy="443330"/>
      </dsp:txXfrm>
    </dsp:sp>
    <dsp:sp modelId="{3A735AB8-24BA-42DC-AC38-36E19BC05128}">
      <dsp:nvSpPr>
        <dsp:cNvPr id="0" name=""/>
        <dsp:cNvSpPr/>
      </dsp:nvSpPr>
      <dsp:spPr>
        <a:xfrm rot="5400000">
          <a:off x="3039224" y="609719"/>
          <a:ext cx="960547" cy="4970124"/>
        </a:xfrm>
        <a:prstGeom prst="round2SameRect">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endParaRPr lang="en-US" sz="1000"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sq-AL" sz="1000" kern="1200">
              <a:solidFill>
                <a:sysClr val="windowText" lastClr="000000">
                  <a:hueOff val="0"/>
                  <a:satOff val="0"/>
                  <a:lumOff val="0"/>
                  <a:alphaOff val="0"/>
                </a:sysClr>
              </a:solidFill>
              <a:latin typeface="+mj-lt"/>
              <a:ea typeface="+mn-ea"/>
              <a:cs typeface="+mn-cs"/>
            </a:rPr>
            <a:t>Në janar të vitit 2018, Kuvendi i Kosovës miratoi një Rezolutë për OZHQ-të, duke kaluar në nivelin tjetër të integrimit në të gjitha institucionet.</a:t>
          </a:r>
        </a:p>
        <a:p>
          <a:pPr marL="57150" lvl="1" indent="-57150" algn="l" defTabSz="444500">
            <a:lnSpc>
              <a:spcPct val="90000"/>
            </a:lnSpc>
            <a:spcBef>
              <a:spcPct val="0"/>
            </a:spcBef>
            <a:spcAft>
              <a:spcPct val="15000"/>
            </a:spcAft>
            <a:buChar char="••"/>
          </a:pPr>
          <a:r>
            <a:rPr lang="sq-AL" sz="1000" kern="1200">
              <a:solidFill>
                <a:sysClr val="windowText" lastClr="000000">
                  <a:hueOff val="0"/>
                  <a:satOff val="0"/>
                  <a:lumOff val="0"/>
                  <a:alphaOff val="0"/>
                </a:sysClr>
              </a:solidFill>
              <a:latin typeface="+mj-lt"/>
              <a:ea typeface="+mn-ea"/>
              <a:cs typeface="+mn-cs"/>
            </a:rPr>
            <a:t>Në tetor të vitit 2018, u bë inaugurimi i Këshillit për Zhvillim të Qëndrueshëm në kuadër të Kuvendit të Kosovës.</a:t>
          </a:r>
        </a:p>
        <a:p>
          <a:pPr marL="57150" lvl="1" indent="-57150" algn="l" defTabSz="444500">
            <a:lnSpc>
              <a:spcPct val="90000"/>
            </a:lnSpc>
            <a:spcBef>
              <a:spcPct val="0"/>
            </a:spcBef>
            <a:spcAft>
              <a:spcPct val="15000"/>
            </a:spcAft>
            <a:buChar char="••"/>
          </a:pPr>
          <a:endParaRPr lang="en-US" sz="1000" kern="1200">
            <a:solidFill>
              <a:sysClr val="windowText" lastClr="000000">
                <a:hueOff val="0"/>
                <a:satOff val="0"/>
                <a:lumOff val="0"/>
                <a:alphaOff val="0"/>
              </a:sysClr>
            </a:solidFill>
            <a:latin typeface="Calibri"/>
            <a:ea typeface="+mn-ea"/>
            <a:cs typeface="+mn-cs"/>
          </a:endParaRPr>
        </a:p>
      </dsp:txBody>
      <dsp:txXfrm rot="-5400000">
        <a:off x="1034436" y="2661397"/>
        <a:ext cx="4923234" cy="8667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B143A1-6074-49AC-93D3-422DE8DEE738}">
      <dsp:nvSpPr>
        <dsp:cNvPr id="0" name=""/>
        <dsp:cNvSpPr/>
      </dsp:nvSpPr>
      <dsp:spPr>
        <a:xfrm>
          <a:off x="2741765" y="947053"/>
          <a:ext cx="2349875" cy="163132"/>
        </a:xfrm>
        <a:custGeom>
          <a:avLst/>
          <a:gdLst/>
          <a:ahLst/>
          <a:cxnLst/>
          <a:rect l="0" t="0" r="0" b="0"/>
          <a:pathLst>
            <a:path>
              <a:moveTo>
                <a:pt x="0" y="0"/>
              </a:moveTo>
              <a:lnTo>
                <a:pt x="0" y="81566"/>
              </a:lnTo>
              <a:lnTo>
                <a:pt x="2349875" y="81566"/>
              </a:lnTo>
              <a:lnTo>
                <a:pt x="2349875" y="163132"/>
              </a:lnTo>
            </a:path>
          </a:pathLst>
        </a:custGeom>
        <a:noFill/>
        <a:ln w="25400">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A68F7B-F90B-486C-AD38-FCD88E5E3336}">
      <dsp:nvSpPr>
        <dsp:cNvPr id="0" name=""/>
        <dsp:cNvSpPr/>
      </dsp:nvSpPr>
      <dsp:spPr>
        <a:xfrm>
          <a:off x="2741765" y="947053"/>
          <a:ext cx="1409927" cy="163132"/>
        </a:xfrm>
        <a:custGeom>
          <a:avLst/>
          <a:gdLst/>
          <a:ahLst/>
          <a:cxnLst/>
          <a:rect l="0" t="0" r="0" b="0"/>
          <a:pathLst>
            <a:path>
              <a:moveTo>
                <a:pt x="0" y="0"/>
              </a:moveTo>
              <a:lnTo>
                <a:pt x="0" y="81566"/>
              </a:lnTo>
              <a:lnTo>
                <a:pt x="1409927" y="81566"/>
              </a:lnTo>
              <a:lnTo>
                <a:pt x="1409927" y="163132"/>
              </a:lnTo>
            </a:path>
          </a:pathLst>
        </a:custGeom>
        <a:noFill/>
        <a:ln w="25400">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A9C457-5538-4CFD-8DCF-3A9BA43507CD}">
      <dsp:nvSpPr>
        <dsp:cNvPr id="0" name=""/>
        <dsp:cNvSpPr/>
      </dsp:nvSpPr>
      <dsp:spPr>
        <a:xfrm>
          <a:off x="2741765" y="947053"/>
          <a:ext cx="469975" cy="163132"/>
        </a:xfrm>
        <a:custGeom>
          <a:avLst/>
          <a:gdLst/>
          <a:ahLst/>
          <a:cxnLst/>
          <a:rect l="0" t="0" r="0" b="0"/>
          <a:pathLst>
            <a:path>
              <a:moveTo>
                <a:pt x="0" y="0"/>
              </a:moveTo>
              <a:lnTo>
                <a:pt x="0" y="81566"/>
              </a:lnTo>
              <a:lnTo>
                <a:pt x="469975" y="81566"/>
              </a:lnTo>
              <a:lnTo>
                <a:pt x="469975" y="163132"/>
              </a:lnTo>
            </a:path>
          </a:pathLst>
        </a:custGeom>
        <a:noFill/>
        <a:ln w="25400">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CB74DA-73C1-4BC9-9FD2-C82DA22471E5}">
      <dsp:nvSpPr>
        <dsp:cNvPr id="0" name=""/>
        <dsp:cNvSpPr/>
      </dsp:nvSpPr>
      <dsp:spPr>
        <a:xfrm>
          <a:off x="2271789" y="947053"/>
          <a:ext cx="469975" cy="163132"/>
        </a:xfrm>
        <a:custGeom>
          <a:avLst/>
          <a:gdLst/>
          <a:ahLst/>
          <a:cxnLst/>
          <a:rect l="0" t="0" r="0" b="0"/>
          <a:pathLst>
            <a:path>
              <a:moveTo>
                <a:pt x="469975" y="0"/>
              </a:moveTo>
              <a:lnTo>
                <a:pt x="469975" y="81566"/>
              </a:lnTo>
              <a:lnTo>
                <a:pt x="0" y="81566"/>
              </a:lnTo>
              <a:lnTo>
                <a:pt x="0" y="163132"/>
              </a:lnTo>
            </a:path>
          </a:pathLst>
        </a:custGeom>
        <a:noFill/>
        <a:ln w="25400">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D8F8F0-BB69-4C48-89B3-E64A6BAB720C}">
      <dsp:nvSpPr>
        <dsp:cNvPr id="0" name=""/>
        <dsp:cNvSpPr/>
      </dsp:nvSpPr>
      <dsp:spPr>
        <a:xfrm>
          <a:off x="1331837" y="947053"/>
          <a:ext cx="1409927" cy="163132"/>
        </a:xfrm>
        <a:custGeom>
          <a:avLst/>
          <a:gdLst/>
          <a:ahLst/>
          <a:cxnLst/>
          <a:rect l="0" t="0" r="0" b="0"/>
          <a:pathLst>
            <a:path>
              <a:moveTo>
                <a:pt x="1409927" y="0"/>
              </a:moveTo>
              <a:lnTo>
                <a:pt x="1409927" y="81566"/>
              </a:lnTo>
              <a:lnTo>
                <a:pt x="0" y="81566"/>
              </a:lnTo>
              <a:lnTo>
                <a:pt x="0" y="163132"/>
              </a:lnTo>
            </a:path>
          </a:pathLst>
        </a:custGeom>
        <a:noFill/>
        <a:ln w="25400">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4128ED-C412-4A27-BBB2-DC3440EEE7F6}">
      <dsp:nvSpPr>
        <dsp:cNvPr id="0" name=""/>
        <dsp:cNvSpPr/>
      </dsp:nvSpPr>
      <dsp:spPr>
        <a:xfrm>
          <a:off x="391885" y="947053"/>
          <a:ext cx="2349879" cy="163132"/>
        </a:xfrm>
        <a:custGeom>
          <a:avLst/>
          <a:gdLst/>
          <a:ahLst/>
          <a:cxnLst/>
          <a:rect l="0" t="0" r="0" b="0"/>
          <a:pathLst>
            <a:path>
              <a:moveTo>
                <a:pt x="2349879" y="0"/>
              </a:moveTo>
              <a:lnTo>
                <a:pt x="2349879" y="81566"/>
              </a:lnTo>
              <a:lnTo>
                <a:pt x="0" y="81566"/>
              </a:lnTo>
              <a:lnTo>
                <a:pt x="0" y="163132"/>
              </a:lnTo>
            </a:path>
          </a:pathLst>
        </a:custGeom>
        <a:noFill/>
        <a:ln w="25400">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463557-6C90-4FA9-8BF3-1CFDDC4812C9}">
      <dsp:nvSpPr>
        <dsp:cNvPr id="0" name=""/>
        <dsp:cNvSpPr/>
      </dsp:nvSpPr>
      <dsp:spPr>
        <a:xfrm>
          <a:off x="1599801" y="0"/>
          <a:ext cx="2061470" cy="471331"/>
        </a:xfrm>
        <a:prstGeom prst="rect">
          <a:avLst/>
        </a:prstGeom>
        <a:solidFill>
          <a:schemeClr val="accent1"/>
        </a:solidFill>
        <a:ln w="25400">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q-AL" sz="800" kern="1200">
              <a:solidFill>
                <a:schemeClr val="bg1"/>
              </a:solidFill>
              <a:latin typeface="+mj-lt"/>
              <a:cs typeface="Times New Roman" panose="02020603050405020304" pitchFamily="18" charset="0"/>
            </a:rPr>
            <a:t>Ministria e Ekonomisë</a:t>
          </a:r>
        </a:p>
        <a:p>
          <a:pPr lvl="0" algn="ctr" defTabSz="355600">
            <a:lnSpc>
              <a:spcPct val="90000"/>
            </a:lnSpc>
            <a:spcBef>
              <a:spcPct val="0"/>
            </a:spcBef>
            <a:spcAft>
              <a:spcPct val="35000"/>
            </a:spcAft>
          </a:pPr>
          <a:r>
            <a:rPr lang="sq-AL" sz="800" kern="1200">
              <a:solidFill>
                <a:schemeClr val="bg1"/>
              </a:solidFill>
              <a:latin typeface="+mj-lt"/>
              <a:cs typeface="Times New Roman" panose="02020603050405020304" pitchFamily="18" charset="0"/>
            </a:rPr>
            <a:t>me Ministrinë e Mjedisit, Planifikimit Hapësinor dhe Infrastrukturës</a:t>
          </a:r>
        </a:p>
      </dsp:txBody>
      <dsp:txXfrm>
        <a:off x="1599801" y="0"/>
        <a:ext cx="2061470" cy="471331"/>
      </dsp:txXfrm>
    </dsp:sp>
    <dsp:sp modelId="{76EB49D8-9031-403B-A599-8273DF6C2894}">
      <dsp:nvSpPr>
        <dsp:cNvPr id="0" name=""/>
        <dsp:cNvSpPr/>
      </dsp:nvSpPr>
      <dsp:spPr>
        <a:xfrm>
          <a:off x="2265022" y="558643"/>
          <a:ext cx="953484" cy="388409"/>
        </a:xfrm>
        <a:prstGeom prst="rect">
          <a:avLst/>
        </a:prstGeom>
        <a:solidFill>
          <a:schemeClr val="accent1"/>
        </a:solidFill>
        <a:ln w="25400">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q-AL" sz="800" kern="1200">
              <a:solidFill>
                <a:schemeClr val="bg1"/>
              </a:solidFill>
              <a:latin typeface="+mj-lt"/>
              <a:cs typeface="Times New Roman" panose="02020603050405020304" pitchFamily="18" charset="0"/>
            </a:rPr>
            <a:t>Grup punues</a:t>
          </a:r>
        </a:p>
        <a:p>
          <a:pPr lvl="0" algn="ctr" defTabSz="355600">
            <a:lnSpc>
              <a:spcPct val="90000"/>
            </a:lnSpc>
            <a:spcBef>
              <a:spcPct val="0"/>
            </a:spcBef>
            <a:spcAft>
              <a:spcPct val="35000"/>
            </a:spcAft>
          </a:pPr>
          <a:r>
            <a:rPr lang="sq-AL" sz="800" kern="1200">
              <a:solidFill>
                <a:schemeClr val="bg1"/>
              </a:solidFill>
              <a:latin typeface="+mj-lt"/>
              <a:cs typeface="Times New Roman" panose="02020603050405020304" pitchFamily="18" charset="0"/>
            </a:rPr>
            <a:t>I bashkë-kryesuar nga ME dhe MMPHI</a:t>
          </a:r>
        </a:p>
      </dsp:txBody>
      <dsp:txXfrm>
        <a:off x="2265022" y="558643"/>
        <a:ext cx="953484" cy="388409"/>
      </dsp:txXfrm>
    </dsp:sp>
    <dsp:sp modelId="{6C58EAAA-F416-4A4B-84A6-A9D5030BF173}">
      <dsp:nvSpPr>
        <dsp:cNvPr id="0" name=""/>
        <dsp:cNvSpPr/>
      </dsp:nvSpPr>
      <dsp:spPr>
        <a:xfrm>
          <a:off x="3475" y="1110186"/>
          <a:ext cx="776819" cy="388409"/>
        </a:xfrm>
        <a:prstGeom prst="rect">
          <a:avLst/>
        </a:prstGeom>
        <a:solidFill>
          <a:schemeClr val="accent1"/>
        </a:solidFill>
        <a:ln w="25400">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q-AL" sz="800" kern="1200">
              <a:solidFill>
                <a:schemeClr val="bg1"/>
              </a:solidFill>
              <a:latin typeface="+mj-lt"/>
              <a:cs typeface="Times New Roman" panose="02020603050405020304" pitchFamily="18" charset="0"/>
            </a:rPr>
            <a:t>GT GS </a:t>
          </a:r>
        </a:p>
      </dsp:txBody>
      <dsp:txXfrm>
        <a:off x="3475" y="1110186"/>
        <a:ext cx="776819" cy="388409"/>
      </dsp:txXfrm>
    </dsp:sp>
    <dsp:sp modelId="{1656D512-ABA2-41C4-B0F3-63DD9CDAAA26}">
      <dsp:nvSpPr>
        <dsp:cNvPr id="0" name=""/>
        <dsp:cNvSpPr/>
      </dsp:nvSpPr>
      <dsp:spPr>
        <a:xfrm>
          <a:off x="943427" y="1110186"/>
          <a:ext cx="776819" cy="388409"/>
        </a:xfrm>
        <a:prstGeom prst="rect">
          <a:avLst/>
        </a:prstGeom>
        <a:solidFill>
          <a:schemeClr val="accent1"/>
        </a:solidFill>
        <a:ln w="25400">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q-AL" sz="800" kern="1200">
              <a:solidFill>
                <a:schemeClr val="bg1"/>
              </a:solidFill>
              <a:latin typeface="+mj-lt"/>
              <a:cs typeface="Times New Roman" panose="02020603050405020304" pitchFamily="18" charset="0"/>
            </a:rPr>
            <a:t>GT BRE</a:t>
          </a:r>
        </a:p>
      </dsp:txBody>
      <dsp:txXfrm>
        <a:off x="943427" y="1110186"/>
        <a:ext cx="776819" cy="388409"/>
      </dsp:txXfrm>
    </dsp:sp>
    <dsp:sp modelId="{5459A573-BBAA-49A0-9037-C68BA43493F7}">
      <dsp:nvSpPr>
        <dsp:cNvPr id="0" name=""/>
        <dsp:cNvSpPr/>
      </dsp:nvSpPr>
      <dsp:spPr>
        <a:xfrm>
          <a:off x="1883379" y="1110186"/>
          <a:ext cx="776819" cy="388409"/>
        </a:xfrm>
        <a:prstGeom prst="rect">
          <a:avLst/>
        </a:prstGeom>
        <a:solidFill>
          <a:schemeClr val="accent1"/>
        </a:solidFill>
        <a:ln w="25400">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q-AL" sz="800" kern="1200">
              <a:solidFill>
                <a:schemeClr val="bg1"/>
              </a:solidFill>
              <a:latin typeface="+mj-lt"/>
              <a:cs typeface="Times New Roman" panose="02020603050405020304" pitchFamily="18" charset="0"/>
            </a:rPr>
            <a:t>GT EE</a:t>
          </a:r>
        </a:p>
      </dsp:txBody>
      <dsp:txXfrm>
        <a:off x="1883379" y="1110186"/>
        <a:ext cx="776819" cy="388409"/>
      </dsp:txXfrm>
    </dsp:sp>
    <dsp:sp modelId="{DE913516-A6E6-4021-A29A-AFA03BA5F1B3}">
      <dsp:nvSpPr>
        <dsp:cNvPr id="0" name=""/>
        <dsp:cNvSpPr/>
      </dsp:nvSpPr>
      <dsp:spPr>
        <a:xfrm>
          <a:off x="2823331" y="1110186"/>
          <a:ext cx="776819" cy="388409"/>
        </a:xfrm>
        <a:prstGeom prst="rect">
          <a:avLst/>
        </a:prstGeom>
        <a:solidFill>
          <a:schemeClr val="accent1"/>
        </a:solidFill>
        <a:ln w="25400">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q-AL" sz="800" kern="1200">
              <a:solidFill>
                <a:schemeClr val="bg1"/>
              </a:solidFill>
              <a:latin typeface="+mj-lt"/>
              <a:cs typeface="Times New Roman" panose="02020603050405020304" pitchFamily="18" charset="0"/>
            </a:rPr>
            <a:t>GT ES</a:t>
          </a:r>
        </a:p>
      </dsp:txBody>
      <dsp:txXfrm>
        <a:off x="2823331" y="1110186"/>
        <a:ext cx="776819" cy="388409"/>
      </dsp:txXfrm>
    </dsp:sp>
    <dsp:sp modelId="{D867A897-30C6-4679-8427-A1E45D9565CB}">
      <dsp:nvSpPr>
        <dsp:cNvPr id="0" name=""/>
        <dsp:cNvSpPr/>
      </dsp:nvSpPr>
      <dsp:spPr>
        <a:xfrm>
          <a:off x="3763283" y="1110186"/>
          <a:ext cx="776819" cy="388409"/>
        </a:xfrm>
        <a:prstGeom prst="rect">
          <a:avLst/>
        </a:prstGeom>
        <a:solidFill>
          <a:schemeClr val="accent1"/>
        </a:solidFill>
        <a:ln w="25400">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q-AL" sz="800" kern="1200">
              <a:solidFill>
                <a:schemeClr val="bg1"/>
              </a:solidFill>
              <a:latin typeface="+mj-lt"/>
              <a:cs typeface="Times New Roman" panose="02020603050405020304" pitchFamily="18" charset="0"/>
            </a:rPr>
            <a:t>GT IEM</a:t>
          </a:r>
        </a:p>
      </dsp:txBody>
      <dsp:txXfrm>
        <a:off x="3763283" y="1110186"/>
        <a:ext cx="776819" cy="388409"/>
      </dsp:txXfrm>
    </dsp:sp>
    <dsp:sp modelId="{29A60384-34D1-4D9F-A83C-C6A9E9CCA387}">
      <dsp:nvSpPr>
        <dsp:cNvPr id="0" name=""/>
        <dsp:cNvSpPr/>
      </dsp:nvSpPr>
      <dsp:spPr>
        <a:xfrm>
          <a:off x="4703230" y="1110186"/>
          <a:ext cx="776819" cy="388409"/>
        </a:xfrm>
        <a:prstGeom prst="rect">
          <a:avLst/>
        </a:prstGeom>
        <a:solidFill>
          <a:schemeClr val="accent1"/>
        </a:solidFill>
        <a:ln w="25400">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q-AL" sz="800" kern="1200">
              <a:solidFill>
                <a:schemeClr val="bg1"/>
              </a:solidFill>
              <a:latin typeface="+mj-lt"/>
              <a:cs typeface="Times New Roman" panose="02020603050405020304" pitchFamily="18" charset="0"/>
            </a:rPr>
            <a:t>GT QKZH</a:t>
          </a:r>
        </a:p>
      </dsp:txBody>
      <dsp:txXfrm>
        <a:off x="4703230" y="1110186"/>
        <a:ext cx="776819" cy="38840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ustom Theme">
  <a:themeElements>
    <a:clrScheme name="NECP Kosovo">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Scientific collaborator PhD. Aleksandar Dedinec</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8d277c-ed2c-41d7-971f-a599b90385f4">
      <Terms xmlns="http://schemas.microsoft.com/office/infopath/2007/PartnerControls"/>
    </lcf76f155ced4ddcb4097134ff3c332f>
    <SharedWithUsers xmlns="4df30cb3-ad06-42d7-8028-602761e52853">
      <UserInfo>
        <DisplayName>Salopiata, Marie-Aimée</DisplayName>
        <AccountId>365</AccountId>
        <AccountType/>
      </UserInfo>
      <UserInfo>
        <DisplayName>Stubbe, Rouven</DisplayName>
        <AccountId>22</AccountId>
        <AccountType/>
      </UserInfo>
      <UserInfo>
        <DisplayName>Tahmisoglu, Yigit</DisplayName>
        <AccountId>1386</AccountId>
        <AccountType/>
      </UserInfo>
    </SharedWithUsers>
    <TaxCatchAll xmlns="4df30cb3-ad06-42d7-8028-602761e5285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5FEC29D3D9A6D648ABED0DBA26CC09E5" ma:contentTypeVersion="18" ma:contentTypeDescription="Ein neues Dokument erstellen." ma:contentTypeScope="" ma:versionID="48f460cea9a22c505de3e7e9bd796f98">
  <xsd:schema xmlns:xsd="http://www.w3.org/2001/XMLSchema" xmlns:xs="http://www.w3.org/2001/XMLSchema" xmlns:p="http://schemas.microsoft.com/office/2006/metadata/properties" xmlns:ns2="818d277c-ed2c-41d7-971f-a599b90385f4" xmlns:ns3="4df30cb3-ad06-42d7-8028-602761e52853" targetNamespace="http://schemas.microsoft.com/office/2006/metadata/properties" ma:root="true" ma:fieldsID="fab3ff1502bd21ce3413254747e16fd8" ns2:_="" ns3:_="">
    <xsd:import namespace="818d277c-ed2c-41d7-971f-a599b90385f4"/>
    <xsd:import namespace="4df30cb3-ad06-42d7-8028-602761e528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8d277c-ed2c-41d7-971f-a599b9038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ccb96317-d7ec-4e3d-b476-72e3aac0d484"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f30cb3-ad06-42d7-8028-602761e52853"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0c4524e3-acac-4bce-afde-f120093e0b18}" ma:internalName="TaxCatchAll" ma:showField="CatchAllData" ma:web="4df30cb3-ad06-42d7-8028-602761e528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FB95B5-EBE7-485D-B843-FAC508821D73}">
  <ds:schemaRefs>
    <ds:schemaRef ds:uri="http://schemas.microsoft.com/sharepoint/v3/contenttype/forms"/>
  </ds:schemaRefs>
</ds:datastoreItem>
</file>

<file path=customXml/itemProps3.xml><?xml version="1.0" encoding="utf-8"?>
<ds:datastoreItem xmlns:ds="http://schemas.openxmlformats.org/officeDocument/2006/customXml" ds:itemID="{ED2D41F4-B176-46F4-B15F-D43B3CBAB7D8}">
  <ds:schemaRefs>
    <ds:schemaRef ds:uri="http://schemas.microsoft.com/office/2006/metadata/properties"/>
    <ds:schemaRef ds:uri="http://schemas.microsoft.com/office/infopath/2007/PartnerControls"/>
    <ds:schemaRef ds:uri="818d277c-ed2c-41d7-971f-a599b90385f4"/>
    <ds:schemaRef ds:uri="4df30cb3-ad06-42d7-8028-602761e52853"/>
  </ds:schemaRefs>
</ds:datastoreItem>
</file>

<file path=customXml/itemProps4.xml><?xml version="1.0" encoding="utf-8"?>
<ds:datastoreItem xmlns:ds="http://schemas.openxmlformats.org/officeDocument/2006/customXml" ds:itemID="{F4066A67-8C07-4DB9-9F6B-56B1D8B7B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8d277c-ed2c-41d7-971f-a599b90385f4"/>
    <ds:schemaRef ds:uri="4df30cb3-ad06-42d7-8028-602761e528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FC4DF33-6342-4A2D-904E-976C44496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17</TotalTime>
  <Pages>181</Pages>
  <Words>87725</Words>
  <Characters>500036</Characters>
  <Application>Microsoft Office Word</Application>
  <DocSecurity>0</DocSecurity>
  <Lines>4166</Lines>
  <Paragraphs>1173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586588</CharactersWithSpaces>
  <SharedDoc>false</SharedDoc>
  <HLinks>
    <vt:vector size="1524" baseType="variant">
      <vt:variant>
        <vt:i4>3407914</vt:i4>
      </vt:variant>
      <vt:variant>
        <vt:i4>1680</vt:i4>
      </vt:variant>
      <vt:variant>
        <vt:i4>0</vt:i4>
      </vt:variant>
      <vt:variant>
        <vt:i4>5</vt:i4>
      </vt:variant>
      <vt:variant>
        <vt:lpwstr>http://www.degreedays.net/</vt:lpwstr>
      </vt:variant>
      <vt:variant>
        <vt:lpwstr/>
      </vt:variant>
      <vt:variant>
        <vt:i4>7536675</vt:i4>
      </vt:variant>
      <vt:variant>
        <vt:i4>1641</vt:i4>
      </vt:variant>
      <vt:variant>
        <vt:i4>0</vt:i4>
      </vt:variant>
      <vt:variant>
        <vt:i4>5</vt:i4>
      </vt:variant>
      <vt:variant>
        <vt:lpwstr>https://gzk.rks-gov.net/ActDetail.aspx?ActID=18296</vt:lpwstr>
      </vt:variant>
      <vt:variant>
        <vt:lpwstr/>
      </vt:variant>
      <vt:variant>
        <vt:i4>7536675</vt:i4>
      </vt:variant>
      <vt:variant>
        <vt:i4>1638</vt:i4>
      </vt:variant>
      <vt:variant>
        <vt:i4>0</vt:i4>
      </vt:variant>
      <vt:variant>
        <vt:i4>5</vt:i4>
      </vt:variant>
      <vt:variant>
        <vt:lpwstr>https://gzk.rks-gov.net/ActDetail.aspx?ActID=18296</vt:lpwstr>
      </vt:variant>
      <vt:variant>
        <vt:lpwstr/>
      </vt:variant>
      <vt:variant>
        <vt:i4>65605</vt:i4>
      </vt:variant>
      <vt:variant>
        <vt:i4>1521</vt:i4>
      </vt:variant>
      <vt:variant>
        <vt:i4>0</vt:i4>
      </vt:variant>
      <vt:variant>
        <vt:i4>5</vt:i4>
      </vt:variant>
      <vt:variant>
        <vt:lpwstr>https://konsultimet.rks-gov.net/Storage/Consultations/14-13-59-04102018/Climate Change Strategy and Action Plan_sep_2018.pdf</vt:lpwstr>
      </vt:variant>
      <vt:variant>
        <vt:lpwstr/>
      </vt:variant>
      <vt:variant>
        <vt:i4>65605</vt:i4>
      </vt:variant>
      <vt:variant>
        <vt:i4>1488</vt:i4>
      </vt:variant>
      <vt:variant>
        <vt:i4>0</vt:i4>
      </vt:variant>
      <vt:variant>
        <vt:i4>5</vt:i4>
      </vt:variant>
      <vt:variant>
        <vt:lpwstr>https://konsultimet.rks-gov.net/Storage/Consultations/14-13-59-04102018/Climate Change Strategy and Action Plan_sep_2018.pdf</vt:lpwstr>
      </vt:variant>
      <vt:variant>
        <vt:lpwstr/>
      </vt:variant>
      <vt:variant>
        <vt:i4>6029334</vt:i4>
      </vt:variant>
      <vt:variant>
        <vt:i4>1485</vt:i4>
      </vt:variant>
      <vt:variant>
        <vt:i4>0</vt:i4>
      </vt:variant>
      <vt:variant>
        <vt:i4>5</vt:i4>
      </vt:variant>
      <vt:variant>
        <vt:lpwstr>https://mmph.rks-gov.net/assets/cms/uploads/files/Publikimet/Action_Plan_for_Kosovo_Climate_Change_Startegy_296697_193403.pdf</vt:lpwstr>
      </vt:variant>
      <vt:variant>
        <vt:lpwstr/>
      </vt:variant>
      <vt:variant>
        <vt:i4>65605</vt:i4>
      </vt:variant>
      <vt:variant>
        <vt:i4>1482</vt:i4>
      </vt:variant>
      <vt:variant>
        <vt:i4>0</vt:i4>
      </vt:variant>
      <vt:variant>
        <vt:i4>5</vt:i4>
      </vt:variant>
      <vt:variant>
        <vt:lpwstr>https://konsultimet.rks-gov.net/Storage/Consultations/14-13-59-04102018/Climate Change Strategy and Action Plan_sep_2018.pdf</vt:lpwstr>
      </vt:variant>
      <vt:variant>
        <vt:lpwstr/>
      </vt:variant>
      <vt:variant>
        <vt:i4>1179697</vt:i4>
      </vt:variant>
      <vt:variant>
        <vt:i4>1430</vt:i4>
      </vt:variant>
      <vt:variant>
        <vt:i4>0</vt:i4>
      </vt:variant>
      <vt:variant>
        <vt:i4>5</vt:i4>
      </vt:variant>
      <vt:variant>
        <vt:lpwstr/>
      </vt:variant>
      <vt:variant>
        <vt:lpwstr>_Toc170315143</vt:lpwstr>
      </vt:variant>
      <vt:variant>
        <vt:i4>1179697</vt:i4>
      </vt:variant>
      <vt:variant>
        <vt:i4>1424</vt:i4>
      </vt:variant>
      <vt:variant>
        <vt:i4>0</vt:i4>
      </vt:variant>
      <vt:variant>
        <vt:i4>5</vt:i4>
      </vt:variant>
      <vt:variant>
        <vt:lpwstr/>
      </vt:variant>
      <vt:variant>
        <vt:lpwstr>_Toc170315142</vt:lpwstr>
      </vt:variant>
      <vt:variant>
        <vt:i4>1179697</vt:i4>
      </vt:variant>
      <vt:variant>
        <vt:i4>1418</vt:i4>
      </vt:variant>
      <vt:variant>
        <vt:i4>0</vt:i4>
      </vt:variant>
      <vt:variant>
        <vt:i4>5</vt:i4>
      </vt:variant>
      <vt:variant>
        <vt:lpwstr/>
      </vt:variant>
      <vt:variant>
        <vt:lpwstr>_Toc170315141</vt:lpwstr>
      </vt:variant>
      <vt:variant>
        <vt:i4>1179697</vt:i4>
      </vt:variant>
      <vt:variant>
        <vt:i4>1412</vt:i4>
      </vt:variant>
      <vt:variant>
        <vt:i4>0</vt:i4>
      </vt:variant>
      <vt:variant>
        <vt:i4>5</vt:i4>
      </vt:variant>
      <vt:variant>
        <vt:lpwstr/>
      </vt:variant>
      <vt:variant>
        <vt:lpwstr>_Toc170315140</vt:lpwstr>
      </vt:variant>
      <vt:variant>
        <vt:i4>1376305</vt:i4>
      </vt:variant>
      <vt:variant>
        <vt:i4>1406</vt:i4>
      </vt:variant>
      <vt:variant>
        <vt:i4>0</vt:i4>
      </vt:variant>
      <vt:variant>
        <vt:i4>5</vt:i4>
      </vt:variant>
      <vt:variant>
        <vt:lpwstr/>
      </vt:variant>
      <vt:variant>
        <vt:lpwstr>_Toc170315139</vt:lpwstr>
      </vt:variant>
      <vt:variant>
        <vt:i4>1376305</vt:i4>
      </vt:variant>
      <vt:variant>
        <vt:i4>1400</vt:i4>
      </vt:variant>
      <vt:variant>
        <vt:i4>0</vt:i4>
      </vt:variant>
      <vt:variant>
        <vt:i4>5</vt:i4>
      </vt:variant>
      <vt:variant>
        <vt:lpwstr/>
      </vt:variant>
      <vt:variant>
        <vt:lpwstr>_Toc170315138</vt:lpwstr>
      </vt:variant>
      <vt:variant>
        <vt:i4>1376305</vt:i4>
      </vt:variant>
      <vt:variant>
        <vt:i4>1394</vt:i4>
      </vt:variant>
      <vt:variant>
        <vt:i4>0</vt:i4>
      </vt:variant>
      <vt:variant>
        <vt:i4>5</vt:i4>
      </vt:variant>
      <vt:variant>
        <vt:lpwstr/>
      </vt:variant>
      <vt:variant>
        <vt:lpwstr>_Toc170315137</vt:lpwstr>
      </vt:variant>
      <vt:variant>
        <vt:i4>1376305</vt:i4>
      </vt:variant>
      <vt:variant>
        <vt:i4>1388</vt:i4>
      </vt:variant>
      <vt:variant>
        <vt:i4>0</vt:i4>
      </vt:variant>
      <vt:variant>
        <vt:i4>5</vt:i4>
      </vt:variant>
      <vt:variant>
        <vt:lpwstr/>
      </vt:variant>
      <vt:variant>
        <vt:lpwstr>_Toc170315136</vt:lpwstr>
      </vt:variant>
      <vt:variant>
        <vt:i4>1376305</vt:i4>
      </vt:variant>
      <vt:variant>
        <vt:i4>1382</vt:i4>
      </vt:variant>
      <vt:variant>
        <vt:i4>0</vt:i4>
      </vt:variant>
      <vt:variant>
        <vt:i4>5</vt:i4>
      </vt:variant>
      <vt:variant>
        <vt:lpwstr/>
      </vt:variant>
      <vt:variant>
        <vt:lpwstr>_Toc170315135</vt:lpwstr>
      </vt:variant>
      <vt:variant>
        <vt:i4>1376305</vt:i4>
      </vt:variant>
      <vt:variant>
        <vt:i4>1376</vt:i4>
      </vt:variant>
      <vt:variant>
        <vt:i4>0</vt:i4>
      </vt:variant>
      <vt:variant>
        <vt:i4>5</vt:i4>
      </vt:variant>
      <vt:variant>
        <vt:lpwstr/>
      </vt:variant>
      <vt:variant>
        <vt:lpwstr>_Toc170315134</vt:lpwstr>
      </vt:variant>
      <vt:variant>
        <vt:i4>1376305</vt:i4>
      </vt:variant>
      <vt:variant>
        <vt:i4>1370</vt:i4>
      </vt:variant>
      <vt:variant>
        <vt:i4>0</vt:i4>
      </vt:variant>
      <vt:variant>
        <vt:i4>5</vt:i4>
      </vt:variant>
      <vt:variant>
        <vt:lpwstr/>
      </vt:variant>
      <vt:variant>
        <vt:lpwstr>_Toc170315133</vt:lpwstr>
      </vt:variant>
      <vt:variant>
        <vt:i4>1376305</vt:i4>
      </vt:variant>
      <vt:variant>
        <vt:i4>1364</vt:i4>
      </vt:variant>
      <vt:variant>
        <vt:i4>0</vt:i4>
      </vt:variant>
      <vt:variant>
        <vt:i4>5</vt:i4>
      </vt:variant>
      <vt:variant>
        <vt:lpwstr/>
      </vt:variant>
      <vt:variant>
        <vt:lpwstr>_Toc170315132</vt:lpwstr>
      </vt:variant>
      <vt:variant>
        <vt:i4>1376305</vt:i4>
      </vt:variant>
      <vt:variant>
        <vt:i4>1358</vt:i4>
      </vt:variant>
      <vt:variant>
        <vt:i4>0</vt:i4>
      </vt:variant>
      <vt:variant>
        <vt:i4>5</vt:i4>
      </vt:variant>
      <vt:variant>
        <vt:lpwstr/>
      </vt:variant>
      <vt:variant>
        <vt:lpwstr>_Toc170315131</vt:lpwstr>
      </vt:variant>
      <vt:variant>
        <vt:i4>1376305</vt:i4>
      </vt:variant>
      <vt:variant>
        <vt:i4>1352</vt:i4>
      </vt:variant>
      <vt:variant>
        <vt:i4>0</vt:i4>
      </vt:variant>
      <vt:variant>
        <vt:i4>5</vt:i4>
      </vt:variant>
      <vt:variant>
        <vt:lpwstr/>
      </vt:variant>
      <vt:variant>
        <vt:lpwstr>_Toc170315130</vt:lpwstr>
      </vt:variant>
      <vt:variant>
        <vt:i4>1310769</vt:i4>
      </vt:variant>
      <vt:variant>
        <vt:i4>1346</vt:i4>
      </vt:variant>
      <vt:variant>
        <vt:i4>0</vt:i4>
      </vt:variant>
      <vt:variant>
        <vt:i4>5</vt:i4>
      </vt:variant>
      <vt:variant>
        <vt:lpwstr/>
      </vt:variant>
      <vt:variant>
        <vt:lpwstr>_Toc170315129</vt:lpwstr>
      </vt:variant>
      <vt:variant>
        <vt:i4>1310769</vt:i4>
      </vt:variant>
      <vt:variant>
        <vt:i4>1340</vt:i4>
      </vt:variant>
      <vt:variant>
        <vt:i4>0</vt:i4>
      </vt:variant>
      <vt:variant>
        <vt:i4>5</vt:i4>
      </vt:variant>
      <vt:variant>
        <vt:lpwstr/>
      </vt:variant>
      <vt:variant>
        <vt:lpwstr>_Toc170315128</vt:lpwstr>
      </vt:variant>
      <vt:variant>
        <vt:i4>1310769</vt:i4>
      </vt:variant>
      <vt:variant>
        <vt:i4>1334</vt:i4>
      </vt:variant>
      <vt:variant>
        <vt:i4>0</vt:i4>
      </vt:variant>
      <vt:variant>
        <vt:i4>5</vt:i4>
      </vt:variant>
      <vt:variant>
        <vt:lpwstr/>
      </vt:variant>
      <vt:variant>
        <vt:lpwstr>_Toc170315127</vt:lpwstr>
      </vt:variant>
      <vt:variant>
        <vt:i4>1310769</vt:i4>
      </vt:variant>
      <vt:variant>
        <vt:i4>1328</vt:i4>
      </vt:variant>
      <vt:variant>
        <vt:i4>0</vt:i4>
      </vt:variant>
      <vt:variant>
        <vt:i4>5</vt:i4>
      </vt:variant>
      <vt:variant>
        <vt:lpwstr/>
      </vt:variant>
      <vt:variant>
        <vt:lpwstr>_Toc170315126</vt:lpwstr>
      </vt:variant>
      <vt:variant>
        <vt:i4>1310769</vt:i4>
      </vt:variant>
      <vt:variant>
        <vt:i4>1322</vt:i4>
      </vt:variant>
      <vt:variant>
        <vt:i4>0</vt:i4>
      </vt:variant>
      <vt:variant>
        <vt:i4>5</vt:i4>
      </vt:variant>
      <vt:variant>
        <vt:lpwstr/>
      </vt:variant>
      <vt:variant>
        <vt:lpwstr>_Toc170315125</vt:lpwstr>
      </vt:variant>
      <vt:variant>
        <vt:i4>1310769</vt:i4>
      </vt:variant>
      <vt:variant>
        <vt:i4>1316</vt:i4>
      </vt:variant>
      <vt:variant>
        <vt:i4>0</vt:i4>
      </vt:variant>
      <vt:variant>
        <vt:i4>5</vt:i4>
      </vt:variant>
      <vt:variant>
        <vt:lpwstr/>
      </vt:variant>
      <vt:variant>
        <vt:lpwstr>_Toc170315124</vt:lpwstr>
      </vt:variant>
      <vt:variant>
        <vt:i4>1310769</vt:i4>
      </vt:variant>
      <vt:variant>
        <vt:i4>1307</vt:i4>
      </vt:variant>
      <vt:variant>
        <vt:i4>0</vt:i4>
      </vt:variant>
      <vt:variant>
        <vt:i4>5</vt:i4>
      </vt:variant>
      <vt:variant>
        <vt:lpwstr/>
      </vt:variant>
      <vt:variant>
        <vt:lpwstr>_Toc170315122</vt:lpwstr>
      </vt:variant>
      <vt:variant>
        <vt:i4>1310769</vt:i4>
      </vt:variant>
      <vt:variant>
        <vt:i4>1301</vt:i4>
      </vt:variant>
      <vt:variant>
        <vt:i4>0</vt:i4>
      </vt:variant>
      <vt:variant>
        <vt:i4>5</vt:i4>
      </vt:variant>
      <vt:variant>
        <vt:lpwstr/>
      </vt:variant>
      <vt:variant>
        <vt:lpwstr>_Toc170315121</vt:lpwstr>
      </vt:variant>
      <vt:variant>
        <vt:i4>1310769</vt:i4>
      </vt:variant>
      <vt:variant>
        <vt:i4>1295</vt:i4>
      </vt:variant>
      <vt:variant>
        <vt:i4>0</vt:i4>
      </vt:variant>
      <vt:variant>
        <vt:i4>5</vt:i4>
      </vt:variant>
      <vt:variant>
        <vt:lpwstr/>
      </vt:variant>
      <vt:variant>
        <vt:lpwstr>_Toc170315120</vt:lpwstr>
      </vt:variant>
      <vt:variant>
        <vt:i4>1507377</vt:i4>
      </vt:variant>
      <vt:variant>
        <vt:i4>1289</vt:i4>
      </vt:variant>
      <vt:variant>
        <vt:i4>0</vt:i4>
      </vt:variant>
      <vt:variant>
        <vt:i4>5</vt:i4>
      </vt:variant>
      <vt:variant>
        <vt:lpwstr/>
      </vt:variant>
      <vt:variant>
        <vt:lpwstr>_Toc170315119</vt:lpwstr>
      </vt:variant>
      <vt:variant>
        <vt:i4>1507377</vt:i4>
      </vt:variant>
      <vt:variant>
        <vt:i4>1283</vt:i4>
      </vt:variant>
      <vt:variant>
        <vt:i4>0</vt:i4>
      </vt:variant>
      <vt:variant>
        <vt:i4>5</vt:i4>
      </vt:variant>
      <vt:variant>
        <vt:lpwstr/>
      </vt:variant>
      <vt:variant>
        <vt:lpwstr>_Toc170315118</vt:lpwstr>
      </vt:variant>
      <vt:variant>
        <vt:i4>1507377</vt:i4>
      </vt:variant>
      <vt:variant>
        <vt:i4>1277</vt:i4>
      </vt:variant>
      <vt:variant>
        <vt:i4>0</vt:i4>
      </vt:variant>
      <vt:variant>
        <vt:i4>5</vt:i4>
      </vt:variant>
      <vt:variant>
        <vt:lpwstr/>
      </vt:variant>
      <vt:variant>
        <vt:lpwstr>_Toc170315117</vt:lpwstr>
      </vt:variant>
      <vt:variant>
        <vt:i4>1507377</vt:i4>
      </vt:variant>
      <vt:variant>
        <vt:i4>1271</vt:i4>
      </vt:variant>
      <vt:variant>
        <vt:i4>0</vt:i4>
      </vt:variant>
      <vt:variant>
        <vt:i4>5</vt:i4>
      </vt:variant>
      <vt:variant>
        <vt:lpwstr/>
      </vt:variant>
      <vt:variant>
        <vt:lpwstr>_Toc170315116</vt:lpwstr>
      </vt:variant>
      <vt:variant>
        <vt:i4>1507377</vt:i4>
      </vt:variant>
      <vt:variant>
        <vt:i4>1265</vt:i4>
      </vt:variant>
      <vt:variant>
        <vt:i4>0</vt:i4>
      </vt:variant>
      <vt:variant>
        <vt:i4>5</vt:i4>
      </vt:variant>
      <vt:variant>
        <vt:lpwstr/>
      </vt:variant>
      <vt:variant>
        <vt:lpwstr>_Toc170315115</vt:lpwstr>
      </vt:variant>
      <vt:variant>
        <vt:i4>1507377</vt:i4>
      </vt:variant>
      <vt:variant>
        <vt:i4>1259</vt:i4>
      </vt:variant>
      <vt:variant>
        <vt:i4>0</vt:i4>
      </vt:variant>
      <vt:variant>
        <vt:i4>5</vt:i4>
      </vt:variant>
      <vt:variant>
        <vt:lpwstr/>
      </vt:variant>
      <vt:variant>
        <vt:lpwstr>_Toc170315114</vt:lpwstr>
      </vt:variant>
      <vt:variant>
        <vt:i4>1507377</vt:i4>
      </vt:variant>
      <vt:variant>
        <vt:i4>1253</vt:i4>
      </vt:variant>
      <vt:variant>
        <vt:i4>0</vt:i4>
      </vt:variant>
      <vt:variant>
        <vt:i4>5</vt:i4>
      </vt:variant>
      <vt:variant>
        <vt:lpwstr/>
      </vt:variant>
      <vt:variant>
        <vt:lpwstr>_Toc170315113</vt:lpwstr>
      </vt:variant>
      <vt:variant>
        <vt:i4>1507377</vt:i4>
      </vt:variant>
      <vt:variant>
        <vt:i4>1247</vt:i4>
      </vt:variant>
      <vt:variant>
        <vt:i4>0</vt:i4>
      </vt:variant>
      <vt:variant>
        <vt:i4>5</vt:i4>
      </vt:variant>
      <vt:variant>
        <vt:lpwstr/>
      </vt:variant>
      <vt:variant>
        <vt:lpwstr>_Toc170315112</vt:lpwstr>
      </vt:variant>
      <vt:variant>
        <vt:i4>1507377</vt:i4>
      </vt:variant>
      <vt:variant>
        <vt:i4>1241</vt:i4>
      </vt:variant>
      <vt:variant>
        <vt:i4>0</vt:i4>
      </vt:variant>
      <vt:variant>
        <vt:i4>5</vt:i4>
      </vt:variant>
      <vt:variant>
        <vt:lpwstr/>
      </vt:variant>
      <vt:variant>
        <vt:lpwstr>_Toc170315111</vt:lpwstr>
      </vt:variant>
      <vt:variant>
        <vt:i4>1507377</vt:i4>
      </vt:variant>
      <vt:variant>
        <vt:i4>1235</vt:i4>
      </vt:variant>
      <vt:variant>
        <vt:i4>0</vt:i4>
      </vt:variant>
      <vt:variant>
        <vt:i4>5</vt:i4>
      </vt:variant>
      <vt:variant>
        <vt:lpwstr/>
      </vt:variant>
      <vt:variant>
        <vt:lpwstr>_Toc170315110</vt:lpwstr>
      </vt:variant>
      <vt:variant>
        <vt:i4>1441841</vt:i4>
      </vt:variant>
      <vt:variant>
        <vt:i4>1229</vt:i4>
      </vt:variant>
      <vt:variant>
        <vt:i4>0</vt:i4>
      </vt:variant>
      <vt:variant>
        <vt:i4>5</vt:i4>
      </vt:variant>
      <vt:variant>
        <vt:lpwstr/>
      </vt:variant>
      <vt:variant>
        <vt:lpwstr>_Toc170315109</vt:lpwstr>
      </vt:variant>
      <vt:variant>
        <vt:i4>1441841</vt:i4>
      </vt:variant>
      <vt:variant>
        <vt:i4>1223</vt:i4>
      </vt:variant>
      <vt:variant>
        <vt:i4>0</vt:i4>
      </vt:variant>
      <vt:variant>
        <vt:i4>5</vt:i4>
      </vt:variant>
      <vt:variant>
        <vt:lpwstr/>
      </vt:variant>
      <vt:variant>
        <vt:lpwstr>_Toc170315108</vt:lpwstr>
      </vt:variant>
      <vt:variant>
        <vt:i4>1441841</vt:i4>
      </vt:variant>
      <vt:variant>
        <vt:i4>1217</vt:i4>
      </vt:variant>
      <vt:variant>
        <vt:i4>0</vt:i4>
      </vt:variant>
      <vt:variant>
        <vt:i4>5</vt:i4>
      </vt:variant>
      <vt:variant>
        <vt:lpwstr/>
      </vt:variant>
      <vt:variant>
        <vt:lpwstr>_Toc170315107</vt:lpwstr>
      </vt:variant>
      <vt:variant>
        <vt:i4>1441841</vt:i4>
      </vt:variant>
      <vt:variant>
        <vt:i4>1211</vt:i4>
      </vt:variant>
      <vt:variant>
        <vt:i4>0</vt:i4>
      </vt:variant>
      <vt:variant>
        <vt:i4>5</vt:i4>
      </vt:variant>
      <vt:variant>
        <vt:lpwstr/>
      </vt:variant>
      <vt:variant>
        <vt:lpwstr>_Toc170315106</vt:lpwstr>
      </vt:variant>
      <vt:variant>
        <vt:i4>1441841</vt:i4>
      </vt:variant>
      <vt:variant>
        <vt:i4>1205</vt:i4>
      </vt:variant>
      <vt:variant>
        <vt:i4>0</vt:i4>
      </vt:variant>
      <vt:variant>
        <vt:i4>5</vt:i4>
      </vt:variant>
      <vt:variant>
        <vt:lpwstr/>
      </vt:variant>
      <vt:variant>
        <vt:lpwstr>_Toc170315105</vt:lpwstr>
      </vt:variant>
      <vt:variant>
        <vt:i4>1441841</vt:i4>
      </vt:variant>
      <vt:variant>
        <vt:i4>1199</vt:i4>
      </vt:variant>
      <vt:variant>
        <vt:i4>0</vt:i4>
      </vt:variant>
      <vt:variant>
        <vt:i4>5</vt:i4>
      </vt:variant>
      <vt:variant>
        <vt:lpwstr/>
      </vt:variant>
      <vt:variant>
        <vt:lpwstr>_Toc170315104</vt:lpwstr>
      </vt:variant>
      <vt:variant>
        <vt:i4>1441841</vt:i4>
      </vt:variant>
      <vt:variant>
        <vt:i4>1193</vt:i4>
      </vt:variant>
      <vt:variant>
        <vt:i4>0</vt:i4>
      </vt:variant>
      <vt:variant>
        <vt:i4>5</vt:i4>
      </vt:variant>
      <vt:variant>
        <vt:lpwstr/>
      </vt:variant>
      <vt:variant>
        <vt:lpwstr>_Toc170315103</vt:lpwstr>
      </vt:variant>
      <vt:variant>
        <vt:i4>1441841</vt:i4>
      </vt:variant>
      <vt:variant>
        <vt:i4>1187</vt:i4>
      </vt:variant>
      <vt:variant>
        <vt:i4>0</vt:i4>
      </vt:variant>
      <vt:variant>
        <vt:i4>5</vt:i4>
      </vt:variant>
      <vt:variant>
        <vt:lpwstr/>
      </vt:variant>
      <vt:variant>
        <vt:lpwstr>_Toc170315102</vt:lpwstr>
      </vt:variant>
      <vt:variant>
        <vt:i4>1441841</vt:i4>
      </vt:variant>
      <vt:variant>
        <vt:i4>1181</vt:i4>
      </vt:variant>
      <vt:variant>
        <vt:i4>0</vt:i4>
      </vt:variant>
      <vt:variant>
        <vt:i4>5</vt:i4>
      </vt:variant>
      <vt:variant>
        <vt:lpwstr/>
      </vt:variant>
      <vt:variant>
        <vt:lpwstr>_Toc170315101</vt:lpwstr>
      </vt:variant>
      <vt:variant>
        <vt:i4>1441841</vt:i4>
      </vt:variant>
      <vt:variant>
        <vt:i4>1175</vt:i4>
      </vt:variant>
      <vt:variant>
        <vt:i4>0</vt:i4>
      </vt:variant>
      <vt:variant>
        <vt:i4>5</vt:i4>
      </vt:variant>
      <vt:variant>
        <vt:lpwstr/>
      </vt:variant>
      <vt:variant>
        <vt:lpwstr>_Toc170315100</vt:lpwstr>
      </vt:variant>
      <vt:variant>
        <vt:i4>2031664</vt:i4>
      </vt:variant>
      <vt:variant>
        <vt:i4>1169</vt:i4>
      </vt:variant>
      <vt:variant>
        <vt:i4>0</vt:i4>
      </vt:variant>
      <vt:variant>
        <vt:i4>5</vt:i4>
      </vt:variant>
      <vt:variant>
        <vt:lpwstr/>
      </vt:variant>
      <vt:variant>
        <vt:lpwstr>_Toc170315099</vt:lpwstr>
      </vt:variant>
      <vt:variant>
        <vt:i4>2031664</vt:i4>
      </vt:variant>
      <vt:variant>
        <vt:i4>1163</vt:i4>
      </vt:variant>
      <vt:variant>
        <vt:i4>0</vt:i4>
      </vt:variant>
      <vt:variant>
        <vt:i4>5</vt:i4>
      </vt:variant>
      <vt:variant>
        <vt:lpwstr/>
      </vt:variant>
      <vt:variant>
        <vt:lpwstr>_Toc170315098</vt:lpwstr>
      </vt:variant>
      <vt:variant>
        <vt:i4>2031664</vt:i4>
      </vt:variant>
      <vt:variant>
        <vt:i4>1157</vt:i4>
      </vt:variant>
      <vt:variant>
        <vt:i4>0</vt:i4>
      </vt:variant>
      <vt:variant>
        <vt:i4>5</vt:i4>
      </vt:variant>
      <vt:variant>
        <vt:lpwstr/>
      </vt:variant>
      <vt:variant>
        <vt:lpwstr>_Toc170315097</vt:lpwstr>
      </vt:variant>
      <vt:variant>
        <vt:i4>2031664</vt:i4>
      </vt:variant>
      <vt:variant>
        <vt:i4>1151</vt:i4>
      </vt:variant>
      <vt:variant>
        <vt:i4>0</vt:i4>
      </vt:variant>
      <vt:variant>
        <vt:i4>5</vt:i4>
      </vt:variant>
      <vt:variant>
        <vt:lpwstr/>
      </vt:variant>
      <vt:variant>
        <vt:lpwstr>_Toc170315096</vt:lpwstr>
      </vt:variant>
      <vt:variant>
        <vt:i4>2031664</vt:i4>
      </vt:variant>
      <vt:variant>
        <vt:i4>1145</vt:i4>
      </vt:variant>
      <vt:variant>
        <vt:i4>0</vt:i4>
      </vt:variant>
      <vt:variant>
        <vt:i4>5</vt:i4>
      </vt:variant>
      <vt:variant>
        <vt:lpwstr/>
      </vt:variant>
      <vt:variant>
        <vt:lpwstr>_Toc170315095</vt:lpwstr>
      </vt:variant>
      <vt:variant>
        <vt:i4>2031664</vt:i4>
      </vt:variant>
      <vt:variant>
        <vt:i4>1139</vt:i4>
      </vt:variant>
      <vt:variant>
        <vt:i4>0</vt:i4>
      </vt:variant>
      <vt:variant>
        <vt:i4>5</vt:i4>
      </vt:variant>
      <vt:variant>
        <vt:lpwstr/>
      </vt:variant>
      <vt:variant>
        <vt:lpwstr>_Toc170315094</vt:lpwstr>
      </vt:variant>
      <vt:variant>
        <vt:i4>2031664</vt:i4>
      </vt:variant>
      <vt:variant>
        <vt:i4>1133</vt:i4>
      </vt:variant>
      <vt:variant>
        <vt:i4>0</vt:i4>
      </vt:variant>
      <vt:variant>
        <vt:i4>5</vt:i4>
      </vt:variant>
      <vt:variant>
        <vt:lpwstr/>
      </vt:variant>
      <vt:variant>
        <vt:lpwstr>_Toc170315093</vt:lpwstr>
      </vt:variant>
      <vt:variant>
        <vt:i4>2031664</vt:i4>
      </vt:variant>
      <vt:variant>
        <vt:i4>1127</vt:i4>
      </vt:variant>
      <vt:variant>
        <vt:i4>0</vt:i4>
      </vt:variant>
      <vt:variant>
        <vt:i4>5</vt:i4>
      </vt:variant>
      <vt:variant>
        <vt:lpwstr/>
      </vt:variant>
      <vt:variant>
        <vt:lpwstr>_Toc170315092</vt:lpwstr>
      </vt:variant>
      <vt:variant>
        <vt:i4>2031664</vt:i4>
      </vt:variant>
      <vt:variant>
        <vt:i4>1121</vt:i4>
      </vt:variant>
      <vt:variant>
        <vt:i4>0</vt:i4>
      </vt:variant>
      <vt:variant>
        <vt:i4>5</vt:i4>
      </vt:variant>
      <vt:variant>
        <vt:lpwstr/>
      </vt:variant>
      <vt:variant>
        <vt:lpwstr>_Toc170315091</vt:lpwstr>
      </vt:variant>
      <vt:variant>
        <vt:i4>2031664</vt:i4>
      </vt:variant>
      <vt:variant>
        <vt:i4>1115</vt:i4>
      </vt:variant>
      <vt:variant>
        <vt:i4>0</vt:i4>
      </vt:variant>
      <vt:variant>
        <vt:i4>5</vt:i4>
      </vt:variant>
      <vt:variant>
        <vt:lpwstr/>
      </vt:variant>
      <vt:variant>
        <vt:lpwstr>_Toc170315090</vt:lpwstr>
      </vt:variant>
      <vt:variant>
        <vt:i4>1966128</vt:i4>
      </vt:variant>
      <vt:variant>
        <vt:i4>1109</vt:i4>
      </vt:variant>
      <vt:variant>
        <vt:i4>0</vt:i4>
      </vt:variant>
      <vt:variant>
        <vt:i4>5</vt:i4>
      </vt:variant>
      <vt:variant>
        <vt:lpwstr/>
      </vt:variant>
      <vt:variant>
        <vt:lpwstr>_Toc170315089</vt:lpwstr>
      </vt:variant>
      <vt:variant>
        <vt:i4>1966128</vt:i4>
      </vt:variant>
      <vt:variant>
        <vt:i4>1103</vt:i4>
      </vt:variant>
      <vt:variant>
        <vt:i4>0</vt:i4>
      </vt:variant>
      <vt:variant>
        <vt:i4>5</vt:i4>
      </vt:variant>
      <vt:variant>
        <vt:lpwstr/>
      </vt:variant>
      <vt:variant>
        <vt:lpwstr>_Toc170315088</vt:lpwstr>
      </vt:variant>
      <vt:variant>
        <vt:i4>1966128</vt:i4>
      </vt:variant>
      <vt:variant>
        <vt:i4>1097</vt:i4>
      </vt:variant>
      <vt:variant>
        <vt:i4>0</vt:i4>
      </vt:variant>
      <vt:variant>
        <vt:i4>5</vt:i4>
      </vt:variant>
      <vt:variant>
        <vt:lpwstr/>
      </vt:variant>
      <vt:variant>
        <vt:lpwstr>_Toc170315087</vt:lpwstr>
      </vt:variant>
      <vt:variant>
        <vt:i4>1966128</vt:i4>
      </vt:variant>
      <vt:variant>
        <vt:i4>1091</vt:i4>
      </vt:variant>
      <vt:variant>
        <vt:i4>0</vt:i4>
      </vt:variant>
      <vt:variant>
        <vt:i4>5</vt:i4>
      </vt:variant>
      <vt:variant>
        <vt:lpwstr/>
      </vt:variant>
      <vt:variant>
        <vt:lpwstr>_Toc170315086</vt:lpwstr>
      </vt:variant>
      <vt:variant>
        <vt:i4>1966128</vt:i4>
      </vt:variant>
      <vt:variant>
        <vt:i4>1085</vt:i4>
      </vt:variant>
      <vt:variant>
        <vt:i4>0</vt:i4>
      </vt:variant>
      <vt:variant>
        <vt:i4>5</vt:i4>
      </vt:variant>
      <vt:variant>
        <vt:lpwstr/>
      </vt:variant>
      <vt:variant>
        <vt:lpwstr>_Toc170315085</vt:lpwstr>
      </vt:variant>
      <vt:variant>
        <vt:i4>1966128</vt:i4>
      </vt:variant>
      <vt:variant>
        <vt:i4>1079</vt:i4>
      </vt:variant>
      <vt:variant>
        <vt:i4>0</vt:i4>
      </vt:variant>
      <vt:variant>
        <vt:i4>5</vt:i4>
      </vt:variant>
      <vt:variant>
        <vt:lpwstr/>
      </vt:variant>
      <vt:variant>
        <vt:lpwstr>_Toc170315084</vt:lpwstr>
      </vt:variant>
      <vt:variant>
        <vt:i4>1966128</vt:i4>
      </vt:variant>
      <vt:variant>
        <vt:i4>1073</vt:i4>
      </vt:variant>
      <vt:variant>
        <vt:i4>0</vt:i4>
      </vt:variant>
      <vt:variant>
        <vt:i4>5</vt:i4>
      </vt:variant>
      <vt:variant>
        <vt:lpwstr/>
      </vt:variant>
      <vt:variant>
        <vt:lpwstr>_Toc170315083</vt:lpwstr>
      </vt:variant>
      <vt:variant>
        <vt:i4>1966128</vt:i4>
      </vt:variant>
      <vt:variant>
        <vt:i4>1067</vt:i4>
      </vt:variant>
      <vt:variant>
        <vt:i4>0</vt:i4>
      </vt:variant>
      <vt:variant>
        <vt:i4>5</vt:i4>
      </vt:variant>
      <vt:variant>
        <vt:lpwstr/>
      </vt:variant>
      <vt:variant>
        <vt:lpwstr>_Toc170315082</vt:lpwstr>
      </vt:variant>
      <vt:variant>
        <vt:i4>1966128</vt:i4>
      </vt:variant>
      <vt:variant>
        <vt:i4>1061</vt:i4>
      </vt:variant>
      <vt:variant>
        <vt:i4>0</vt:i4>
      </vt:variant>
      <vt:variant>
        <vt:i4>5</vt:i4>
      </vt:variant>
      <vt:variant>
        <vt:lpwstr/>
      </vt:variant>
      <vt:variant>
        <vt:lpwstr>_Toc170315081</vt:lpwstr>
      </vt:variant>
      <vt:variant>
        <vt:i4>1966128</vt:i4>
      </vt:variant>
      <vt:variant>
        <vt:i4>1055</vt:i4>
      </vt:variant>
      <vt:variant>
        <vt:i4>0</vt:i4>
      </vt:variant>
      <vt:variant>
        <vt:i4>5</vt:i4>
      </vt:variant>
      <vt:variant>
        <vt:lpwstr/>
      </vt:variant>
      <vt:variant>
        <vt:lpwstr>_Toc170315080</vt:lpwstr>
      </vt:variant>
      <vt:variant>
        <vt:i4>1114160</vt:i4>
      </vt:variant>
      <vt:variant>
        <vt:i4>1049</vt:i4>
      </vt:variant>
      <vt:variant>
        <vt:i4>0</vt:i4>
      </vt:variant>
      <vt:variant>
        <vt:i4>5</vt:i4>
      </vt:variant>
      <vt:variant>
        <vt:lpwstr/>
      </vt:variant>
      <vt:variant>
        <vt:lpwstr>_Toc170315079</vt:lpwstr>
      </vt:variant>
      <vt:variant>
        <vt:i4>1114160</vt:i4>
      </vt:variant>
      <vt:variant>
        <vt:i4>1043</vt:i4>
      </vt:variant>
      <vt:variant>
        <vt:i4>0</vt:i4>
      </vt:variant>
      <vt:variant>
        <vt:i4>5</vt:i4>
      </vt:variant>
      <vt:variant>
        <vt:lpwstr/>
      </vt:variant>
      <vt:variant>
        <vt:lpwstr>_Toc170315078</vt:lpwstr>
      </vt:variant>
      <vt:variant>
        <vt:i4>1114160</vt:i4>
      </vt:variant>
      <vt:variant>
        <vt:i4>1037</vt:i4>
      </vt:variant>
      <vt:variant>
        <vt:i4>0</vt:i4>
      </vt:variant>
      <vt:variant>
        <vt:i4>5</vt:i4>
      </vt:variant>
      <vt:variant>
        <vt:lpwstr/>
      </vt:variant>
      <vt:variant>
        <vt:lpwstr>_Toc170315077</vt:lpwstr>
      </vt:variant>
      <vt:variant>
        <vt:i4>1114160</vt:i4>
      </vt:variant>
      <vt:variant>
        <vt:i4>1031</vt:i4>
      </vt:variant>
      <vt:variant>
        <vt:i4>0</vt:i4>
      </vt:variant>
      <vt:variant>
        <vt:i4>5</vt:i4>
      </vt:variant>
      <vt:variant>
        <vt:lpwstr/>
      </vt:variant>
      <vt:variant>
        <vt:lpwstr>_Toc170315076</vt:lpwstr>
      </vt:variant>
      <vt:variant>
        <vt:i4>1114160</vt:i4>
      </vt:variant>
      <vt:variant>
        <vt:i4>1025</vt:i4>
      </vt:variant>
      <vt:variant>
        <vt:i4>0</vt:i4>
      </vt:variant>
      <vt:variant>
        <vt:i4>5</vt:i4>
      </vt:variant>
      <vt:variant>
        <vt:lpwstr/>
      </vt:variant>
      <vt:variant>
        <vt:lpwstr>_Toc170315075</vt:lpwstr>
      </vt:variant>
      <vt:variant>
        <vt:i4>1114160</vt:i4>
      </vt:variant>
      <vt:variant>
        <vt:i4>1019</vt:i4>
      </vt:variant>
      <vt:variant>
        <vt:i4>0</vt:i4>
      </vt:variant>
      <vt:variant>
        <vt:i4>5</vt:i4>
      </vt:variant>
      <vt:variant>
        <vt:lpwstr/>
      </vt:variant>
      <vt:variant>
        <vt:lpwstr>_Toc170315074</vt:lpwstr>
      </vt:variant>
      <vt:variant>
        <vt:i4>1114160</vt:i4>
      </vt:variant>
      <vt:variant>
        <vt:i4>1013</vt:i4>
      </vt:variant>
      <vt:variant>
        <vt:i4>0</vt:i4>
      </vt:variant>
      <vt:variant>
        <vt:i4>5</vt:i4>
      </vt:variant>
      <vt:variant>
        <vt:lpwstr/>
      </vt:variant>
      <vt:variant>
        <vt:lpwstr>_Toc170315073</vt:lpwstr>
      </vt:variant>
      <vt:variant>
        <vt:i4>1114160</vt:i4>
      </vt:variant>
      <vt:variant>
        <vt:i4>1007</vt:i4>
      </vt:variant>
      <vt:variant>
        <vt:i4>0</vt:i4>
      </vt:variant>
      <vt:variant>
        <vt:i4>5</vt:i4>
      </vt:variant>
      <vt:variant>
        <vt:lpwstr/>
      </vt:variant>
      <vt:variant>
        <vt:lpwstr>_Toc170315072</vt:lpwstr>
      </vt:variant>
      <vt:variant>
        <vt:i4>1114160</vt:i4>
      </vt:variant>
      <vt:variant>
        <vt:i4>1001</vt:i4>
      </vt:variant>
      <vt:variant>
        <vt:i4>0</vt:i4>
      </vt:variant>
      <vt:variant>
        <vt:i4>5</vt:i4>
      </vt:variant>
      <vt:variant>
        <vt:lpwstr/>
      </vt:variant>
      <vt:variant>
        <vt:lpwstr>_Toc170315071</vt:lpwstr>
      </vt:variant>
      <vt:variant>
        <vt:i4>1114160</vt:i4>
      </vt:variant>
      <vt:variant>
        <vt:i4>995</vt:i4>
      </vt:variant>
      <vt:variant>
        <vt:i4>0</vt:i4>
      </vt:variant>
      <vt:variant>
        <vt:i4>5</vt:i4>
      </vt:variant>
      <vt:variant>
        <vt:lpwstr/>
      </vt:variant>
      <vt:variant>
        <vt:lpwstr>_Toc170315070</vt:lpwstr>
      </vt:variant>
      <vt:variant>
        <vt:i4>1048624</vt:i4>
      </vt:variant>
      <vt:variant>
        <vt:i4>989</vt:i4>
      </vt:variant>
      <vt:variant>
        <vt:i4>0</vt:i4>
      </vt:variant>
      <vt:variant>
        <vt:i4>5</vt:i4>
      </vt:variant>
      <vt:variant>
        <vt:lpwstr/>
      </vt:variant>
      <vt:variant>
        <vt:lpwstr>_Toc170315069</vt:lpwstr>
      </vt:variant>
      <vt:variant>
        <vt:i4>1048624</vt:i4>
      </vt:variant>
      <vt:variant>
        <vt:i4>983</vt:i4>
      </vt:variant>
      <vt:variant>
        <vt:i4>0</vt:i4>
      </vt:variant>
      <vt:variant>
        <vt:i4>5</vt:i4>
      </vt:variant>
      <vt:variant>
        <vt:lpwstr/>
      </vt:variant>
      <vt:variant>
        <vt:lpwstr>_Toc170315068</vt:lpwstr>
      </vt:variant>
      <vt:variant>
        <vt:i4>1048624</vt:i4>
      </vt:variant>
      <vt:variant>
        <vt:i4>977</vt:i4>
      </vt:variant>
      <vt:variant>
        <vt:i4>0</vt:i4>
      </vt:variant>
      <vt:variant>
        <vt:i4>5</vt:i4>
      </vt:variant>
      <vt:variant>
        <vt:lpwstr/>
      </vt:variant>
      <vt:variant>
        <vt:lpwstr>_Toc170315067</vt:lpwstr>
      </vt:variant>
      <vt:variant>
        <vt:i4>1048624</vt:i4>
      </vt:variant>
      <vt:variant>
        <vt:i4>971</vt:i4>
      </vt:variant>
      <vt:variant>
        <vt:i4>0</vt:i4>
      </vt:variant>
      <vt:variant>
        <vt:i4>5</vt:i4>
      </vt:variant>
      <vt:variant>
        <vt:lpwstr/>
      </vt:variant>
      <vt:variant>
        <vt:lpwstr>_Toc170315066</vt:lpwstr>
      </vt:variant>
      <vt:variant>
        <vt:i4>1048624</vt:i4>
      </vt:variant>
      <vt:variant>
        <vt:i4>965</vt:i4>
      </vt:variant>
      <vt:variant>
        <vt:i4>0</vt:i4>
      </vt:variant>
      <vt:variant>
        <vt:i4>5</vt:i4>
      </vt:variant>
      <vt:variant>
        <vt:lpwstr/>
      </vt:variant>
      <vt:variant>
        <vt:lpwstr>_Toc170315065</vt:lpwstr>
      </vt:variant>
      <vt:variant>
        <vt:i4>1048624</vt:i4>
      </vt:variant>
      <vt:variant>
        <vt:i4>959</vt:i4>
      </vt:variant>
      <vt:variant>
        <vt:i4>0</vt:i4>
      </vt:variant>
      <vt:variant>
        <vt:i4>5</vt:i4>
      </vt:variant>
      <vt:variant>
        <vt:lpwstr/>
      </vt:variant>
      <vt:variant>
        <vt:lpwstr>_Toc170315064</vt:lpwstr>
      </vt:variant>
      <vt:variant>
        <vt:i4>1048624</vt:i4>
      </vt:variant>
      <vt:variant>
        <vt:i4>953</vt:i4>
      </vt:variant>
      <vt:variant>
        <vt:i4>0</vt:i4>
      </vt:variant>
      <vt:variant>
        <vt:i4>5</vt:i4>
      </vt:variant>
      <vt:variant>
        <vt:lpwstr/>
      </vt:variant>
      <vt:variant>
        <vt:lpwstr>_Toc170315063</vt:lpwstr>
      </vt:variant>
      <vt:variant>
        <vt:i4>1048624</vt:i4>
      </vt:variant>
      <vt:variant>
        <vt:i4>947</vt:i4>
      </vt:variant>
      <vt:variant>
        <vt:i4>0</vt:i4>
      </vt:variant>
      <vt:variant>
        <vt:i4>5</vt:i4>
      </vt:variant>
      <vt:variant>
        <vt:lpwstr/>
      </vt:variant>
      <vt:variant>
        <vt:lpwstr>_Toc170315062</vt:lpwstr>
      </vt:variant>
      <vt:variant>
        <vt:i4>1048624</vt:i4>
      </vt:variant>
      <vt:variant>
        <vt:i4>941</vt:i4>
      </vt:variant>
      <vt:variant>
        <vt:i4>0</vt:i4>
      </vt:variant>
      <vt:variant>
        <vt:i4>5</vt:i4>
      </vt:variant>
      <vt:variant>
        <vt:lpwstr/>
      </vt:variant>
      <vt:variant>
        <vt:lpwstr>_Toc170315061</vt:lpwstr>
      </vt:variant>
      <vt:variant>
        <vt:i4>1048624</vt:i4>
      </vt:variant>
      <vt:variant>
        <vt:i4>935</vt:i4>
      </vt:variant>
      <vt:variant>
        <vt:i4>0</vt:i4>
      </vt:variant>
      <vt:variant>
        <vt:i4>5</vt:i4>
      </vt:variant>
      <vt:variant>
        <vt:lpwstr/>
      </vt:variant>
      <vt:variant>
        <vt:lpwstr>_Toc170315060</vt:lpwstr>
      </vt:variant>
      <vt:variant>
        <vt:i4>1245232</vt:i4>
      </vt:variant>
      <vt:variant>
        <vt:i4>929</vt:i4>
      </vt:variant>
      <vt:variant>
        <vt:i4>0</vt:i4>
      </vt:variant>
      <vt:variant>
        <vt:i4>5</vt:i4>
      </vt:variant>
      <vt:variant>
        <vt:lpwstr/>
      </vt:variant>
      <vt:variant>
        <vt:lpwstr>_Toc170315059</vt:lpwstr>
      </vt:variant>
      <vt:variant>
        <vt:i4>1245232</vt:i4>
      </vt:variant>
      <vt:variant>
        <vt:i4>923</vt:i4>
      </vt:variant>
      <vt:variant>
        <vt:i4>0</vt:i4>
      </vt:variant>
      <vt:variant>
        <vt:i4>5</vt:i4>
      </vt:variant>
      <vt:variant>
        <vt:lpwstr/>
      </vt:variant>
      <vt:variant>
        <vt:lpwstr>_Toc170315058</vt:lpwstr>
      </vt:variant>
      <vt:variant>
        <vt:i4>1245232</vt:i4>
      </vt:variant>
      <vt:variant>
        <vt:i4>917</vt:i4>
      </vt:variant>
      <vt:variant>
        <vt:i4>0</vt:i4>
      </vt:variant>
      <vt:variant>
        <vt:i4>5</vt:i4>
      </vt:variant>
      <vt:variant>
        <vt:lpwstr/>
      </vt:variant>
      <vt:variant>
        <vt:lpwstr>_Toc170315057</vt:lpwstr>
      </vt:variant>
      <vt:variant>
        <vt:i4>1245232</vt:i4>
      </vt:variant>
      <vt:variant>
        <vt:i4>911</vt:i4>
      </vt:variant>
      <vt:variant>
        <vt:i4>0</vt:i4>
      </vt:variant>
      <vt:variant>
        <vt:i4>5</vt:i4>
      </vt:variant>
      <vt:variant>
        <vt:lpwstr/>
      </vt:variant>
      <vt:variant>
        <vt:lpwstr>_Toc170315056</vt:lpwstr>
      </vt:variant>
      <vt:variant>
        <vt:i4>1245232</vt:i4>
      </vt:variant>
      <vt:variant>
        <vt:i4>905</vt:i4>
      </vt:variant>
      <vt:variant>
        <vt:i4>0</vt:i4>
      </vt:variant>
      <vt:variant>
        <vt:i4>5</vt:i4>
      </vt:variant>
      <vt:variant>
        <vt:lpwstr/>
      </vt:variant>
      <vt:variant>
        <vt:lpwstr>_Toc170315055</vt:lpwstr>
      </vt:variant>
      <vt:variant>
        <vt:i4>1245232</vt:i4>
      </vt:variant>
      <vt:variant>
        <vt:i4>899</vt:i4>
      </vt:variant>
      <vt:variant>
        <vt:i4>0</vt:i4>
      </vt:variant>
      <vt:variant>
        <vt:i4>5</vt:i4>
      </vt:variant>
      <vt:variant>
        <vt:lpwstr/>
      </vt:variant>
      <vt:variant>
        <vt:lpwstr>_Toc170315054</vt:lpwstr>
      </vt:variant>
      <vt:variant>
        <vt:i4>1245232</vt:i4>
      </vt:variant>
      <vt:variant>
        <vt:i4>893</vt:i4>
      </vt:variant>
      <vt:variant>
        <vt:i4>0</vt:i4>
      </vt:variant>
      <vt:variant>
        <vt:i4>5</vt:i4>
      </vt:variant>
      <vt:variant>
        <vt:lpwstr/>
      </vt:variant>
      <vt:variant>
        <vt:lpwstr>_Toc170315053</vt:lpwstr>
      </vt:variant>
      <vt:variant>
        <vt:i4>1245232</vt:i4>
      </vt:variant>
      <vt:variant>
        <vt:i4>887</vt:i4>
      </vt:variant>
      <vt:variant>
        <vt:i4>0</vt:i4>
      </vt:variant>
      <vt:variant>
        <vt:i4>5</vt:i4>
      </vt:variant>
      <vt:variant>
        <vt:lpwstr/>
      </vt:variant>
      <vt:variant>
        <vt:lpwstr>_Toc170315052</vt:lpwstr>
      </vt:variant>
      <vt:variant>
        <vt:i4>1245232</vt:i4>
      </vt:variant>
      <vt:variant>
        <vt:i4>881</vt:i4>
      </vt:variant>
      <vt:variant>
        <vt:i4>0</vt:i4>
      </vt:variant>
      <vt:variant>
        <vt:i4>5</vt:i4>
      </vt:variant>
      <vt:variant>
        <vt:lpwstr/>
      </vt:variant>
      <vt:variant>
        <vt:lpwstr>_Toc170315051</vt:lpwstr>
      </vt:variant>
      <vt:variant>
        <vt:i4>1245232</vt:i4>
      </vt:variant>
      <vt:variant>
        <vt:i4>875</vt:i4>
      </vt:variant>
      <vt:variant>
        <vt:i4>0</vt:i4>
      </vt:variant>
      <vt:variant>
        <vt:i4>5</vt:i4>
      </vt:variant>
      <vt:variant>
        <vt:lpwstr/>
      </vt:variant>
      <vt:variant>
        <vt:lpwstr>_Toc170315050</vt:lpwstr>
      </vt:variant>
      <vt:variant>
        <vt:i4>1179696</vt:i4>
      </vt:variant>
      <vt:variant>
        <vt:i4>869</vt:i4>
      </vt:variant>
      <vt:variant>
        <vt:i4>0</vt:i4>
      </vt:variant>
      <vt:variant>
        <vt:i4>5</vt:i4>
      </vt:variant>
      <vt:variant>
        <vt:lpwstr/>
      </vt:variant>
      <vt:variant>
        <vt:lpwstr>_Toc170315049</vt:lpwstr>
      </vt:variant>
      <vt:variant>
        <vt:i4>1179696</vt:i4>
      </vt:variant>
      <vt:variant>
        <vt:i4>863</vt:i4>
      </vt:variant>
      <vt:variant>
        <vt:i4>0</vt:i4>
      </vt:variant>
      <vt:variant>
        <vt:i4>5</vt:i4>
      </vt:variant>
      <vt:variant>
        <vt:lpwstr/>
      </vt:variant>
      <vt:variant>
        <vt:lpwstr>_Toc170315048</vt:lpwstr>
      </vt:variant>
      <vt:variant>
        <vt:i4>1179696</vt:i4>
      </vt:variant>
      <vt:variant>
        <vt:i4>857</vt:i4>
      </vt:variant>
      <vt:variant>
        <vt:i4>0</vt:i4>
      </vt:variant>
      <vt:variant>
        <vt:i4>5</vt:i4>
      </vt:variant>
      <vt:variant>
        <vt:lpwstr/>
      </vt:variant>
      <vt:variant>
        <vt:lpwstr>_Toc170315047</vt:lpwstr>
      </vt:variant>
      <vt:variant>
        <vt:i4>1179696</vt:i4>
      </vt:variant>
      <vt:variant>
        <vt:i4>851</vt:i4>
      </vt:variant>
      <vt:variant>
        <vt:i4>0</vt:i4>
      </vt:variant>
      <vt:variant>
        <vt:i4>5</vt:i4>
      </vt:variant>
      <vt:variant>
        <vt:lpwstr/>
      </vt:variant>
      <vt:variant>
        <vt:lpwstr>_Toc170315046</vt:lpwstr>
      </vt:variant>
      <vt:variant>
        <vt:i4>1179696</vt:i4>
      </vt:variant>
      <vt:variant>
        <vt:i4>845</vt:i4>
      </vt:variant>
      <vt:variant>
        <vt:i4>0</vt:i4>
      </vt:variant>
      <vt:variant>
        <vt:i4>5</vt:i4>
      </vt:variant>
      <vt:variant>
        <vt:lpwstr/>
      </vt:variant>
      <vt:variant>
        <vt:lpwstr>_Toc170315045</vt:lpwstr>
      </vt:variant>
      <vt:variant>
        <vt:i4>1179696</vt:i4>
      </vt:variant>
      <vt:variant>
        <vt:i4>839</vt:i4>
      </vt:variant>
      <vt:variant>
        <vt:i4>0</vt:i4>
      </vt:variant>
      <vt:variant>
        <vt:i4>5</vt:i4>
      </vt:variant>
      <vt:variant>
        <vt:lpwstr/>
      </vt:variant>
      <vt:variant>
        <vt:lpwstr>_Toc170315044</vt:lpwstr>
      </vt:variant>
      <vt:variant>
        <vt:i4>1179696</vt:i4>
      </vt:variant>
      <vt:variant>
        <vt:i4>833</vt:i4>
      </vt:variant>
      <vt:variant>
        <vt:i4>0</vt:i4>
      </vt:variant>
      <vt:variant>
        <vt:i4>5</vt:i4>
      </vt:variant>
      <vt:variant>
        <vt:lpwstr/>
      </vt:variant>
      <vt:variant>
        <vt:lpwstr>_Toc170315043</vt:lpwstr>
      </vt:variant>
      <vt:variant>
        <vt:i4>1179696</vt:i4>
      </vt:variant>
      <vt:variant>
        <vt:i4>827</vt:i4>
      </vt:variant>
      <vt:variant>
        <vt:i4>0</vt:i4>
      </vt:variant>
      <vt:variant>
        <vt:i4>5</vt:i4>
      </vt:variant>
      <vt:variant>
        <vt:lpwstr/>
      </vt:variant>
      <vt:variant>
        <vt:lpwstr>_Toc170315042</vt:lpwstr>
      </vt:variant>
      <vt:variant>
        <vt:i4>1179696</vt:i4>
      </vt:variant>
      <vt:variant>
        <vt:i4>821</vt:i4>
      </vt:variant>
      <vt:variant>
        <vt:i4>0</vt:i4>
      </vt:variant>
      <vt:variant>
        <vt:i4>5</vt:i4>
      </vt:variant>
      <vt:variant>
        <vt:lpwstr/>
      </vt:variant>
      <vt:variant>
        <vt:lpwstr>_Toc170315041</vt:lpwstr>
      </vt:variant>
      <vt:variant>
        <vt:i4>1179696</vt:i4>
      </vt:variant>
      <vt:variant>
        <vt:i4>815</vt:i4>
      </vt:variant>
      <vt:variant>
        <vt:i4>0</vt:i4>
      </vt:variant>
      <vt:variant>
        <vt:i4>5</vt:i4>
      </vt:variant>
      <vt:variant>
        <vt:lpwstr/>
      </vt:variant>
      <vt:variant>
        <vt:lpwstr>_Toc170315040</vt:lpwstr>
      </vt:variant>
      <vt:variant>
        <vt:i4>1376304</vt:i4>
      </vt:variant>
      <vt:variant>
        <vt:i4>809</vt:i4>
      </vt:variant>
      <vt:variant>
        <vt:i4>0</vt:i4>
      </vt:variant>
      <vt:variant>
        <vt:i4>5</vt:i4>
      </vt:variant>
      <vt:variant>
        <vt:lpwstr/>
      </vt:variant>
      <vt:variant>
        <vt:lpwstr>_Toc170315039</vt:lpwstr>
      </vt:variant>
      <vt:variant>
        <vt:i4>1376304</vt:i4>
      </vt:variant>
      <vt:variant>
        <vt:i4>803</vt:i4>
      </vt:variant>
      <vt:variant>
        <vt:i4>0</vt:i4>
      </vt:variant>
      <vt:variant>
        <vt:i4>5</vt:i4>
      </vt:variant>
      <vt:variant>
        <vt:lpwstr/>
      </vt:variant>
      <vt:variant>
        <vt:lpwstr>_Toc170315038</vt:lpwstr>
      </vt:variant>
      <vt:variant>
        <vt:i4>1376304</vt:i4>
      </vt:variant>
      <vt:variant>
        <vt:i4>797</vt:i4>
      </vt:variant>
      <vt:variant>
        <vt:i4>0</vt:i4>
      </vt:variant>
      <vt:variant>
        <vt:i4>5</vt:i4>
      </vt:variant>
      <vt:variant>
        <vt:lpwstr/>
      </vt:variant>
      <vt:variant>
        <vt:lpwstr>_Toc170315037</vt:lpwstr>
      </vt:variant>
      <vt:variant>
        <vt:i4>1376304</vt:i4>
      </vt:variant>
      <vt:variant>
        <vt:i4>791</vt:i4>
      </vt:variant>
      <vt:variant>
        <vt:i4>0</vt:i4>
      </vt:variant>
      <vt:variant>
        <vt:i4>5</vt:i4>
      </vt:variant>
      <vt:variant>
        <vt:lpwstr/>
      </vt:variant>
      <vt:variant>
        <vt:lpwstr>_Toc170315036</vt:lpwstr>
      </vt:variant>
      <vt:variant>
        <vt:i4>1376304</vt:i4>
      </vt:variant>
      <vt:variant>
        <vt:i4>785</vt:i4>
      </vt:variant>
      <vt:variant>
        <vt:i4>0</vt:i4>
      </vt:variant>
      <vt:variant>
        <vt:i4>5</vt:i4>
      </vt:variant>
      <vt:variant>
        <vt:lpwstr/>
      </vt:variant>
      <vt:variant>
        <vt:lpwstr>_Toc170315035</vt:lpwstr>
      </vt:variant>
      <vt:variant>
        <vt:i4>1376304</vt:i4>
      </vt:variant>
      <vt:variant>
        <vt:i4>779</vt:i4>
      </vt:variant>
      <vt:variant>
        <vt:i4>0</vt:i4>
      </vt:variant>
      <vt:variant>
        <vt:i4>5</vt:i4>
      </vt:variant>
      <vt:variant>
        <vt:lpwstr/>
      </vt:variant>
      <vt:variant>
        <vt:lpwstr>_Toc170315034</vt:lpwstr>
      </vt:variant>
      <vt:variant>
        <vt:i4>1376304</vt:i4>
      </vt:variant>
      <vt:variant>
        <vt:i4>773</vt:i4>
      </vt:variant>
      <vt:variant>
        <vt:i4>0</vt:i4>
      </vt:variant>
      <vt:variant>
        <vt:i4>5</vt:i4>
      </vt:variant>
      <vt:variant>
        <vt:lpwstr/>
      </vt:variant>
      <vt:variant>
        <vt:lpwstr>_Toc170315033</vt:lpwstr>
      </vt:variant>
      <vt:variant>
        <vt:i4>1376304</vt:i4>
      </vt:variant>
      <vt:variant>
        <vt:i4>764</vt:i4>
      </vt:variant>
      <vt:variant>
        <vt:i4>0</vt:i4>
      </vt:variant>
      <vt:variant>
        <vt:i4>5</vt:i4>
      </vt:variant>
      <vt:variant>
        <vt:lpwstr/>
      </vt:variant>
      <vt:variant>
        <vt:lpwstr>_Toc170315031</vt:lpwstr>
      </vt:variant>
      <vt:variant>
        <vt:i4>1376304</vt:i4>
      </vt:variant>
      <vt:variant>
        <vt:i4>758</vt:i4>
      </vt:variant>
      <vt:variant>
        <vt:i4>0</vt:i4>
      </vt:variant>
      <vt:variant>
        <vt:i4>5</vt:i4>
      </vt:variant>
      <vt:variant>
        <vt:lpwstr/>
      </vt:variant>
      <vt:variant>
        <vt:lpwstr>_Toc170315030</vt:lpwstr>
      </vt:variant>
      <vt:variant>
        <vt:i4>1310768</vt:i4>
      </vt:variant>
      <vt:variant>
        <vt:i4>752</vt:i4>
      </vt:variant>
      <vt:variant>
        <vt:i4>0</vt:i4>
      </vt:variant>
      <vt:variant>
        <vt:i4>5</vt:i4>
      </vt:variant>
      <vt:variant>
        <vt:lpwstr/>
      </vt:variant>
      <vt:variant>
        <vt:lpwstr>_Toc170315029</vt:lpwstr>
      </vt:variant>
      <vt:variant>
        <vt:i4>1310768</vt:i4>
      </vt:variant>
      <vt:variant>
        <vt:i4>746</vt:i4>
      </vt:variant>
      <vt:variant>
        <vt:i4>0</vt:i4>
      </vt:variant>
      <vt:variant>
        <vt:i4>5</vt:i4>
      </vt:variant>
      <vt:variant>
        <vt:lpwstr/>
      </vt:variant>
      <vt:variant>
        <vt:lpwstr>_Toc170315028</vt:lpwstr>
      </vt:variant>
      <vt:variant>
        <vt:i4>1310768</vt:i4>
      </vt:variant>
      <vt:variant>
        <vt:i4>740</vt:i4>
      </vt:variant>
      <vt:variant>
        <vt:i4>0</vt:i4>
      </vt:variant>
      <vt:variant>
        <vt:i4>5</vt:i4>
      </vt:variant>
      <vt:variant>
        <vt:lpwstr/>
      </vt:variant>
      <vt:variant>
        <vt:lpwstr>_Toc170315027</vt:lpwstr>
      </vt:variant>
      <vt:variant>
        <vt:i4>1310768</vt:i4>
      </vt:variant>
      <vt:variant>
        <vt:i4>734</vt:i4>
      </vt:variant>
      <vt:variant>
        <vt:i4>0</vt:i4>
      </vt:variant>
      <vt:variant>
        <vt:i4>5</vt:i4>
      </vt:variant>
      <vt:variant>
        <vt:lpwstr/>
      </vt:variant>
      <vt:variant>
        <vt:lpwstr>_Toc170315026</vt:lpwstr>
      </vt:variant>
      <vt:variant>
        <vt:i4>1310768</vt:i4>
      </vt:variant>
      <vt:variant>
        <vt:i4>728</vt:i4>
      </vt:variant>
      <vt:variant>
        <vt:i4>0</vt:i4>
      </vt:variant>
      <vt:variant>
        <vt:i4>5</vt:i4>
      </vt:variant>
      <vt:variant>
        <vt:lpwstr/>
      </vt:variant>
      <vt:variant>
        <vt:lpwstr>_Toc170315025</vt:lpwstr>
      </vt:variant>
      <vt:variant>
        <vt:i4>1310768</vt:i4>
      </vt:variant>
      <vt:variant>
        <vt:i4>722</vt:i4>
      </vt:variant>
      <vt:variant>
        <vt:i4>0</vt:i4>
      </vt:variant>
      <vt:variant>
        <vt:i4>5</vt:i4>
      </vt:variant>
      <vt:variant>
        <vt:lpwstr/>
      </vt:variant>
      <vt:variant>
        <vt:lpwstr>_Toc170315024</vt:lpwstr>
      </vt:variant>
      <vt:variant>
        <vt:i4>1310768</vt:i4>
      </vt:variant>
      <vt:variant>
        <vt:i4>716</vt:i4>
      </vt:variant>
      <vt:variant>
        <vt:i4>0</vt:i4>
      </vt:variant>
      <vt:variant>
        <vt:i4>5</vt:i4>
      </vt:variant>
      <vt:variant>
        <vt:lpwstr/>
      </vt:variant>
      <vt:variant>
        <vt:lpwstr>_Toc170315023</vt:lpwstr>
      </vt:variant>
      <vt:variant>
        <vt:i4>1310768</vt:i4>
      </vt:variant>
      <vt:variant>
        <vt:i4>710</vt:i4>
      </vt:variant>
      <vt:variant>
        <vt:i4>0</vt:i4>
      </vt:variant>
      <vt:variant>
        <vt:i4>5</vt:i4>
      </vt:variant>
      <vt:variant>
        <vt:lpwstr/>
      </vt:variant>
      <vt:variant>
        <vt:lpwstr>_Toc170315022</vt:lpwstr>
      </vt:variant>
      <vt:variant>
        <vt:i4>1310768</vt:i4>
      </vt:variant>
      <vt:variant>
        <vt:i4>704</vt:i4>
      </vt:variant>
      <vt:variant>
        <vt:i4>0</vt:i4>
      </vt:variant>
      <vt:variant>
        <vt:i4>5</vt:i4>
      </vt:variant>
      <vt:variant>
        <vt:lpwstr/>
      </vt:variant>
      <vt:variant>
        <vt:lpwstr>_Toc170315021</vt:lpwstr>
      </vt:variant>
      <vt:variant>
        <vt:i4>1310768</vt:i4>
      </vt:variant>
      <vt:variant>
        <vt:i4>698</vt:i4>
      </vt:variant>
      <vt:variant>
        <vt:i4>0</vt:i4>
      </vt:variant>
      <vt:variant>
        <vt:i4>5</vt:i4>
      </vt:variant>
      <vt:variant>
        <vt:lpwstr/>
      </vt:variant>
      <vt:variant>
        <vt:lpwstr>_Toc170315020</vt:lpwstr>
      </vt:variant>
      <vt:variant>
        <vt:i4>1507376</vt:i4>
      </vt:variant>
      <vt:variant>
        <vt:i4>692</vt:i4>
      </vt:variant>
      <vt:variant>
        <vt:i4>0</vt:i4>
      </vt:variant>
      <vt:variant>
        <vt:i4>5</vt:i4>
      </vt:variant>
      <vt:variant>
        <vt:lpwstr/>
      </vt:variant>
      <vt:variant>
        <vt:lpwstr>_Toc170315019</vt:lpwstr>
      </vt:variant>
      <vt:variant>
        <vt:i4>1507376</vt:i4>
      </vt:variant>
      <vt:variant>
        <vt:i4>686</vt:i4>
      </vt:variant>
      <vt:variant>
        <vt:i4>0</vt:i4>
      </vt:variant>
      <vt:variant>
        <vt:i4>5</vt:i4>
      </vt:variant>
      <vt:variant>
        <vt:lpwstr/>
      </vt:variant>
      <vt:variant>
        <vt:lpwstr>_Toc170315018</vt:lpwstr>
      </vt:variant>
      <vt:variant>
        <vt:i4>1507376</vt:i4>
      </vt:variant>
      <vt:variant>
        <vt:i4>680</vt:i4>
      </vt:variant>
      <vt:variant>
        <vt:i4>0</vt:i4>
      </vt:variant>
      <vt:variant>
        <vt:i4>5</vt:i4>
      </vt:variant>
      <vt:variant>
        <vt:lpwstr/>
      </vt:variant>
      <vt:variant>
        <vt:lpwstr>_Toc170315017</vt:lpwstr>
      </vt:variant>
      <vt:variant>
        <vt:i4>1507376</vt:i4>
      </vt:variant>
      <vt:variant>
        <vt:i4>674</vt:i4>
      </vt:variant>
      <vt:variant>
        <vt:i4>0</vt:i4>
      </vt:variant>
      <vt:variant>
        <vt:i4>5</vt:i4>
      </vt:variant>
      <vt:variant>
        <vt:lpwstr/>
      </vt:variant>
      <vt:variant>
        <vt:lpwstr>_Toc170315016</vt:lpwstr>
      </vt:variant>
      <vt:variant>
        <vt:i4>1507376</vt:i4>
      </vt:variant>
      <vt:variant>
        <vt:i4>668</vt:i4>
      </vt:variant>
      <vt:variant>
        <vt:i4>0</vt:i4>
      </vt:variant>
      <vt:variant>
        <vt:i4>5</vt:i4>
      </vt:variant>
      <vt:variant>
        <vt:lpwstr/>
      </vt:variant>
      <vt:variant>
        <vt:lpwstr>_Toc170315015</vt:lpwstr>
      </vt:variant>
      <vt:variant>
        <vt:i4>1507376</vt:i4>
      </vt:variant>
      <vt:variant>
        <vt:i4>662</vt:i4>
      </vt:variant>
      <vt:variant>
        <vt:i4>0</vt:i4>
      </vt:variant>
      <vt:variant>
        <vt:i4>5</vt:i4>
      </vt:variant>
      <vt:variant>
        <vt:lpwstr/>
      </vt:variant>
      <vt:variant>
        <vt:lpwstr>_Toc170315014</vt:lpwstr>
      </vt:variant>
      <vt:variant>
        <vt:i4>1507376</vt:i4>
      </vt:variant>
      <vt:variant>
        <vt:i4>656</vt:i4>
      </vt:variant>
      <vt:variant>
        <vt:i4>0</vt:i4>
      </vt:variant>
      <vt:variant>
        <vt:i4>5</vt:i4>
      </vt:variant>
      <vt:variant>
        <vt:lpwstr/>
      </vt:variant>
      <vt:variant>
        <vt:lpwstr>_Toc170315013</vt:lpwstr>
      </vt:variant>
      <vt:variant>
        <vt:i4>1507376</vt:i4>
      </vt:variant>
      <vt:variant>
        <vt:i4>650</vt:i4>
      </vt:variant>
      <vt:variant>
        <vt:i4>0</vt:i4>
      </vt:variant>
      <vt:variant>
        <vt:i4>5</vt:i4>
      </vt:variant>
      <vt:variant>
        <vt:lpwstr/>
      </vt:variant>
      <vt:variant>
        <vt:lpwstr>_Toc170315012</vt:lpwstr>
      </vt:variant>
      <vt:variant>
        <vt:i4>1507376</vt:i4>
      </vt:variant>
      <vt:variant>
        <vt:i4>644</vt:i4>
      </vt:variant>
      <vt:variant>
        <vt:i4>0</vt:i4>
      </vt:variant>
      <vt:variant>
        <vt:i4>5</vt:i4>
      </vt:variant>
      <vt:variant>
        <vt:lpwstr/>
      </vt:variant>
      <vt:variant>
        <vt:lpwstr>_Toc170315011</vt:lpwstr>
      </vt:variant>
      <vt:variant>
        <vt:i4>1507376</vt:i4>
      </vt:variant>
      <vt:variant>
        <vt:i4>638</vt:i4>
      </vt:variant>
      <vt:variant>
        <vt:i4>0</vt:i4>
      </vt:variant>
      <vt:variant>
        <vt:i4>5</vt:i4>
      </vt:variant>
      <vt:variant>
        <vt:lpwstr/>
      </vt:variant>
      <vt:variant>
        <vt:lpwstr>_Toc170315010</vt:lpwstr>
      </vt:variant>
      <vt:variant>
        <vt:i4>1441840</vt:i4>
      </vt:variant>
      <vt:variant>
        <vt:i4>632</vt:i4>
      </vt:variant>
      <vt:variant>
        <vt:i4>0</vt:i4>
      </vt:variant>
      <vt:variant>
        <vt:i4>5</vt:i4>
      </vt:variant>
      <vt:variant>
        <vt:lpwstr/>
      </vt:variant>
      <vt:variant>
        <vt:lpwstr>_Toc170315009</vt:lpwstr>
      </vt:variant>
      <vt:variant>
        <vt:i4>1441840</vt:i4>
      </vt:variant>
      <vt:variant>
        <vt:i4>626</vt:i4>
      </vt:variant>
      <vt:variant>
        <vt:i4>0</vt:i4>
      </vt:variant>
      <vt:variant>
        <vt:i4>5</vt:i4>
      </vt:variant>
      <vt:variant>
        <vt:lpwstr/>
      </vt:variant>
      <vt:variant>
        <vt:lpwstr>_Toc170315008</vt:lpwstr>
      </vt:variant>
      <vt:variant>
        <vt:i4>1441840</vt:i4>
      </vt:variant>
      <vt:variant>
        <vt:i4>620</vt:i4>
      </vt:variant>
      <vt:variant>
        <vt:i4>0</vt:i4>
      </vt:variant>
      <vt:variant>
        <vt:i4>5</vt:i4>
      </vt:variant>
      <vt:variant>
        <vt:lpwstr/>
      </vt:variant>
      <vt:variant>
        <vt:lpwstr>_Toc170315007</vt:lpwstr>
      </vt:variant>
      <vt:variant>
        <vt:i4>1441840</vt:i4>
      </vt:variant>
      <vt:variant>
        <vt:i4>614</vt:i4>
      </vt:variant>
      <vt:variant>
        <vt:i4>0</vt:i4>
      </vt:variant>
      <vt:variant>
        <vt:i4>5</vt:i4>
      </vt:variant>
      <vt:variant>
        <vt:lpwstr/>
      </vt:variant>
      <vt:variant>
        <vt:lpwstr>_Toc170315006</vt:lpwstr>
      </vt:variant>
      <vt:variant>
        <vt:i4>1441840</vt:i4>
      </vt:variant>
      <vt:variant>
        <vt:i4>608</vt:i4>
      </vt:variant>
      <vt:variant>
        <vt:i4>0</vt:i4>
      </vt:variant>
      <vt:variant>
        <vt:i4>5</vt:i4>
      </vt:variant>
      <vt:variant>
        <vt:lpwstr/>
      </vt:variant>
      <vt:variant>
        <vt:lpwstr>_Toc170315005</vt:lpwstr>
      </vt:variant>
      <vt:variant>
        <vt:i4>1441840</vt:i4>
      </vt:variant>
      <vt:variant>
        <vt:i4>602</vt:i4>
      </vt:variant>
      <vt:variant>
        <vt:i4>0</vt:i4>
      </vt:variant>
      <vt:variant>
        <vt:i4>5</vt:i4>
      </vt:variant>
      <vt:variant>
        <vt:lpwstr/>
      </vt:variant>
      <vt:variant>
        <vt:lpwstr>_Toc170315004</vt:lpwstr>
      </vt:variant>
      <vt:variant>
        <vt:i4>1441840</vt:i4>
      </vt:variant>
      <vt:variant>
        <vt:i4>596</vt:i4>
      </vt:variant>
      <vt:variant>
        <vt:i4>0</vt:i4>
      </vt:variant>
      <vt:variant>
        <vt:i4>5</vt:i4>
      </vt:variant>
      <vt:variant>
        <vt:lpwstr/>
      </vt:variant>
      <vt:variant>
        <vt:lpwstr>_Toc170315003</vt:lpwstr>
      </vt:variant>
      <vt:variant>
        <vt:i4>1441840</vt:i4>
      </vt:variant>
      <vt:variant>
        <vt:i4>590</vt:i4>
      </vt:variant>
      <vt:variant>
        <vt:i4>0</vt:i4>
      </vt:variant>
      <vt:variant>
        <vt:i4>5</vt:i4>
      </vt:variant>
      <vt:variant>
        <vt:lpwstr/>
      </vt:variant>
      <vt:variant>
        <vt:lpwstr>_Toc170315002</vt:lpwstr>
      </vt:variant>
      <vt:variant>
        <vt:i4>1441840</vt:i4>
      </vt:variant>
      <vt:variant>
        <vt:i4>584</vt:i4>
      </vt:variant>
      <vt:variant>
        <vt:i4>0</vt:i4>
      </vt:variant>
      <vt:variant>
        <vt:i4>5</vt:i4>
      </vt:variant>
      <vt:variant>
        <vt:lpwstr/>
      </vt:variant>
      <vt:variant>
        <vt:lpwstr>_Toc170315001</vt:lpwstr>
      </vt:variant>
      <vt:variant>
        <vt:i4>1441840</vt:i4>
      </vt:variant>
      <vt:variant>
        <vt:i4>578</vt:i4>
      </vt:variant>
      <vt:variant>
        <vt:i4>0</vt:i4>
      </vt:variant>
      <vt:variant>
        <vt:i4>5</vt:i4>
      </vt:variant>
      <vt:variant>
        <vt:lpwstr/>
      </vt:variant>
      <vt:variant>
        <vt:lpwstr>_Toc170315000</vt:lpwstr>
      </vt:variant>
      <vt:variant>
        <vt:i4>1966137</vt:i4>
      </vt:variant>
      <vt:variant>
        <vt:i4>572</vt:i4>
      </vt:variant>
      <vt:variant>
        <vt:i4>0</vt:i4>
      </vt:variant>
      <vt:variant>
        <vt:i4>5</vt:i4>
      </vt:variant>
      <vt:variant>
        <vt:lpwstr/>
      </vt:variant>
      <vt:variant>
        <vt:lpwstr>_Toc170314999</vt:lpwstr>
      </vt:variant>
      <vt:variant>
        <vt:i4>1966137</vt:i4>
      </vt:variant>
      <vt:variant>
        <vt:i4>566</vt:i4>
      </vt:variant>
      <vt:variant>
        <vt:i4>0</vt:i4>
      </vt:variant>
      <vt:variant>
        <vt:i4>5</vt:i4>
      </vt:variant>
      <vt:variant>
        <vt:lpwstr/>
      </vt:variant>
      <vt:variant>
        <vt:lpwstr>_Toc170314998</vt:lpwstr>
      </vt:variant>
      <vt:variant>
        <vt:i4>1966137</vt:i4>
      </vt:variant>
      <vt:variant>
        <vt:i4>560</vt:i4>
      </vt:variant>
      <vt:variant>
        <vt:i4>0</vt:i4>
      </vt:variant>
      <vt:variant>
        <vt:i4>5</vt:i4>
      </vt:variant>
      <vt:variant>
        <vt:lpwstr/>
      </vt:variant>
      <vt:variant>
        <vt:lpwstr>_Toc170314997</vt:lpwstr>
      </vt:variant>
      <vt:variant>
        <vt:i4>1966137</vt:i4>
      </vt:variant>
      <vt:variant>
        <vt:i4>554</vt:i4>
      </vt:variant>
      <vt:variant>
        <vt:i4>0</vt:i4>
      </vt:variant>
      <vt:variant>
        <vt:i4>5</vt:i4>
      </vt:variant>
      <vt:variant>
        <vt:lpwstr/>
      </vt:variant>
      <vt:variant>
        <vt:lpwstr>_Toc170314996</vt:lpwstr>
      </vt:variant>
      <vt:variant>
        <vt:i4>1966137</vt:i4>
      </vt:variant>
      <vt:variant>
        <vt:i4>548</vt:i4>
      </vt:variant>
      <vt:variant>
        <vt:i4>0</vt:i4>
      </vt:variant>
      <vt:variant>
        <vt:i4>5</vt:i4>
      </vt:variant>
      <vt:variant>
        <vt:lpwstr/>
      </vt:variant>
      <vt:variant>
        <vt:lpwstr>_Toc170314995</vt:lpwstr>
      </vt:variant>
      <vt:variant>
        <vt:i4>1966137</vt:i4>
      </vt:variant>
      <vt:variant>
        <vt:i4>542</vt:i4>
      </vt:variant>
      <vt:variant>
        <vt:i4>0</vt:i4>
      </vt:variant>
      <vt:variant>
        <vt:i4>5</vt:i4>
      </vt:variant>
      <vt:variant>
        <vt:lpwstr/>
      </vt:variant>
      <vt:variant>
        <vt:lpwstr>_Toc170314994</vt:lpwstr>
      </vt:variant>
      <vt:variant>
        <vt:i4>1966137</vt:i4>
      </vt:variant>
      <vt:variant>
        <vt:i4>536</vt:i4>
      </vt:variant>
      <vt:variant>
        <vt:i4>0</vt:i4>
      </vt:variant>
      <vt:variant>
        <vt:i4>5</vt:i4>
      </vt:variant>
      <vt:variant>
        <vt:lpwstr/>
      </vt:variant>
      <vt:variant>
        <vt:lpwstr>_Toc170314993</vt:lpwstr>
      </vt:variant>
      <vt:variant>
        <vt:i4>1966137</vt:i4>
      </vt:variant>
      <vt:variant>
        <vt:i4>530</vt:i4>
      </vt:variant>
      <vt:variant>
        <vt:i4>0</vt:i4>
      </vt:variant>
      <vt:variant>
        <vt:i4>5</vt:i4>
      </vt:variant>
      <vt:variant>
        <vt:lpwstr/>
      </vt:variant>
      <vt:variant>
        <vt:lpwstr>_Toc170314992</vt:lpwstr>
      </vt:variant>
      <vt:variant>
        <vt:i4>1966137</vt:i4>
      </vt:variant>
      <vt:variant>
        <vt:i4>524</vt:i4>
      </vt:variant>
      <vt:variant>
        <vt:i4>0</vt:i4>
      </vt:variant>
      <vt:variant>
        <vt:i4>5</vt:i4>
      </vt:variant>
      <vt:variant>
        <vt:lpwstr/>
      </vt:variant>
      <vt:variant>
        <vt:lpwstr>_Toc170314991</vt:lpwstr>
      </vt:variant>
      <vt:variant>
        <vt:i4>1966137</vt:i4>
      </vt:variant>
      <vt:variant>
        <vt:i4>518</vt:i4>
      </vt:variant>
      <vt:variant>
        <vt:i4>0</vt:i4>
      </vt:variant>
      <vt:variant>
        <vt:i4>5</vt:i4>
      </vt:variant>
      <vt:variant>
        <vt:lpwstr/>
      </vt:variant>
      <vt:variant>
        <vt:lpwstr>_Toc170314990</vt:lpwstr>
      </vt:variant>
      <vt:variant>
        <vt:i4>2031673</vt:i4>
      </vt:variant>
      <vt:variant>
        <vt:i4>512</vt:i4>
      </vt:variant>
      <vt:variant>
        <vt:i4>0</vt:i4>
      </vt:variant>
      <vt:variant>
        <vt:i4>5</vt:i4>
      </vt:variant>
      <vt:variant>
        <vt:lpwstr/>
      </vt:variant>
      <vt:variant>
        <vt:lpwstr>_Toc170314989</vt:lpwstr>
      </vt:variant>
      <vt:variant>
        <vt:i4>2031673</vt:i4>
      </vt:variant>
      <vt:variant>
        <vt:i4>506</vt:i4>
      </vt:variant>
      <vt:variant>
        <vt:i4>0</vt:i4>
      </vt:variant>
      <vt:variant>
        <vt:i4>5</vt:i4>
      </vt:variant>
      <vt:variant>
        <vt:lpwstr/>
      </vt:variant>
      <vt:variant>
        <vt:lpwstr>_Toc170314988</vt:lpwstr>
      </vt:variant>
      <vt:variant>
        <vt:i4>2031673</vt:i4>
      </vt:variant>
      <vt:variant>
        <vt:i4>500</vt:i4>
      </vt:variant>
      <vt:variant>
        <vt:i4>0</vt:i4>
      </vt:variant>
      <vt:variant>
        <vt:i4>5</vt:i4>
      </vt:variant>
      <vt:variant>
        <vt:lpwstr/>
      </vt:variant>
      <vt:variant>
        <vt:lpwstr>_Toc170314987</vt:lpwstr>
      </vt:variant>
      <vt:variant>
        <vt:i4>2031673</vt:i4>
      </vt:variant>
      <vt:variant>
        <vt:i4>494</vt:i4>
      </vt:variant>
      <vt:variant>
        <vt:i4>0</vt:i4>
      </vt:variant>
      <vt:variant>
        <vt:i4>5</vt:i4>
      </vt:variant>
      <vt:variant>
        <vt:lpwstr/>
      </vt:variant>
      <vt:variant>
        <vt:lpwstr>_Toc170314986</vt:lpwstr>
      </vt:variant>
      <vt:variant>
        <vt:i4>2031673</vt:i4>
      </vt:variant>
      <vt:variant>
        <vt:i4>488</vt:i4>
      </vt:variant>
      <vt:variant>
        <vt:i4>0</vt:i4>
      </vt:variant>
      <vt:variant>
        <vt:i4>5</vt:i4>
      </vt:variant>
      <vt:variant>
        <vt:lpwstr/>
      </vt:variant>
      <vt:variant>
        <vt:lpwstr>_Toc170314985</vt:lpwstr>
      </vt:variant>
      <vt:variant>
        <vt:i4>2031673</vt:i4>
      </vt:variant>
      <vt:variant>
        <vt:i4>482</vt:i4>
      </vt:variant>
      <vt:variant>
        <vt:i4>0</vt:i4>
      </vt:variant>
      <vt:variant>
        <vt:i4>5</vt:i4>
      </vt:variant>
      <vt:variant>
        <vt:lpwstr/>
      </vt:variant>
      <vt:variant>
        <vt:lpwstr>_Toc170314984</vt:lpwstr>
      </vt:variant>
      <vt:variant>
        <vt:i4>2031673</vt:i4>
      </vt:variant>
      <vt:variant>
        <vt:i4>476</vt:i4>
      </vt:variant>
      <vt:variant>
        <vt:i4>0</vt:i4>
      </vt:variant>
      <vt:variant>
        <vt:i4>5</vt:i4>
      </vt:variant>
      <vt:variant>
        <vt:lpwstr/>
      </vt:variant>
      <vt:variant>
        <vt:lpwstr>_Toc170314983</vt:lpwstr>
      </vt:variant>
      <vt:variant>
        <vt:i4>2031673</vt:i4>
      </vt:variant>
      <vt:variant>
        <vt:i4>470</vt:i4>
      </vt:variant>
      <vt:variant>
        <vt:i4>0</vt:i4>
      </vt:variant>
      <vt:variant>
        <vt:i4>5</vt:i4>
      </vt:variant>
      <vt:variant>
        <vt:lpwstr/>
      </vt:variant>
      <vt:variant>
        <vt:lpwstr>_Toc170314982</vt:lpwstr>
      </vt:variant>
      <vt:variant>
        <vt:i4>2031673</vt:i4>
      </vt:variant>
      <vt:variant>
        <vt:i4>464</vt:i4>
      </vt:variant>
      <vt:variant>
        <vt:i4>0</vt:i4>
      </vt:variant>
      <vt:variant>
        <vt:i4>5</vt:i4>
      </vt:variant>
      <vt:variant>
        <vt:lpwstr/>
      </vt:variant>
      <vt:variant>
        <vt:lpwstr>_Toc170314981</vt:lpwstr>
      </vt:variant>
      <vt:variant>
        <vt:i4>2031673</vt:i4>
      </vt:variant>
      <vt:variant>
        <vt:i4>458</vt:i4>
      </vt:variant>
      <vt:variant>
        <vt:i4>0</vt:i4>
      </vt:variant>
      <vt:variant>
        <vt:i4>5</vt:i4>
      </vt:variant>
      <vt:variant>
        <vt:lpwstr/>
      </vt:variant>
      <vt:variant>
        <vt:lpwstr>_Toc170314980</vt:lpwstr>
      </vt:variant>
      <vt:variant>
        <vt:i4>1048633</vt:i4>
      </vt:variant>
      <vt:variant>
        <vt:i4>452</vt:i4>
      </vt:variant>
      <vt:variant>
        <vt:i4>0</vt:i4>
      </vt:variant>
      <vt:variant>
        <vt:i4>5</vt:i4>
      </vt:variant>
      <vt:variant>
        <vt:lpwstr/>
      </vt:variant>
      <vt:variant>
        <vt:lpwstr>_Toc170314979</vt:lpwstr>
      </vt:variant>
      <vt:variant>
        <vt:i4>1048633</vt:i4>
      </vt:variant>
      <vt:variant>
        <vt:i4>446</vt:i4>
      </vt:variant>
      <vt:variant>
        <vt:i4>0</vt:i4>
      </vt:variant>
      <vt:variant>
        <vt:i4>5</vt:i4>
      </vt:variant>
      <vt:variant>
        <vt:lpwstr/>
      </vt:variant>
      <vt:variant>
        <vt:lpwstr>_Toc170314978</vt:lpwstr>
      </vt:variant>
      <vt:variant>
        <vt:i4>1048633</vt:i4>
      </vt:variant>
      <vt:variant>
        <vt:i4>440</vt:i4>
      </vt:variant>
      <vt:variant>
        <vt:i4>0</vt:i4>
      </vt:variant>
      <vt:variant>
        <vt:i4>5</vt:i4>
      </vt:variant>
      <vt:variant>
        <vt:lpwstr/>
      </vt:variant>
      <vt:variant>
        <vt:lpwstr>_Toc170314977</vt:lpwstr>
      </vt:variant>
      <vt:variant>
        <vt:i4>1048633</vt:i4>
      </vt:variant>
      <vt:variant>
        <vt:i4>434</vt:i4>
      </vt:variant>
      <vt:variant>
        <vt:i4>0</vt:i4>
      </vt:variant>
      <vt:variant>
        <vt:i4>5</vt:i4>
      </vt:variant>
      <vt:variant>
        <vt:lpwstr/>
      </vt:variant>
      <vt:variant>
        <vt:lpwstr>_Toc170314976</vt:lpwstr>
      </vt:variant>
      <vt:variant>
        <vt:i4>1048633</vt:i4>
      </vt:variant>
      <vt:variant>
        <vt:i4>428</vt:i4>
      </vt:variant>
      <vt:variant>
        <vt:i4>0</vt:i4>
      </vt:variant>
      <vt:variant>
        <vt:i4>5</vt:i4>
      </vt:variant>
      <vt:variant>
        <vt:lpwstr/>
      </vt:variant>
      <vt:variant>
        <vt:lpwstr>_Toc170314975</vt:lpwstr>
      </vt:variant>
      <vt:variant>
        <vt:i4>1048633</vt:i4>
      </vt:variant>
      <vt:variant>
        <vt:i4>422</vt:i4>
      </vt:variant>
      <vt:variant>
        <vt:i4>0</vt:i4>
      </vt:variant>
      <vt:variant>
        <vt:i4>5</vt:i4>
      </vt:variant>
      <vt:variant>
        <vt:lpwstr/>
      </vt:variant>
      <vt:variant>
        <vt:lpwstr>_Toc170314974</vt:lpwstr>
      </vt:variant>
      <vt:variant>
        <vt:i4>1048633</vt:i4>
      </vt:variant>
      <vt:variant>
        <vt:i4>416</vt:i4>
      </vt:variant>
      <vt:variant>
        <vt:i4>0</vt:i4>
      </vt:variant>
      <vt:variant>
        <vt:i4>5</vt:i4>
      </vt:variant>
      <vt:variant>
        <vt:lpwstr/>
      </vt:variant>
      <vt:variant>
        <vt:lpwstr>_Toc170314973</vt:lpwstr>
      </vt:variant>
      <vt:variant>
        <vt:i4>1048633</vt:i4>
      </vt:variant>
      <vt:variant>
        <vt:i4>410</vt:i4>
      </vt:variant>
      <vt:variant>
        <vt:i4>0</vt:i4>
      </vt:variant>
      <vt:variant>
        <vt:i4>5</vt:i4>
      </vt:variant>
      <vt:variant>
        <vt:lpwstr/>
      </vt:variant>
      <vt:variant>
        <vt:lpwstr>_Toc170314972</vt:lpwstr>
      </vt:variant>
      <vt:variant>
        <vt:i4>1048633</vt:i4>
      </vt:variant>
      <vt:variant>
        <vt:i4>404</vt:i4>
      </vt:variant>
      <vt:variant>
        <vt:i4>0</vt:i4>
      </vt:variant>
      <vt:variant>
        <vt:i4>5</vt:i4>
      </vt:variant>
      <vt:variant>
        <vt:lpwstr/>
      </vt:variant>
      <vt:variant>
        <vt:lpwstr>_Toc170314971</vt:lpwstr>
      </vt:variant>
      <vt:variant>
        <vt:i4>1048633</vt:i4>
      </vt:variant>
      <vt:variant>
        <vt:i4>398</vt:i4>
      </vt:variant>
      <vt:variant>
        <vt:i4>0</vt:i4>
      </vt:variant>
      <vt:variant>
        <vt:i4>5</vt:i4>
      </vt:variant>
      <vt:variant>
        <vt:lpwstr/>
      </vt:variant>
      <vt:variant>
        <vt:lpwstr>_Toc170314970</vt:lpwstr>
      </vt:variant>
      <vt:variant>
        <vt:i4>1114169</vt:i4>
      </vt:variant>
      <vt:variant>
        <vt:i4>392</vt:i4>
      </vt:variant>
      <vt:variant>
        <vt:i4>0</vt:i4>
      </vt:variant>
      <vt:variant>
        <vt:i4>5</vt:i4>
      </vt:variant>
      <vt:variant>
        <vt:lpwstr/>
      </vt:variant>
      <vt:variant>
        <vt:lpwstr>_Toc170314969</vt:lpwstr>
      </vt:variant>
      <vt:variant>
        <vt:i4>1114169</vt:i4>
      </vt:variant>
      <vt:variant>
        <vt:i4>386</vt:i4>
      </vt:variant>
      <vt:variant>
        <vt:i4>0</vt:i4>
      </vt:variant>
      <vt:variant>
        <vt:i4>5</vt:i4>
      </vt:variant>
      <vt:variant>
        <vt:lpwstr/>
      </vt:variant>
      <vt:variant>
        <vt:lpwstr>_Toc170314968</vt:lpwstr>
      </vt:variant>
      <vt:variant>
        <vt:i4>1114169</vt:i4>
      </vt:variant>
      <vt:variant>
        <vt:i4>380</vt:i4>
      </vt:variant>
      <vt:variant>
        <vt:i4>0</vt:i4>
      </vt:variant>
      <vt:variant>
        <vt:i4>5</vt:i4>
      </vt:variant>
      <vt:variant>
        <vt:lpwstr/>
      </vt:variant>
      <vt:variant>
        <vt:lpwstr>_Toc170314967</vt:lpwstr>
      </vt:variant>
      <vt:variant>
        <vt:i4>1114169</vt:i4>
      </vt:variant>
      <vt:variant>
        <vt:i4>374</vt:i4>
      </vt:variant>
      <vt:variant>
        <vt:i4>0</vt:i4>
      </vt:variant>
      <vt:variant>
        <vt:i4>5</vt:i4>
      </vt:variant>
      <vt:variant>
        <vt:lpwstr/>
      </vt:variant>
      <vt:variant>
        <vt:lpwstr>_Toc170314966</vt:lpwstr>
      </vt:variant>
      <vt:variant>
        <vt:i4>1114169</vt:i4>
      </vt:variant>
      <vt:variant>
        <vt:i4>368</vt:i4>
      </vt:variant>
      <vt:variant>
        <vt:i4>0</vt:i4>
      </vt:variant>
      <vt:variant>
        <vt:i4>5</vt:i4>
      </vt:variant>
      <vt:variant>
        <vt:lpwstr/>
      </vt:variant>
      <vt:variant>
        <vt:lpwstr>_Toc170314965</vt:lpwstr>
      </vt:variant>
      <vt:variant>
        <vt:i4>1114169</vt:i4>
      </vt:variant>
      <vt:variant>
        <vt:i4>362</vt:i4>
      </vt:variant>
      <vt:variant>
        <vt:i4>0</vt:i4>
      </vt:variant>
      <vt:variant>
        <vt:i4>5</vt:i4>
      </vt:variant>
      <vt:variant>
        <vt:lpwstr/>
      </vt:variant>
      <vt:variant>
        <vt:lpwstr>_Toc170314964</vt:lpwstr>
      </vt:variant>
      <vt:variant>
        <vt:i4>1114169</vt:i4>
      </vt:variant>
      <vt:variant>
        <vt:i4>356</vt:i4>
      </vt:variant>
      <vt:variant>
        <vt:i4>0</vt:i4>
      </vt:variant>
      <vt:variant>
        <vt:i4>5</vt:i4>
      </vt:variant>
      <vt:variant>
        <vt:lpwstr/>
      </vt:variant>
      <vt:variant>
        <vt:lpwstr>_Toc170314963</vt:lpwstr>
      </vt:variant>
      <vt:variant>
        <vt:i4>1114169</vt:i4>
      </vt:variant>
      <vt:variant>
        <vt:i4>350</vt:i4>
      </vt:variant>
      <vt:variant>
        <vt:i4>0</vt:i4>
      </vt:variant>
      <vt:variant>
        <vt:i4>5</vt:i4>
      </vt:variant>
      <vt:variant>
        <vt:lpwstr/>
      </vt:variant>
      <vt:variant>
        <vt:lpwstr>_Toc170314962</vt:lpwstr>
      </vt:variant>
      <vt:variant>
        <vt:i4>1114169</vt:i4>
      </vt:variant>
      <vt:variant>
        <vt:i4>344</vt:i4>
      </vt:variant>
      <vt:variant>
        <vt:i4>0</vt:i4>
      </vt:variant>
      <vt:variant>
        <vt:i4>5</vt:i4>
      </vt:variant>
      <vt:variant>
        <vt:lpwstr/>
      </vt:variant>
      <vt:variant>
        <vt:lpwstr>_Toc170314961</vt:lpwstr>
      </vt:variant>
      <vt:variant>
        <vt:i4>1114169</vt:i4>
      </vt:variant>
      <vt:variant>
        <vt:i4>338</vt:i4>
      </vt:variant>
      <vt:variant>
        <vt:i4>0</vt:i4>
      </vt:variant>
      <vt:variant>
        <vt:i4>5</vt:i4>
      </vt:variant>
      <vt:variant>
        <vt:lpwstr/>
      </vt:variant>
      <vt:variant>
        <vt:lpwstr>_Toc170314960</vt:lpwstr>
      </vt:variant>
      <vt:variant>
        <vt:i4>1179705</vt:i4>
      </vt:variant>
      <vt:variant>
        <vt:i4>332</vt:i4>
      </vt:variant>
      <vt:variant>
        <vt:i4>0</vt:i4>
      </vt:variant>
      <vt:variant>
        <vt:i4>5</vt:i4>
      </vt:variant>
      <vt:variant>
        <vt:lpwstr/>
      </vt:variant>
      <vt:variant>
        <vt:lpwstr>_Toc170314959</vt:lpwstr>
      </vt:variant>
      <vt:variant>
        <vt:i4>1179705</vt:i4>
      </vt:variant>
      <vt:variant>
        <vt:i4>326</vt:i4>
      </vt:variant>
      <vt:variant>
        <vt:i4>0</vt:i4>
      </vt:variant>
      <vt:variant>
        <vt:i4>5</vt:i4>
      </vt:variant>
      <vt:variant>
        <vt:lpwstr/>
      </vt:variant>
      <vt:variant>
        <vt:lpwstr>_Toc170314958</vt:lpwstr>
      </vt:variant>
      <vt:variant>
        <vt:i4>1179705</vt:i4>
      </vt:variant>
      <vt:variant>
        <vt:i4>320</vt:i4>
      </vt:variant>
      <vt:variant>
        <vt:i4>0</vt:i4>
      </vt:variant>
      <vt:variant>
        <vt:i4>5</vt:i4>
      </vt:variant>
      <vt:variant>
        <vt:lpwstr/>
      </vt:variant>
      <vt:variant>
        <vt:lpwstr>_Toc170314957</vt:lpwstr>
      </vt:variant>
      <vt:variant>
        <vt:i4>1179705</vt:i4>
      </vt:variant>
      <vt:variant>
        <vt:i4>314</vt:i4>
      </vt:variant>
      <vt:variant>
        <vt:i4>0</vt:i4>
      </vt:variant>
      <vt:variant>
        <vt:i4>5</vt:i4>
      </vt:variant>
      <vt:variant>
        <vt:lpwstr/>
      </vt:variant>
      <vt:variant>
        <vt:lpwstr>_Toc170314956</vt:lpwstr>
      </vt:variant>
      <vt:variant>
        <vt:i4>1179705</vt:i4>
      </vt:variant>
      <vt:variant>
        <vt:i4>308</vt:i4>
      </vt:variant>
      <vt:variant>
        <vt:i4>0</vt:i4>
      </vt:variant>
      <vt:variant>
        <vt:i4>5</vt:i4>
      </vt:variant>
      <vt:variant>
        <vt:lpwstr/>
      </vt:variant>
      <vt:variant>
        <vt:lpwstr>_Toc170314955</vt:lpwstr>
      </vt:variant>
      <vt:variant>
        <vt:i4>1179705</vt:i4>
      </vt:variant>
      <vt:variant>
        <vt:i4>302</vt:i4>
      </vt:variant>
      <vt:variant>
        <vt:i4>0</vt:i4>
      </vt:variant>
      <vt:variant>
        <vt:i4>5</vt:i4>
      </vt:variant>
      <vt:variant>
        <vt:lpwstr/>
      </vt:variant>
      <vt:variant>
        <vt:lpwstr>_Toc170314954</vt:lpwstr>
      </vt:variant>
      <vt:variant>
        <vt:i4>1179705</vt:i4>
      </vt:variant>
      <vt:variant>
        <vt:i4>296</vt:i4>
      </vt:variant>
      <vt:variant>
        <vt:i4>0</vt:i4>
      </vt:variant>
      <vt:variant>
        <vt:i4>5</vt:i4>
      </vt:variant>
      <vt:variant>
        <vt:lpwstr/>
      </vt:variant>
      <vt:variant>
        <vt:lpwstr>_Toc170314953</vt:lpwstr>
      </vt:variant>
      <vt:variant>
        <vt:i4>1179705</vt:i4>
      </vt:variant>
      <vt:variant>
        <vt:i4>290</vt:i4>
      </vt:variant>
      <vt:variant>
        <vt:i4>0</vt:i4>
      </vt:variant>
      <vt:variant>
        <vt:i4>5</vt:i4>
      </vt:variant>
      <vt:variant>
        <vt:lpwstr/>
      </vt:variant>
      <vt:variant>
        <vt:lpwstr>_Toc170314952</vt:lpwstr>
      </vt:variant>
      <vt:variant>
        <vt:i4>1179705</vt:i4>
      </vt:variant>
      <vt:variant>
        <vt:i4>284</vt:i4>
      </vt:variant>
      <vt:variant>
        <vt:i4>0</vt:i4>
      </vt:variant>
      <vt:variant>
        <vt:i4>5</vt:i4>
      </vt:variant>
      <vt:variant>
        <vt:lpwstr/>
      </vt:variant>
      <vt:variant>
        <vt:lpwstr>_Toc170314951</vt:lpwstr>
      </vt:variant>
      <vt:variant>
        <vt:i4>1179705</vt:i4>
      </vt:variant>
      <vt:variant>
        <vt:i4>278</vt:i4>
      </vt:variant>
      <vt:variant>
        <vt:i4>0</vt:i4>
      </vt:variant>
      <vt:variant>
        <vt:i4>5</vt:i4>
      </vt:variant>
      <vt:variant>
        <vt:lpwstr/>
      </vt:variant>
      <vt:variant>
        <vt:lpwstr>_Toc170314950</vt:lpwstr>
      </vt:variant>
      <vt:variant>
        <vt:i4>1245241</vt:i4>
      </vt:variant>
      <vt:variant>
        <vt:i4>272</vt:i4>
      </vt:variant>
      <vt:variant>
        <vt:i4>0</vt:i4>
      </vt:variant>
      <vt:variant>
        <vt:i4>5</vt:i4>
      </vt:variant>
      <vt:variant>
        <vt:lpwstr/>
      </vt:variant>
      <vt:variant>
        <vt:lpwstr>_Toc170314949</vt:lpwstr>
      </vt:variant>
      <vt:variant>
        <vt:i4>1245241</vt:i4>
      </vt:variant>
      <vt:variant>
        <vt:i4>266</vt:i4>
      </vt:variant>
      <vt:variant>
        <vt:i4>0</vt:i4>
      </vt:variant>
      <vt:variant>
        <vt:i4>5</vt:i4>
      </vt:variant>
      <vt:variant>
        <vt:lpwstr/>
      </vt:variant>
      <vt:variant>
        <vt:lpwstr>_Toc170314948</vt:lpwstr>
      </vt:variant>
      <vt:variant>
        <vt:i4>1245241</vt:i4>
      </vt:variant>
      <vt:variant>
        <vt:i4>260</vt:i4>
      </vt:variant>
      <vt:variant>
        <vt:i4>0</vt:i4>
      </vt:variant>
      <vt:variant>
        <vt:i4>5</vt:i4>
      </vt:variant>
      <vt:variant>
        <vt:lpwstr/>
      </vt:variant>
      <vt:variant>
        <vt:lpwstr>_Toc170314947</vt:lpwstr>
      </vt:variant>
      <vt:variant>
        <vt:i4>1245241</vt:i4>
      </vt:variant>
      <vt:variant>
        <vt:i4>254</vt:i4>
      </vt:variant>
      <vt:variant>
        <vt:i4>0</vt:i4>
      </vt:variant>
      <vt:variant>
        <vt:i4>5</vt:i4>
      </vt:variant>
      <vt:variant>
        <vt:lpwstr/>
      </vt:variant>
      <vt:variant>
        <vt:lpwstr>_Toc170314946</vt:lpwstr>
      </vt:variant>
      <vt:variant>
        <vt:i4>1245241</vt:i4>
      </vt:variant>
      <vt:variant>
        <vt:i4>248</vt:i4>
      </vt:variant>
      <vt:variant>
        <vt:i4>0</vt:i4>
      </vt:variant>
      <vt:variant>
        <vt:i4>5</vt:i4>
      </vt:variant>
      <vt:variant>
        <vt:lpwstr/>
      </vt:variant>
      <vt:variant>
        <vt:lpwstr>_Toc170314945</vt:lpwstr>
      </vt:variant>
      <vt:variant>
        <vt:i4>1245241</vt:i4>
      </vt:variant>
      <vt:variant>
        <vt:i4>242</vt:i4>
      </vt:variant>
      <vt:variant>
        <vt:i4>0</vt:i4>
      </vt:variant>
      <vt:variant>
        <vt:i4>5</vt:i4>
      </vt:variant>
      <vt:variant>
        <vt:lpwstr/>
      </vt:variant>
      <vt:variant>
        <vt:lpwstr>_Toc170314944</vt:lpwstr>
      </vt:variant>
      <vt:variant>
        <vt:i4>1245241</vt:i4>
      </vt:variant>
      <vt:variant>
        <vt:i4>236</vt:i4>
      </vt:variant>
      <vt:variant>
        <vt:i4>0</vt:i4>
      </vt:variant>
      <vt:variant>
        <vt:i4>5</vt:i4>
      </vt:variant>
      <vt:variant>
        <vt:lpwstr/>
      </vt:variant>
      <vt:variant>
        <vt:lpwstr>_Toc170314943</vt:lpwstr>
      </vt:variant>
      <vt:variant>
        <vt:i4>1245241</vt:i4>
      </vt:variant>
      <vt:variant>
        <vt:i4>230</vt:i4>
      </vt:variant>
      <vt:variant>
        <vt:i4>0</vt:i4>
      </vt:variant>
      <vt:variant>
        <vt:i4>5</vt:i4>
      </vt:variant>
      <vt:variant>
        <vt:lpwstr/>
      </vt:variant>
      <vt:variant>
        <vt:lpwstr>_Toc170314942</vt:lpwstr>
      </vt:variant>
      <vt:variant>
        <vt:i4>1245241</vt:i4>
      </vt:variant>
      <vt:variant>
        <vt:i4>224</vt:i4>
      </vt:variant>
      <vt:variant>
        <vt:i4>0</vt:i4>
      </vt:variant>
      <vt:variant>
        <vt:i4>5</vt:i4>
      </vt:variant>
      <vt:variant>
        <vt:lpwstr/>
      </vt:variant>
      <vt:variant>
        <vt:lpwstr>_Toc170314941</vt:lpwstr>
      </vt:variant>
      <vt:variant>
        <vt:i4>1245241</vt:i4>
      </vt:variant>
      <vt:variant>
        <vt:i4>218</vt:i4>
      </vt:variant>
      <vt:variant>
        <vt:i4>0</vt:i4>
      </vt:variant>
      <vt:variant>
        <vt:i4>5</vt:i4>
      </vt:variant>
      <vt:variant>
        <vt:lpwstr/>
      </vt:variant>
      <vt:variant>
        <vt:lpwstr>_Toc170314940</vt:lpwstr>
      </vt:variant>
      <vt:variant>
        <vt:i4>1310777</vt:i4>
      </vt:variant>
      <vt:variant>
        <vt:i4>212</vt:i4>
      </vt:variant>
      <vt:variant>
        <vt:i4>0</vt:i4>
      </vt:variant>
      <vt:variant>
        <vt:i4>5</vt:i4>
      </vt:variant>
      <vt:variant>
        <vt:lpwstr/>
      </vt:variant>
      <vt:variant>
        <vt:lpwstr>_Toc170314939</vt:lpwstr>
      </vt:variant>
      <vt:variant>
        <vt:i4>1310777</vt:i4>
      </vt:variant>
      <vt:variant>
        <vt:i4>206</vt:i4>
      </vt:variant>
      <vt:variant>
        <vt:i4>0</vt:i4>
      </vt:variant>
      <vt:variant>
        <vt:i4>5</vt:i4>
      </vt:variant>
      <vt:variant>
        <vt:lpwstr/>
      </vt:variant>
      <vt:variant>
        <vt:lpwstr>_Toc170314938</vt:lpwstr>
      </vt:variant>
      <vt:variant>
        <vt:i4>1310777</vt:i4>
      </vt:variant>
      <vt:variant>
        <vt:i4>200</vt:i4>
      </vt:variant>
      <vt:variant>
        <vt:i4>0</vt:i4>
      </vt:variant>
      <vt:variant>
        <vt:i4>5</vt:i4>
      </vt:variant>
      <vt:variant>
        <vt:lpwstr/>
      </vt:variant>
      <vt:variant>
        <vt:lpwstr>_Toc170314937</vt:lpwstr>
      </vt:variant>
      <vt:variant>
        <vt:i4>1310777</vt:i4>
      </vt:variant>
      <vt:variant>
        <vt:i4>194</vt:i4>
      </vt:variant>
      <vt:variant>
        <vt:i4>0</vt:i4>
      </vt:variant>
      <vt:variant>
        <vt:i4>5</vt:i4>
      </vt:variant>
      <vt:variant>
        <vt:lpwstr/>
      </vt:variant>
      <vt:variant>
        <vt:lpwstr>_Toc170314936</vt:lpwstr>
      </vt:variant>
      <vt:variant>
        <vt:i4>1310777</vt:i4>
      </vt:variant>
      <vt:variant>
        <vt:i4>188</vt:i4>
      </vt:variant>
      <vt:variant>
        <vt:i4>0</vt:i4>
      </vt:variant>
      <vt:variant>
        <vt:i4>5</vt:i4>
      </vt:variant>
      <vt:variant>
        <vt:lpwstr/>
      </vt:variant>
      <vt:variant>
        <vt:lpwstr>_Toc170314935</vt:lpwstr>
      </vt:variant>
      <vt:variant>
        <vt:i4>1310777</vt:i4>
      </vt:variant>
      <vt:variant>
        <vt:i4>182</vt:i4>
      </vt:variant>
      <vt:variant>
        <vt:i4>0</vt:i4>
      </vt:variant>
      <vt:variant>
        <vt:i4>5</vt:i4>
      </vt:variant>
      <vt:variant>
        <vt:lpwstr/>
      </vt:variant>
      <vt:variant>
        <vt:lpwstr>_Toc170314934</vt:lpwstr>
      </vt:variant>
      <vt:variant>
        <vt:i4>1310777</vt:i4>
      </vt:variant>
      <vt:variant>
        <vt:i4>176</vt:i4>
      </vt:variant>
      <vt:variant>
        <vt:i4>0</vt:i4>
      </vt:variant>
      <vt:variant>
        <vt:i4>5</vt:i4>
      </vt:variant>
      <vt:variant>
        <vt:lpwstr/>
      </vt:variant>
      <vt:variant>
        <vt:lpwstr>_Toc170314933</vt:lpwstr>
      </vt:variant>
      <vt:variant>
        <vt:i4>1310777</vt:i4>
      </vt:variant>
      <vt:variant>
        <vt:i4>170</vt:i4>
      </vt:variant>
      <vt:variant>
        <vt:i4>0</vt:i4>
      </vt:variant>
      <vt:variant>
        <vt:i4>5</vt:i4>
      </vt:variant>
      <vt:variant>
        <vt:lpwstr/>
      </vt:variant>
      <vt:variant>
        <vt:lpwstr>_Toc170314932</vt:lpwstr>
      </vt:variant>
      <vt:variant>
        <vt:i4>1310777</vt:i4>
      </vt:variant>
      <vt:variant>
        <vt:i4>164</vt:i4>
      </vt:variant>
      <vt:variant>
        <vt:i4>0</vt:i4>
      </vt:variant>
      <vt:variant>
        <vt:i4>5</vt:i4>
      </vt:variant>
      <vt:variant>
        <vt:lpwstr/>
      </vt:variant>
      <vt:variant>
        <vt:lpwstr>_Toc170314931</vt:lpwstr>
      </vt:variant>
      <vt:variant>
        <vt:i4>1310777</vt:i4>
      </vt:variant>
      <vt:variant>
        <vt:i4>158</vt:i4>
      </vt:variant>
      <vt:variant>
        <vt:i4>0</vt:i4>
      </vt:variant>
      <vt:variant>
        <vt:i4>5</vt:i4>
      </vt:variant>
      <vt:variant>
        <vt:lpwstr/>
      </vt:variant>
      <vt:variant>
        <vt:lpwstr>_Toc170314930</vt:lpwstr>
      </vt:variant>
      <vt:variant>
        <vt:i4>1376313</vt:i4>
      </vt:variant>
      <vt:variant>
        <vt:i4>152</vt:i4>
      </vt:variant>
      <vt:variant>
        <vt:i4>0</vt:i4>
      </vt:variant>
      <vt:variant>
        <vt:i4>5</vt:i4>
      </vt:variant>
      <vt:variant>
        <vt:lpwstr/>
      </vt:variant>
      <vt:variant>
        <vt:lpwstr>_Toc170314929</vt:lpwstr>
      </vt:variant>
      <vt:variant>
        <vt:i4>1376313</vt:i4>
      </vt:variant>
      <vt:variant>
        <vt:i4>146</vt:i4>
      </vt:variant>
      <vt:variant>
        <vt:i4>0</vt:i4>
      </vt:variant>
      <vt:variant>
        <vt:i4>5</vt:i4>
      </vt:variant>
      <vt:variant>
        <vt:lpwstr/>
      </vt:variant>
      <vt:variant>
        <vt:lpwstr>_Toc170314928</vt:lpwstr>
      </vt:variant>
      <vt:variant>
        <vt:i4>1376313</vt:i4>
      </vt:variant>
      <vt:variant>
        <vt:i4>140</vt:i4>
      </vt:variant>
      <vt:variant>
        <vt:i4>0</vt:i4>
      </vt:variant>
      <vt:variant>
        <vt:i4>5</vt:i4>
      </vt:variant>
      <vt:variant>
        <vt:lpwstr/>
      </vt:variant>
      <vt:variant>
        <vt:lpwstr>_Toc170314927</vt:lpwstr>
      </vt:variant>
      <vt:variant>
        <vt:i4>1376313</vt:i4>
      </vt:variant>
      <vt:variant>
        <vt:i4>134</vt:i4>
      </vt:variant>
      <vt:variant>
        <vt:i4>0</vt:i4>
      </vt:variant>
      <vt:variant>
        <vt:i4>5</vt:i4>
      </vt:variant>
      <vt:variant>
        <vt:lpwstr/>
      </vt:variant>
      <vt:variant>
        <vt:lpwstr>_Toc170314926</vt:lpwstr>
      </vt:variant>
      <vt:variant>
        <vt:i4>1376313</vt:i4>
      </vt:variant>
      <vt:variant>
        <vt:i4>128</vt:i4>
      </vt:variant>
      <vt:variant>
        <vt:i4>0</vt:i4>
      </vt:variant>
      <vt:variant>
        <vt:i4>5</vt:i4>
      </vt:variant>
      <vt:variant>
        <vt:lpwstr/>
      </vt:variant>
      <vt:variant>
        <vt:lpwstr>_Toc170314925</vt:lpwstr>
      </vt:variant>
      <vt:variant>
        <vt:i4>1376313</vt:i4>
      </vt:variant>
      <vt:variant>
        <vt:i4>122</vt:i4>
      </vt:variant>
      <vt:variant>
        <vt:i4>0</vt:i4>
      </vt:variant>
      <vt:variant>
        <vt:i4>5</vt:i4>
      </vt:variant>
      <vt:variant>
        <vt:lpwstr/>
      </vt:variant>
      <vt:variant>
        <vt:lpwstr>_Toc170314924</vt:lpwstr>
      </vt:variant>
      <vt:variant>
        <vt:i4>1376313</vt:i4>
      </vt:variant>
      <vt:variant>
        <vt:i4>116</vt:i4>
      </vt:variant>
      <vt:variant>
        <vt:i4>0</vt:i4>
      </vt:variant>
      <vt:variant>
        <vt:i4>5</vt:i4>
      </vt:variant>
      <vt:variant>
        <vt:lpwstr/>
      </vt:variant>
      <vt:variant>
        <vt:lpwstr>_Toc170314923</vt:lpwstr>
      </vt:variant>
      <vt:variant>
        <vt:i4>1376313</vt:i4>
      </vt:variant>
      <vt:variant>
        <vt:i4>110</vt:i4>
      </vt:variant>
      <vt:variant>
        <vt:i4>0</vt:i4>
      </vt:variant>
      <vt:variant>
        <vt:i4>5</vt:i4>
      </vt:variant>
      <vt:variant>
        <vt:lpwstr/>
      </vt:variant>
      <vt:variant>
        <vt:lpwstr>_Toc170314922</vt:lpwstr>
      </vt:variant>
      <vt:variant>
        <vt:i4>1376313</vt:i4>
      </vt:variant>
      <vt:variant>
        <vt:i4>104</vt:i4>
      </vt:variant>
      <vt:variant>
        <vt:i4>0</vt:i4>
      </vt:variant>
      <vt:variant>
        <vt:i4>5</vt:i4>
      </vt:variant>
      <vt:variant>
        <vt:lpwstr/>
      </vt:variant>
      <vt:variant>
        <vt:lpwstr>_Toc170314921</vt:lpwstr>
      </vt:variant>
      <vt:variant>
        <vt:i4>1376313</vt:i4>
      </vt:variant>
      <vt:variant>
        <vt:i4>98</vt:i4>
      </vt:variant>
      <vt:variant>
        <vt:i4>0</vt:i4>
      </vt:variant>
      <vt:variant>
        <vt:i4>5</vt:i4>
      </vt:variant>
      <vt:variant>
        <vt:lpwstr/>
      </vt:variant>
      <vt:variant>
        <vt:lpwstr>_Toc170314920</vt:lpwstr>
      </vt:variant>
      <vt:variant>
        <vt:i4>1441849</vt:i4>
      </vt:variant>
      <vt:variant>
        <vt:i4>92</vt:i4>
      </vt:variant>
      <vt:variant>
        <vt:i4>0</vt:i4>
      </vt:variant>
      <vt:variant>
        <vt:i4>5</vt:i4>
      </vt:variant>
      <vt:variant>
        <vt:lpwstr/>
      </vt:variant>
      <vt:variant>
        <vt:lpwstr>_Toc170314919</vt:lpwstr>
      </vt:variant>
      <vt:variant>
        <vt:i4>1441849</vt:i4>
      </vt:variant>
      <vt:variant>
        <vt:i4>86</vt:i4>
      </vt:variant>
      <vt:variant>
        <vt:i4>0</vt:i4>
      </vt:variant>
      <vt:variant>
        <vt:i4>5</vt:i4>
      </vt:variant>
      <vt:variant>
        <vt:lpwstr/>
      </vt:variant>
      <vt:variant>
        <vt:lpwstr>_Toc170314918</vt:lpwstr>
      </vt:variant>
      <vt:variant>
        <vt:i4>1441849</vt:i4>
      </vt:variant>
      <vt:variant>
        <vt:i4>80</vt:i4>
      </vt:variant>
      <vt:variant>
        <vt:i4>0</vt:i4>
      </vt:variant>
      <vt:variant>
        <vt:i4>5</vt:i4>
      </vt:variant>
      <vt:variant>
        <vt:lpwstr/>
      </vt:variant>
      <vt:variant>
        <vt:lpwstr>_Toc170314917</vt:lpwstr>
      </vt:variant>
      <vt:variant>
        <vt:i4>1441849</vt:i4>
      </vt:variant>
      <vt:variant>
        <vt:i4>74</vt:i4>
      </vt:variant>
      <vt:variant>
        <vt:i4>0</vt:i4>
      </vt:variant>
      <vt:variant>
        <vt:i4>5</vt:i4>
      </vt:variant>
      <vt:variant>
        <vt:lpwstr/>
      </vt:variant>
      <vt:variant>
        <vt:lpwstr>_Toc170314916</vt:lpwstr>
      </vt:variant>
      <vt:variant>
        <vt:i4>1441849</vt:i4>
      </vt:variant>
      <vt:variant>
        <vt:i4>68</vt:i4>
      </vt:variant>
      <vt:variant>
        <vt:i4>0</vt:i4>
      </vt:variant>
      <vt:variant>
        <vt:i4>5</vt:i4>
      </vt:variant>
      <vt:variant>
        <vt:lpwstr/>
      </vt:variant>
      <vt:variant>
        <vt:lpwstr>_Toc170314915</vt:lpwstr>
      </vt:variant>
      <vt:variant>
        <vt:i4>1441849</vt:i4>
      </vt:variant>
      <vt:variant>
        <vt:i4>62</vt:i4>
      </vt:variant>
      <vt:variant>
        <vt:i4>0</vt:i4>
      </vt:variant>
      <vt:variant>
        <vt:i4>5</vt:i4>
      </vt:variant>
      <vt:variant>
        <vt:lpwstr/>
      </vt:variant>
      <vt:variant>
        <vt:lpwstr>_Toc170314914</vt:lpwstr>
      </vt:variant>
      <vt:variant>
        <vt:i4>1441849</vt:i4>
      </vt:variant>
      <vt:variant>
        <vt:i4>56</vt:i4>
      </vt:variant>
      <vt:variant>
        <vt:i4>0</vt:i4>
      </vt:variant>
      <vt:variant>
        <vt:i4>5</vt:i4>
      </vt:variant>
      <vt:variant>
        <vt:lpwstr/>
      </vt:variant>
      <vt:variant>
        <vt:lpwstr>_Toc170314913</vt:lpwstr>
      </vt:variant>
      <vt:variant>
        <vt:i4>1441849</vt:i4>
      </vt:variant>
      <vt:variant>
        <vt:i4>50</vt:i4>
      </vt:variant>
      <vt:variant>
        <vt:i4>0</vt:i4>
      </vt:variant>
      <vt:variant>
        <vt:i4>5</vt:i4>
      </vt:variant>
      <vt:variant>
        <vt:lpwstr/>
      </vt:variant>
      <vt:variant>
        <vt:lpwstr>_Toc170314912</vt:lpwstr>
      </vt:variant>
      <vt:variant>
        <vt:i4>1441849</vt:i4>
      </vt:variant>
      <vt:variant>
        <vt:i4>44</vt:i4>
      </vt:variant>
      <vt:variant>
        <vt:i4>0</vt:i4>
      </vt:variant>
      <vt:variant>
        <vt:i4>5</vt:i4>
      </vt:variant>
      <vt:variant>
        <vt:lpwstr/>
      </vt:variant>
      <vt:variant>
        <vt:lpwstr>_Toc170314911</vt:lpwstr>
      </vt:variant>
      <vt:variant>
        <vt:i4>1441849</vt:i4>
      </vt:variant>
      <vt:variant>
        <vt:i4>38</vt:i4>
      </vt:variant>
      <vt:variant>
        <vt:i4>0</vt:i4>
      </vt:variant>
      <vt:variant>
        <vt:i4>5</vt:i4>
      </vt:variant>
      <vt:variant>
        <vt:lpwstr/>
      </vt:variant>
      <vt:variant>
        <vt:lpwstr>_Toc170314910</vt:lpwstr>
      </vt:variant>
      <vt:variant>
        <vt:i4>1507385</vt:i4>
      </vt:variant>
      <vt:variant>
        <vt:i4>32</vt:i4>
      </vt:variant>
      <vt:variant>
        <vt:i4>0</vt:i4>
      </vt:variant>
      <vt:variant>
        <vt:i4>5</vt:i4>
      </vt:variant>
      <vt:variant>
        <vt:lpwstr/>
      </vt:variant>
      <vt:variant>
        <vt:lpwstr>_Toc170314909</vt:lpwstr>
      </vt:variant>
      <vt:variant>
        <vt:i4>1507385</vt:i4>
      </vt:variant>
      <vt:variant>
        <vt:i4>26</vt:i4>
      </vt:variant>
      <vt:variant>
        <vt:i4>0</vt:i4>
      </vt:variant>
      <vt:variant>
        <vt:i4>5</vt:i4>
      </vt:variant>
      <vt:variant>
        <vt:lpwstr/>
      </vt:variant>
      <vt:variant>
        <vt:lpwstr>_Toc170314908</vt:lpwstr>
      </vt:variant>
      <vt:variant>
        <vt:i4>1507385</vt:i4>
      </vt:variant>
      <vt:variant>
        <vt:i4>20</vt:i4>
      </vt:variant>
      <vt:variant>
        <vt:i4>0</vt:i4>
      </vt:variant>
      <vt:variant>
        <vt:i4>5</vt:i4>
      </vt:variant>
      <vt:variant>
        <vt:lpwstr/>
      </vt:variant>
      <vt:variant>
        <vt:lpwstr>_Toc170314907</vt:lpwstr>
      </vt:variant>
      <vt:variant>
        <vt:i4>1507385</vt:i4>
      </vt:variant>
      <vt:variant>
        <vt:i4>14</vt:i4>
      </vt:variant>
      <vt:variant>
        <vt:i4>0</vt:i4>
      </vt:variant>
      <vt:variant>
        <vt:i4>5</vt:i4>
      </vt:variant>
      <vt:variant>
        <vt:lpwstr/>
      </vt:variant>
      <vt:variant>
        <vt:lpwstr>_Toc170314906</vt:lpwstr>
      </vt:variant>
      <vt:variant>
        <vt:i4>1507385</vt:i4>
      </vt:variant>
      <vt:variant>
        <vt:i4>8</vt:i4>
      </vt:variant>
      <vt:variant>
        <vt:i4>0</vt:i4>
      </vt:variant>
      <vt:variant>
        <vt:i4>5</vt:i4>
      </vt:variant>
      <vt:variant>
        <vt:lpwstr/>
      </vt:variant>
      <vt:variant>
        <vt:lpwstr>_Toc170314905</vt:lpwstr>
      </vt:variant>
      <vt:variant>
        <vt:i4>1507385</vt:i4>
      </vt:variant>
      <vt:variant>
        <vt:i4>2</vt:i4>
      </vt:variant>
      <vt:variant>
        <vt:i4>0</vt:i4>
      </vt:variant>
      <vt:variant>
        <vt:i4>5</vt:i4>
      </vt:variant>
      <vt:variant>
        <vt:lpwstr/>
      </vt:variant>
      <vt:variant>
        <vt:lpwstr>_Toc170314904</vt:lpwstr>
      </vt:variant>
      <vt:variant>
        <vt:i4>7929947</vt:i4>
      </vt:variant>
      <vt:variant>
        <vt:i4>21</vt:i4>
      </vt:variant>
      <vt:variant>
        <vt:i4>0</vt:i4>
      </vt:variant>
      <vt:variant>
        <vt:i4>5</vt:i4>
      </vt:variant>
      <vt:variant>
        <vt:lpwstr>https://www.german-economic-team.com/wp-content/uploads/2022/11/GET_ALL_PS_03_2022_en.pdf</vt:lpwstr>
      </vt:variant>
      <vt:variant>
        <vt:lpwstr/>
      </vt:variant>
      <vt:variant>
        <vt:i4>3407970</vt:i4>
      </vt:variant>
      <vt:variant>
        <vt:i4>18</vt:i4>
      </vt:variant>
      <vt:variant>
        <vt:i4>0</vt:i4>
      </vt:variant>
      <vt:variant>
        <vt:i4>5</vt:i4>
      </vt:variant>
      <vt:variant>
        <vt:lpwstr>http://data.europa.eu/89h/3182c195-a1fc-46cf-8e7d-44063d9483d8</vt:lpwstr>
      </vt:variant>
      <vt:variant>
        <vt:lpwstr/>
      </vt:variant>
      <vt:variant>
        <vt:i4>6684750</vt:i4>
      </vt:variant>
      <vt:variant>
        <vt:i4>15</vt:i4>
      </vt:variant>
      <vt:variant>
        <vt:i4>0</vt:i4>
      </vt:variant>
      <vt:variant>
        <vt:i4>5</vt:i4>
      </vt:variant>
      <vt:variant>
        <vt:lpwstr>https://www.german-economic-team.com/wp-content/uploads/2023/05/GET_KOS_TN_03_2023_en.pdf</vt:lpwstr>
      </vt:variant>
      <vt:variant>
        <vt:lpwstr/>
      </vt:variant>
      <vt:variant>
        <vt:i4>65556</vt:i4>
      </vt:variant>
      <vt:variant>
        <vt:i4>12</vt:i4>
      </vt:variant>
      <vt:variant>
        <vt:i4>0</vt:i4>
      </vt:variant>
      <vt:variant>
        <vt:i4>5</vt:i4>
      </vt:variant>
      <vt:variant>
        <vt:lpwstr>https://eepublicdownloads.blob.core.windows.net/public-cdn-container/tyndp-documents/TYNDP2022/public/system-needs-report.pdf</vt:lpwstr>
      </vt:variant>
      <vt:variant>
        <vt:lpwstr/>
      </vt:variant>
      <vt:variant>
        <vt:i4>655431</vt:i4>
      </vt:variant>
      <vt:variant>
        <vt:i4>9</vt:i4>
      </vt:variant>
      <vt:variant>
        <vt:i4>0</vt:i4>
      </vt:variant>
      <vt:variant>
        <vt:i4>5</vt:i4>
      </vt:variant>
      <vt:variant>
        <vt:lpwstr>https://2022.entsos-tyndp-scenarios.eu/download/</vt:lpwstr>
      </vt:variant>
      <vt:variant>
        <vt:lpwstr/>
      </vt:variant>
      <vt:variant>
        <vt:i4>6357113</vt:i4>
      </vt:variant>
      <vt:variant>
        <vt:i4>6</vt:i4>
      </vt:variant>
      <vt:variant>
        <vt:i4>0</vt:i4>
      </vt:variant>
      <vt:variant>
        <vt:i4>5</vt:i4>
      </vt:variant>
      <vt:variant>
        <vt:lpwstr>https://askdata.rks-gov.net/pxweb/en/ASKdata/ASKdata__Population__Estimate, projection and structure of population__Population projection__Population projection, 2017-2061/popm01.px/</vt:lpwstr>
      </vt:variant>
      <vt:variant>
        <vt:lpwstr/>
      </vt:variant>
      <vt:variant>
        <vt:i4>6881382</vt:i4>
      </vt:variant>
      <vt:variant>
        <vt:i4>3</vt:i4>
      </vt:variant>
      <vt:variant>
        <vt:i4>0</vt:i4>
      </vt:variant>
      <vt:variant>
        <vt:i4>5</vt:i4>
      </vt:variant>
      <vt:variant>
        <vt:lpwstr>https://www.heraskosovo.org/publications/Koncept_dokument_Hartezimi_i_Sistemit_te_Kerkimit_dhe_Inovacionit_ne_Kosove.pdf</vt:lpwstr>
      </vt:variant>
      <vt:variant>
        <vt:lpwstr/>
      </vt:variant>
      <vt:variant>
        <vt:i4>3407895</vt:i4>
      </vt:variant>
      <vt:variant>
        <vt:i4>0</vt:i4>
      </vt:variant>
      <vt:variant>
        <vt:i4>0</vt:i4>
      </vt:variant>
      <vt:variant>
        <vt:i4>5</vt:i4>
      </vt:variant>
      <vt:variant>
        <vt:lpwstr>https://ec.europa.eu/neighbourhood-enlargement/kosovo-report-2021_en</vt:lpwstr>
      </vt:variant>
      <vt:variant>
        <vt:lpwstr/>
      </vt:variant>
      <vt:variant>
        <vt:i4>4325425</vt:i4>
      </vt:variant>
      <vt:variant>
        <vt:i4>0</vt:i4>
      </vt:variant>
      <vt:variant>
        <vt:i4>0</vt:i4>
      </vt:variant>
      <vt:variant>
        <vt:i4>5</vt:i4>
      </vt:variant>
      <vt:variant>
        <vt:lpwstr>mailto:tahmisoglu@berlin-economics.com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Aleksandar Dedinec</dc:creator>
  <cp:keywords/>
  <cp:lastModifiedBy>Abdullah Pirçe</cp:lastModifiedBy>
  <cp:revision>62</cp:revision>
  <cp:lastPrinted>2024-11-12T10:06:00Z</cp:lastPrinted>
  <dcterms:created xsi:type="dcterms:W3CDTF">2024-11-07T10:02:00Z</dcterms:created>
  <dcterms:modified xsi:type="dcterms:W3CDTF">2024-11-22T12:38:00Z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0x0101005FEC29D3D9A6D648ABED0DBA26CC09E5</vt:lpwstr>
  </property>
  <property fmtid="{D5CDD505-2E9C-101B-9397-08002B2CF9AE}" pid="4" name="MediaServiceImageTags">
    <vt:lpwstr/>
  </property>
  <property fmtid="{D5CDD505-2E9C-101B-9397-08002B2CF9AE}" pid="5" name="GrammarlyDocumentId">
    <vt:lpwstr>882618ea8fe3617cab6dbb207a1fc161e10f2c613767fcc77074eeae29caa9d8</vt:lpwstr>
  </property>
</Properties>
</file>